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4CCC" w14:textId="5A881D6E" w:rsidR="008C0E92" w:rsidRDefault="008C0E92" w:rsidP="008C0E92">
      <w:pPr>
        <w:jc w:val="right"/>
        <w:rPr>
          <w:rFonts w:ascii="Abadi" w:hAnsi="Abadi"/>
          <w:b/>
          <w:bCs/>
          <w:color w:val="00B0F0"/>
          <w:sz w:val="28"/>
          <w:szCs w:val="28"/>
        </w:rPr>
      </w:pPr>
    </w:p>
    <w:p w14:paraId="7CC758A3" w14:textId="262C9E68" w:rsidR="00AD08C5" w:rsidRPr="005058F2" w:rsidRDefault="006A7DCE" w:rsidP="008C0E92">
      <w:pPr>
        <w:jc w:val="center"/>
        <w:rPr>
          <w:b/>
          <w:bCs/>
          <w:color w:val="00B0F0"/>
          <w:sz w:val="36"/>
          <w:szCs w:val="36"/>
          <w:u w:val="single"/>
        </w:rPr>
      </w:pPr>
      <w:r w:rsidRPr="008C0E92">
        <w:rPr>
          <w:rFonts w:ascii="Abadi" w:hAnsi="Abadi"/>
          <w:b/>
          <w:bCs/>
          <w:color w:val="00B0F0"/>
          <w:sz w:val="36"/>
          <w:szCs w:val="36"/>
          <w:u w:val="single"/>
        </w:rPr>
        <w:t>OBWIESZCZENI</w:t>
      </w:r>
      <w:r w:rsidR="005C6551">
        <w:rPr>
          <w:rFonts w:ascii="Abadi" w:hAnsi="Abadi"/>
          <w:b/>
          <w:bCs/>
          <w:color w:val="00B0F0"/>
          <w:sz w:val="36"/>
          <w:szCs w:val="36"/>
          <w:u w:val="single"/>
        </w:rPr>
        <w:t>E</w:t>
      </w:r>
      <w:r w:rsidRPr="008C0E92">
        <w:rPr>
          <w:rFonts w:ascii="Abadi" w:hAnsi="Abadi"/>
          <w:b/>
          <w:bCs/>
          <w:color w:val="00B0F0"/>
          <w:sz w:val="36"/>
          <w:szCs w:val="36"/>
          <w:u w:val="single"/>
        </w:rPr>
        <w:t xml:space="preserve"> REFUNDACYJNE NR </w:t>
      </w:r>
      <w:r w:rsidR="00A960EA">
        <w:rPr>
          <w:rFonts w:ascii="Abadi" w:hAnsi="Abadi"/>
          <w:b/>
          <w:bCs/>
          <w:color w:val="00B0F0"/>
          <w:sz w:val="36"/>
          <w:szCs w:val="36"/>
          <w:u w:val="single"/>
        </w:rPr>
        <w:t>6</w:t>
      </w:r>
      <w:r w:rsidR="00446466">
        <w:rPr>
          <w:rFonts w:ascii="Abadi" w:hAnsi="Abadi"/>
          <w:b/>
          <w:bCs/>
          <w:color w:val="00B0F0"/>
          <w:sz w:val="36"/>
          <w:szCs w:val="36"/>
          <w:u w:val="single"/>
        </w:rPr>
        <w:t>1</w:t>
      </w:r>
      <w:r w:rsidR="0056748F">
        <w:rPr>
          <w:rFonts w:ascii="Abadi" w:hAnsi="Abadi"/>
          <w:b/>
          <w:bCs/>
          <w:color w:val="00B0F0"/>
          <w:sz w:val="36"/>
          <w:szCs w:val="36"/>
          <w:u w:val="single"/>
        </w:rPr>
        <w:t xml:space="preserve"> (1 </w:t>
      </w:r>
      <w:r w:rsidR="00266DCA">
        <w:rPr>
          <w:rFonts w:ascii="Abadi" w:hAnsi="Abadi"/>
          <w:b/>
          <w:bCs/>
          <w:color w:val="00B0F0"/>
          <w:sz w:val="36"/>
          <w:szCs w:val="36"/>
          <w:u w:val="single"/>
        </w:rPr>
        <w:t>STYCZNIA</w:t>
      </w:r>
      <w:r w:rsidR="0056748F">
        <w:rPr>
          <w:rFonts w:ascii="Abadi" w:hAnsi="Abadi"/>
          <w:b/>
          <w:bCs/>
          <w:color w:val="00B0F0"/>
          <w:sz w:val="36"/>
          <w:szCs w:val="36"/>
          <w:u w:val="single"/>
        </w:rPr>
        <w:t xml:space="preserve"> 202</w:t>
      </w:r>
      <w:r w:rsidR="00266DCA">
        <w:rPr>
          <w:rFonts w:ascii="Abadi" w:hAnsi="Abadi"/>
          <w:b/>
          <w:bCs/>
          <w:color w:val="00B0F0"/>
          <w:sz w:val="36"/>
          <w:szCs w:val="36"/>
          <w:u w:val="single"/>
        </w:rPr>
        <w:t>2</w:t>
      </w:r>
      <w:r w:rsidR="0056748F">
        <w:rPr>
          <w:rFonts w:ascii="Abadi" w:hAnsi="Abadi"/>
          <w:b/>
          <w:bCs/>
          <w:color w:val="00B0F0"/>
          <w:sz w:val="36"/>
          <w:szCs w:val="36"/>
          <w:u w:val="single"/>
        </w:rPr>
        <w:t xml:space="preserve"> r.)</w:t>
      </w:r>
    </w:p>
    <w:p w14:paraId="407689B5" w14:textId="3576B441" w:rsidR="008C0E92" w:rsidRDefault="008C0E92" w:rsidP="008C0E92">
      <w:pPr>
        <w:spacing w:before="360"/>
        <w:jc w:val="center"/>
      </w:pPr>
      <w:bookmarkStart w:id="0" w:name="_Hlk90283803"/>
      <w:r>
        <w:rPr>
          <w:rFonts w:ascii="Abadi" w:hAnsi="Abadi"/>
          <w:b/>
          <w:bCs/>
          <w:color w:val="00B0F0"/>
          <w:sz w:val="28"/>
          <w:szCs w:val="28"/>
        </w:rPr>
        <w:t>STATYSTYKI</w:t>
      </w:r>
    </w:p>
    <w:bookmarkEnd w:id="0"/>
    <w:p w14:paraId="452B5651" w14:textId="521A69AF" w:rsidR="00A118F0" w:rsidRPr="00F028E1" w:rsidRDefault="00A118F0" w:rsidP="00A118F0">
      <w:pPr>
        <w:rPr>
          <w:rFonts w:asciiTheme="majorHAnsi" w:hAnsiTheme="majorHAnsi"/>
          <w:sz w:val="24"/>
          <w:szCs w:val="24"/>
        </w:rPr>
      </w:pPr>
      <w:r w:rsidRPr="00F028E1">
        <w:rPr>
          <w:rFonts w:asciiTheme="majorHAnsi" w:hAnsiTheme="majorHAnsi"/>
          <w:sz w:val="24"/>
          <w:szCs w:val="24"/>
        </w:rPr>
        <w:t>Obwieszczenie refundacyjne obowiązujące od</w:t>
      </w:r>
      <w:r w:rsidR="00266DCA" w:rsidRPr="00F028E1">
        <w:rPr>
          <w:rFonts w:asciiTheme="majorHAnsi" w:hAnsiTheme="majorHAnsi"/>
          <w:sz w:val="24"/>
          <w:szCs w:val="24"/>
        </w:rPr>
        <w:t xml:space="preserve"> stycznia</w:t>
      </w:r>
      <w:r w:rsidRPr="00F028E1">
        <w:rPr>
          <w:rFonts w:asciiTheme="majorHAnsi" w:hAnsiTheme="majorHAnsi"/>
          <w:sz w:val="24"/>
          <w:szCs w:val="24"/>
        </w:rPr>
        <w:t xml:space="preserve"> 202</w:t>
      </w:r>
      <w:r w:rsidR="00266DCA" w:rsidRPr="00F028E1">
        <w:rPr>
          <w:rFonts w:asciiTheme="majorHAnsi" w:hAnsiTheme="majorHAnsi"/>
          <w:sz w:val="24"/>
          <w:szCs w:val="24"/>
        </w:rPr>
        <w:t>2</w:t>
      </w:r>
      <w:r w:rsidRPr="00F028E1">
        <w:rPr>
          <w:rFonts w:asciiTheme="majorHAnsi" w:hAnsiTheme="majorHAnsi"/>
          <w:sz w:val="24"/>
          <w:szCs w:val="24"/>
        </w:rPr>
        <w:t xml:space="preserve"> r. (nr </w:t>
      </w:r>
      <w:r w:rsidR="00266DCA" w:rsidRPr="00F028E1">
        <w:rPr>
          <w:rFonts w:asciiTheme="majorHAnsi" w:hAnsiTheme="majorHAnsi"/>
          <w:sz w:val="24"/>
          <w:szCs w:val="24"/>
        </w:rPr>
        <w:t>61</w:t>
      </w:r>
      <w:r w:rsidRPr="00F028E1">
        <w:rPr>
          <w:rFonts w:asciiTheme="majorHAnsi" w:hAnsiTheme="majorHAnsi"/>
          <w:sz w:val="24"/>
          <w:szCs w:val="24"/>
        </w:rPr>
        <w:t xml:space="preserve">), w porównaniu do obwieszczenia </w:t>
      </w:r>
      <w:r w:rsidR="00266DCA" w:rsidRPr="00F028E1">
        <w:rPr>
          <w:rFonts w:asciiTheme="majorHAnsi" w:hAnsiTheme="majorHAnsi"/>
          <w:sz w:val="24"/>
          <w:szCs w:val="24"/>
        </w:rPr>
        <w:t>60</w:t>
      </w:r>
      <w:r w:rsidRPr="00F028E1">
        <w:rPr>
          <w:rFonts w:asciiTheme="majorHAnsi" w:hAnsiTheme="majorHAnsi"/>
          <w:sz w:val="24"/>
          <w:szCs w:val="24"/>
        </w:rPr>
        <w:t xml:space="preserve"> zawiera następujące zmiany:</w:t>
      </w:r>
    </w:p>
    <w:p w14:paraId="2A9B39EB" w14:textId="5B5D6385" w:rsidR="00A118F0" w:rsidRPr="00476A3C" w:rsidRDefault="00A118F0" w:rsidP="00A118F0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476A3C">
        <w:rPr>
          <w:rFonts w:asciiTheme="majorHAnsi" w:hAnsiTheme="majorHAnsi"/>
          <w:sz w:val="24"/>
          <w:szCs w:val="24"/>
        </w:rPr>
        <w:t>W związku z wydaniem pozytywnych decyzji o objęciu refundacją ogó</w:t>
      </w:r>
      <w:r w:rsidRPr="00476A3C">
        <w:rPr>
          <w:rFonts w:asciiTheme="majorHAnsi" w:hAnsiTheme="majorHAnsi" w:cs="Calibri"/>
          <w:sz w:val="24"/>
          <w:szCs w:val="24"/>
        </w:rPr>
        <w:t>ł</w:t>
      </w:r>
      <w:r w:rsidRPr="00476A3C">
        <w:rPr>
          <w:rFonts w:asciiTheme="majorHAnsi" w:hAnsiTheme="majorHAnsi"/>
          <w:sz w:val="24"/>
          <w:szCs w:val="24"/>
        </w:rPr>
        <w:t xml:space="preserve">em do obwieszczenia zostanie dodanych </w:t>
      </w:r>
      <w:r w:rsidR="00D6346A">
        <w:rPr>
          <w:rFonts w:asciiTheme="majorHAnsi" w:hAnsiTheme="majorHAnsi"/>
          <w:sz w:val="24"/>
          <w:szCs w:val="24"/>
        </w:rPr>
        <w:t>81</w:t>
      </w:r>
      <w:r w:rsidRPr="00476A3C">
        <w:rPr>
          <w:rFonts w:asciiTheme="majorHAnsi" w:hAnsiTheme="majorHAnsi"/>
          <w:sz w:val="24"/>
          <w:szCs w:val="24"/>
        </w:rPr>
        <w:t xml:space="preserve"> produkt</w:t>
      </w:r>
      <w:r w:rsidRPr="00476A3C">
        <w:rPr>
          <w:rFonts w:asciiTheme="majorHAnsi" w:hAnsiTheme="majorHAnsi" w:cs="Abadi"/>
          <w:sz w:val="24"/>
          <w:szCs w:val="24"/>
        </w:rPr>
        <w:t>ó</w:t>
      </w:r>
      <w:r w:rsidRPr="00476A3C">
        <w:rPr>
          <w:rFonts w:asciiTheme="majorHAnsi" w:hAnsiTheme="majorHAnsi"/>
          <w:sz w:val="24"/>
          <w:szCs w:val="24"/>
        </w:rPr>
        <w:t>w bądź nowych wskazań.</w:t>
      </w:r>
    </w:p>
    <w:p w14:paraId="2009B3B5" w14:textId="0A82F6DB" w:rsidR="00A118F0" w:rsidRPr="00476A3C" w:rsidRDefault="00A118F0" w:rsidP="00A118F0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476A3C">
        <w:rPr>
          <w:rFonts w:asciiTheme="majorHAnsi" w:hAnsiTheme="majorHAnsi"/>
          <w:sz w:val="24"/>
          <w:szCs w:val="24"/>
        </w:rPr>
        <w:t xml:space="preserve">Dla </w:t>
      </w:r>
      <w:r w:rsidR="00BB688D" w:rsidRPr="00476A3C">
        <w:rPr>
          <w:rFonts w:asciiTheme="majorHAnsi" w:hAnsiTheme="majorHAnsi"/>
          <w:sz w:val="24"/>
          <w:szCs w:val="24"/>
        </w:rPr>
        <w:t>986</w:t>
      </w:r>
      <w:r w:rsidRPr="00476A3C">
        <w:rPr>
          <w:rFonts w:asciiTheme="majorHAnsi" w:hAnsiTheme="majorHAnsi"/>
          <w:sz w:val="24"/>
          <w:szCs w:val="24"/>
        </w:rPr>
        <w:t xml:space="preserve"> produktów wprowadzono obni</w:t>
      </w:r>
      <w:r w:rsidRPr="00476A3C">
        <w:rPr>
          <w:rFonts w:asciiTheme="majorHAnsi" w:hAnsiTheme="majorHAnsi" w:cs="Calibri"/>
          <w:sz w:val="24"/>
          <w:szCs w:val="24"/>
        </w:rPr>
        <w:t>ż</w:t>
      </w:r>
      <w:r w:rsidRPr="00476A3C">
        <w:rPr>
          <w:rFonts w:asciiTheme="majorHAnsi" w:hAnsiTheme="majorHAnsi"/>
          <w:sz w:val="24"/>
          <w:szCs w:val="24"/>
        </w:rPr>
        <w:t>ki urz</w:t>
      </w:r>
      <w:r w:rsidRPr="00476A3C">
        <w:rPr>
          <w:rFonts w:asciiTheme="majorHAnsi" w:hAnsiTheme="majorHAnsi" w:cs="Calibri"/>
          <w:sz w:val="24"/>
          <w:szCs w:val="24"/>
        </w:rPr>
        <w:t>ę</w:t>
      </w:r>
      <w:r w:rsidRPr="00476A3C">
        <w:rPr>
          <w:rFonts w:asciiTheme="majorHAnsi" w:hAnsiTheme="majorHAnsi"/>
          <w:sz w:val="24"/>
          <w:szCs w:val="24"/>
        </w:rPr>
        <w:t>dowych cen zbytu (od 0,01 z</w:t>
      </w:r>
      <w:r w:rsidRPr="00476A3C">
        <w:rPr>
          <w:rFonts w:asciiTheme="majorHAnsi" w:hAnsiTheme="majorHAnsi" w:cs="Calibri"/>
          <w:sz w:val="24"/>
          <w:szCs w:val="24"/>
        </w:rPr>
        <w:t>ł</w:t>
      </w:r>
      <w:r w:rsidRPr="00476A3C">
        <w:rPr>
          <w:rFonts w:asciiTheme="majorHAnsi" w:hAnsiTheme="majorHAnsi"/>
          <w:sz w:val="24"/>
          <w:szCs w:val="24"/>
        </w:rPr>
        <w:t xml:space="preserve"> do </w:t>
      </w:r>
      <w:r w:rsidR="00476A3C" w:rsidRPr="00476A3C">
        <w:rPr>
          <w:rFonts w:asciiTheme="majorHAnsi" w:hAnsiTheme="majorHAnsi"/>
          <w:sz w:val="24"/>
          <w:szCs w:val="24"/>
        </w:rPr>
        <w:t xml:space="preserve">7 753,98 </w:t>
      </w:r>
      <w:r w:rsidRPr="00476A3C">
        <w:rPr>
          <w:rFonts w:asciiTheme="majorHAnsi" w:hAnsiTheme="majorHAnsi"/>
          <w:sz w:val="24"/>
          <w:szCs w:val="24"/>
        </w:rPr>
        <w:t>z</w:t>
      </w:r>
      <w:r w:rsidRPr="00476A3C">
        <w:rPr>
          <w:rFonts w:asciiTheme="majorHAnsi" w:hAnsiTheme="majorHAnsi" w:cs="Calibri"/>
          <w:sz w:val="24"/>
          <w:szCs w:val="24"/>
        </w:rPr>
        <w:t>ł</w:t>
      </w:r>
      <w:r w:rsidRPr="00476A3C">
        <w:rPr>
          <w:rFonts w:asciiTheme="majorHAnsi" w:hAnsiTheme="majorHAnsi"/>
          <w:sz w:val="24"/>
          <w:szCs w:val="24"/>
        </w:rPr>
        <w:t>).</w:t>
      </w:r>
    </w:p>
    <w:p w14:paraId="2F3FD73C" w14:textId="5D44EC19" w:rsidR="00A118F0" w:rsidRPr="00BB688D" w:rsidRDefault="00A118F0" w:rsidP="00A118F0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BB688D">
        <w:rPr>
          <w:rFonts w:asciiTheme="majorHAnsi" w:hAnsiTheme="majorHAnsi"/>
          <w:sz w:val="24"/>
          <w:szCs w:val="24"/>
        </w:rPr>
        <w:t xml:space="preserve">Dla </w:t>
      </w:r>
      <w:r w:rsidR="00BB688D" w:rsidRPr="00BB688D">
        <w:rPr>
          <w:rFonts w:asciiTheme="majorHAnsi" w:hAnsiTheme="majorHAnsi" w:cs="Calibri"/>
          <w:sz w:val="24"/>
          <w:szCs w:val="24"/>
        </w:rPr>
        <w:t>15</w:t>
      </w:r>
      <w:r w:rsidRPr="00BB688D">
        <w:rPr>
          <w:rFonts w:asciiTheme="majorHAnsi" w:hAnsiTheme="majorHAnsi" w:cs="Calibri"/>
          <w:sz w:val="24"/>
          <w:szCs w:val="24"/>
        </w:rPr>
        <w:t xml:space="preserve"> produktów</w:t>
      </w:r>
      <w:r w:rsidRPr="00BB688D">
        <w:rPr>
          <w:rFonts w:asciiTheme="majorHAnsi" w:hAnsiTheme="majorHAnsi"/>
          <w:sz w:val="24"/>
          <w:szCs w:val="24"/>
        </w:rPr>
        <w:t xml:space="preserve">  podwy</w:t>
      </w:r>
      <w:r w:rsidRPr="00BB688D">
        <w:rPr>
          <w:rFonts w:asciiTheme="majorHAnsi" w:hAnsiTheme="majorHAnsi" w:cs="Calibri"/>
          <w:sz w:val="24"/>
          <w:szCs w:val="24"/>
        </w:rPr>
        <w:t>ż</w:t>
      </w:r>
      <w:r w:rsidRPr="00BB688D">
        <w:rPr>
          <w:rFonts w:asciiTheme="majorHAnsi" w:hAnsiTheme="majorHAnsi"/>
          <w:sz w:val="24"/>
          <w:szCs w:val="24"/>
        </w:rPr>
        <w:t>szono urz</w:t>
      </w:r>
      <w:r w:rsidRPr="00BB688D">
        <w:rPr>
          <w:rFonts w:asciiTheme="majorHAnsi" w:hAnsiTheme="majorHAnsi" w:cs="Calibri"/>
          <w:sz w:val="24"/>
          <w:szCs w:val="24"/>
        </w:rPr>
        <w:t>ę</w:t>
      </w:r>
      <w:r w:rsidRPr="00BB688D">
        <w:rPr>
          <w:rFonts w:asciiTheme="majorHAnsi" w:hAnsiTheme="majorHAnsi"/>
          <w:sz w:val="24"/>
          <w:szCs w:val="24"/>
        </w:rPr>
        <w:t>dowe ceny zbytu (od 0,</w:t>
      </w:r>
      <w:r w:rsidR="00BB688D" w:rsidRPr="00BB688D">
        <w:rPr>
          <w:rFonts w:asciiTheme="majorHAnsi" w:hAnsiTheme="majorHAnsi"/>
          <w:sz w:val="24"/>
          <w:szCs w:val="24"/>
        </w:rPr>
        <w:t>46</w:t>
      </w:r>
      <w:r w:rsidRPr="00BB688D">
        <w:rPr>
          <w:rFonts w:asciiTheme="majorHAnsi" w:hAnsiTheme="majorHAnsi"/>
          <w:sz w:val="24"/>
          <w:szCs w:val="24"/>
        </w:rPr>
        <w:t xml:space="preserve"> zł do </w:t>
      </w:r>
      <w:r w:rsidR="00BB688D" w:rsidRPr="00BB688D">
        <w:rPr>
          <w:rFonts w:asciiTheme="majorHAnsi" w:hAnsiTheme="majorHAnsi"/>
          <w:sz w:val="24"/>
          <w:szCs w:val="24"/>
        </w:rPr>
        <w:t>3</w:t>
      </w:r>
      <w:r w:rsidR="00476A3C">
        <w:rPr>
          <w:rFonts w:asciiTheme="majorHAnsi" w:hAnsiTheme="majorHAnsi"/>
          <w:sz w:val="24"/>
          <w:szCs w:val="24"/>
        </w:rPr>
        <w:t xml:space="preserve"> </w:t>
      </w:r>
      <w:r w:rsidR="00BB688D" w:rsidRPr="00BB688D">
        <w:rPr>
          <w:rFonts w:asciiTheme="majorHAnsi" w:hAnsiTheme="majorHAnsi"/>
          <w:sz w:val="24"/>
          <w:szCs w:val="24"/>
        </w:rPr>
        <w:t xml:space="preserve">726,00 </w:t>
      </w:r>
      <w:r w:rsidRPr="00BB688D">
        <w:rPr>
          <w:rFonts w:asciiTheme="majorHAnsi" w:hAnsiTheme="majorHAnsi"/>
          <w:sz w:val="24"/>
          <w:szCs w:val="24"/>
        </w:rPr>
        <w:t>zł)</w:t>
      </w:r>
      <w:r w:rsidR="00476A3C">
        <w:rPr>
          <w:rFonts w:asciiTheme="majorHAnsi" w:hAnsiTheme="majorHAnsi"/>
          <w:sz w:val="24"/>
          <w:szCs w:val="24"/>
        </w:rPr>
        <w:t>.</w:t>
      </w:r>
    </w:p>
    <w:p w14:paraId="3F30E047" w14:textId="0D254D03" w:rsidR="00A118F0" w:rsidRPr="00BB688D" w:rsidRDefault="00A118F0" w:rsidP="00A118F0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BB688D">
        <w:rPr>
          <w:rFonts w:asciiTheme="majorHAnsi" w:hAnsiTheme="majorHAnsi"/>
          <w:sz w:val="24"/>
          <w:szCs w:val="24"/>
        </w:rPr>
        <w:t xml:space="preserve">Dla </w:t>
      </w:r>
      <w:r w:rsidR="00BB688D" w:rsidRPr="00BB688D">
        <w:rPr>
          <w:rFonts w:asciiTheme="majorHAnsi" w:hAnsiTheme="majorHAnsi"/>
          <w:sz w:val="24"/>
          <w:szCs w:val="24"/>
        </w:rPr>
        <w:t>1183</w:t>
      </w:r>
      <w:r w:rsidRPr="00BB688D">
        <w:rPr>
          <w:rFonts w:asciiTheme="majorHAnsi" w:hAnsiTheme="majorHAnsi"/>
          <w:sz w:val="24"/>
          <w:szCs w:val="24"/>
        </w:rPr>
        <w:t xml:space="preserve"> pozycji w obwieszczeniu spadnie dop</w:t>
      </w:r>
      <w:r w:rsidRPr="00BB688D">
        <w:rPr>
          <w:rFonts w:asciiTheme="majorHAnsi" w:hAnsiTheme="majorHAnsi" w:cs="Calibri"/>
          <w:sz w:val="24"/>
          <w:szCs w:val="24"/>
        </w:rPr>
        <w:t>ł</w:t>
      </w:r>
      <w:r w:rsidRPr="00BB688D">
        <w:rPr>
          <w:rFonts w:asciiTheme="majorHAnsi" w:hAnsiTheme="majorHAnsi"/>
          <w:sz w:val="24"/>
          <w:szCs w:val="24"/>
        </w:rPr>
        <w:t>ata pacjenta (od 0,01 z</w:t>
      </w:r>
      <w:r w:rsidRPr="00BB688D">
        <w:rPr>
          <w:rFonts w:asciiTheme="majorHAnsi" w:hAnsiTheme="majorHAnsi" w:cs="Calibri"/>
          <w:sz w:val="24"/>
          <w:szCs w:val="24"/>
        </w:rPr>
        <w:t>ł</w:t>
      </w:r>
      <w:r w:rsidRPr="00BB688D">
        <w:rPr>
          <w:rFonts w:asciiTheme="majorHAnsi" w:hAnsiTheme="majorHAnsi"/>
          <w:sz w:val="24"/>
          <w:szCs w:val="24"/>
        </w:rPr>
        <w:t xml:space="preserve"> do </w:t>
      </w:r>
      <w:r w:rsidR="00BB688D" w:rsidRPr="00BB688D">
        <w:rPr>
          <w:rFonts w:asciiTheme="majorHAnsi" w:hAnsiTheme="majorHAnsi"/>
          <w:sz w:val="24"/>
          <w:szCs w:val="24"/>
        </w:rPr>
        <w:t xml:space="preserve">121,86 </w:t>
      </w:r>
      <w:r w:rsidRPr="00BB688D">
        <w:rPr>
          <w:rFonts w:asciiTheme="majorHAnsi" w:hAnsiTheme="majorHAnsi"/>
          <w:sz w:val="24"/>
          <w:szCs w:val="24"/>
        </w:rPr>
        <w:t>z</w:t>
      </w:r>
      <w:r w:rsidRPr="00BB688D">
        <w:rPr>
          <w:rFonts w:asciiTheme="majorHAnsi" w:hAnsiTheme="majorHAnsi" w:cs="Calibri"/>
          <w:sz w:val="24"/>
          <w:szCs w:val="24"/>
        </w:rPr>
        <w:t>ł</w:t>
      </w:r>
      <w:r w:rsidRPr="00BB688D">
        <w:rPr>
          <w:rFonts w:asciiTheme="majorHAnsi" w:hAnsiTheme="majorHAnsi"/>
          <w:sz w:val="24"/>
          <w:szCs w:val="24"/>
        </w:rPr>
        <w:t>).</w:t>
      </w:r>
    </w:p>
    <w:p w14:paraId="5118E892" w14:textId="650777C9" w:rsidR="00A118F0" w:rsidRPr="00BB688D" w:rsidRDefault="00A118F0" w:rsidP="00A118F0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BB688D">
        <w:rPr>
          <w:rFonts w:asciiTheme="majorHAnsi" w:hAnsiTheme="majorHAnsi"/>
          <w:sz w:val="24"/>
          <w:szCs w:val="24"/>
        </w:rPr>
        <w:t xml:space="preserve">Dla </w:t>
      </w:r>
      <w:r w:rsidR="00BB688D" w:rsidRPr="00BB688D">
        <w:rPr>
          <w:rFonts w:asciiTheme="majorHAnsi" w:hAnsiTheme="majorHAnsi"/>
          <w:sz w:val="24"/>
          <w:szCs w:val="24"/>
        </w:rPr>
        <w:t>509</w:t>
      </w:r>
      <w:r w:rsidRPr="00BB688D">
        <w:rPr>
          <w:rFonts w:asciiTheme="majorHAnsi" w:hAnsiTheme="majorHAnsi"/>
          <w:sz w:val="24"/>
          <w:szCs w:val="24"/>
        </w:rPr>
        <w:t xml:space="preserve"> pozycji w obwieszczeniu wzro</w:t>
      </w:r>
      <w:r w:rsidRPr="00BB688D">
        <w:rPr>
          <w:rFonts w:asciiTheme="majorHAnsi" w:hAnsiTheme="majorHAnsi" w:cs="Calibri"/>
          <w:sz w:val="24"/>
          <w:szCs w:val="24"/>
        </w:rPr>
        <w:t>ś</w:t>
      </w:r>
      <w:r w:rsidRPr="00BB688D">
        <w:rPr>
          <w:rFonts w:asciiTheme="majorHAnsi" w:hAnsiTheme="majorHAnsi"/>
          <w:sz w:val="24"/>
          <w:szCs w:val="24"/>
        </w:rPr>
        <w:t>nie dop</w:t>
      </w:r>
      <w:r w:rsidRPr="00BB688D">
        <w:rPr>
          <w:rFonts w:asciiTheme="majorHAnsi" w:hAnsiTheme="majorHAnsi" w:cs="Calibri"/>
          <w:sz w:val="24"/>
          <w:szCs w:val="24"/>
        </w:rPr>
        <w:t>ł</w:t>
      </w:r>
      <w:r w:rsidRPr="00BB688D">
        <w:rPr>
          <w:rFonts w:asciiTheme="majorHAnsi" w:hAnsiTheme="majorHAnsi"/>
          <w:sz w:val="24"/>
          <w:szCs w:val="24"/>
        </w:rPr>
        <w:t>ata pacjenta (od 0,01 z</w:t>
      </w:r>
      <w:r w:rsidRPr="00BB688D">
        <w:rPr>
          <w:rFonts w:asciiTheme="majorHAnsi" w:hAnsiTheme="majorHAnsi" w:cs="Calibri"/>
          <w:sz w:val="24"/>
          <w:szCs w:val="24"/>
        </w:rPr>
        <w:t>ł</w:t>
      </w:r>
      <w:r w:rsidRPr="00BB688D">
        <w:rPr>
          <w:rFonts w:asciiTheme="majorHAnsi" w:hAnsiTheme="majorHAnsi"/>
          <w:sz w:val="24"/>
          <w:szCs w:val="24"/>
        </w:rPr>
        <w:t xml:space="preserve"> do </w:t>
      </w:r>
      <w:r w:rsidR="00BB688D" w:rsidRPr="00BB688D">
        <w:rPr>
          <w:rFonts w:asciiTheme="majorHAnsi" w:hAnsiTheme="majorHAnsi"/>
          <w:sz w:val="24"/>
          <w:szCs w:val="24"/>
        </w:rPr>
        <w:t xml:space="preserve">452,70 </w:t>
      </w:r>
      <w:r w:rsidRPr="00BB688D">
        <w:rPr>
          <w:rFonts w:asciiTheme="majorHAnsi" w:hAnsiTheme="majorHAnsi"/>
          <w:sz w:val="24"/>
          <w:szCs w:val="24"/>
        </w:rPr>
        <w:t>z</w:t>
      </w:r>
      <w:r w:rsidRPr="00BB688D">
        <w:rPr>
          <w:rFonts w:asciiTheme="majorHAnsi" w:hAnsiTheme="majorHAnsi" w:cs="Calibri"/>
          <w:sz w:val="24"/>
          <w:szCs w:val="24"/>
        </w:rPr>
        <w:t>ł</w:t>
      </w:r>
      <w:r w:rsidRPr="00BB688D">
        <w:rPr>
          <w:rFonts w:asciiTheme="majorHAnsi" w:hAnsiTheme="majorHAnsi"/>
          <w:sz w:val="24"/>
          <w:szCs w:val="24"/>
        </w:rPr>
        <w:t>).</w:t>
      </w:r>
    </w:p>
    <w:p w14:paraId="439F0EA4" w14:textId="529577AA" w:rsidR="00A118F0" w:rsidRPr="00F028E1" w:rsidRDefault="00A118F0" w:rsidP="00A118F0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F028E1">
        <w:rPr>
          <w:rFonts w:asciiTheme="majorHAnsi" w:hAnsiTheme="majorHAnsi"/>
          <w:sz w:val="24"/>
          <w:szCs w:val="24"/>
        </w:rPr>
        <w:t xml:space="preserve">Dla </w:t>
      </w:r>
      <w:r w:rsidR="00F028E1" w:rsidRPr="00F028E1">
        <w:rPr>
          <w:rFonts w:asciiTheme="majorHAnsi" w:hAnsiTheme="majorHAnsi"/>
          <w:sz w:val="24"/>
          <w:szCs w:val="24"/>
        </w:rPr>
        <w:t>1478</w:t>
      </w:r>
      <w:r w:rsidRPr="00F028E1">
        <w:rPr>
          <w:rFonts w:asciiTheme="majorHAnsi" w:hAnsiTheme="majorHAnsi"/>
          <w:sz w:val="24"/>
          <w:szCs w:val="24"/>
        </w:rPr>
        <w:t xml:space="preserve"> produktów ulegną obniżeniu ceny detaliczne brutto (od 0,01 z</w:t>
      </w:r>
      <w:r w:rsidRPr="00F028E1">
        <w:rPr>
          <w:rFonts w:asciiTheme="majorHAnsi" w:hAnsiTheme="majorHAnsi" w:cs="Calibri"/>
          <w:sz w:val="24"/>
          <w:szCs w:val="24"/>
        </w:rPr>
        <w:t>ł</w:t>
      </w:r>
      <w:r w:rsidRPr="00F028E1">
        <w:rPr>
          <w:rFonts w:asciiTheme="majorHAnsi" w:hAnsiTheme="majorHAnsi"/>
          <w:sz w:val="24"/>
          <w:szCs w:val="24"/>
        </w:rPr>
        <w:t xml:space="preserve"> do </w:t>
      </w:r>
      <w:r w:rsidR="00F028E1" w:rsidRPr="00F028E1">
        <w:rPr>
          <w:rFonts w:asciiTheme="majorHAnsi" w:hAnsiTheme="majorHAnsi"/>
          <w:sz w:val="24"/>
          <w:szCs w:val="24"/>
        </w:rPr>
        <w:t xml:space="preserve">126,30 </w:t>
      </w:r>
      <w:r w:rsidRPr="00F028E1">
        <w:rPr>
          <w:rFonts w:asciiTheme="majorHAnsi" w:hAnsiTheme="majorHAnsi"/>
          <w:sz w:val="24"/>
          <w:szCs w:val="24"/>
        </w:rPr>
        <w:t>z</w:t>
      </w:r>
      <w:r w:rsidRPr="00F028E1">
        <w:rPr>
          <w:rFonts w:asciiTheme="majorHAnsi" w:hAnsiTheme="majorHAnsi" w:cs="Calibri"/>
          <w:sz w:val="24"/>
          <w:szCs w:val="24"/>
        </w:rPr>
        <w:t>ł</w:t>
      </w:r>
      <w:r w:rsidRPr="00F028E1">
        <w:rPr>
          <w:rFonts w:asciiTheme="majorHAnsi" w:hAnsiTheme="majorHAnsi"/>
          <w:sz w:val="24"/>
          <w:szCs w:val="24"/>
        </w:rPr>
        <w:t>).</w:t>
      </w:r>
    </w:p>
    <w:p w14:paraId="48018F1B" w14:textId="6E58243E" w:rsidR="00A118F0" w:rsidRPr="00F028E1" w:rsidRDefault="00A118F0" w:rsidP="00A118F0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F028E1">
        <w:rPr>
          <w:rFonts w:asciiTheme="majorHAnsi" w:hAnsiTheme="majorHAnsi"/>
          <w:sz w:val="24"/>
          <w:szCs w:val="24"/>
        </w:rPr>
        <w:t xml:space="preserve">Dla </w:t>
      </w:r>
      <w:r w:rsidR="00F028E1" w:rsidRPr="00F028E1">
        <w:rPr>
          <w:rFonts w:asciiTheme="majorHAnsi" w:hAnsiTheme="majorHAnsi"/>
          <w:sz w:val="24"/>
          <w:szCs w:val="24"/>
        </w:rPr>
        <w:t>63</w:t>
      </w:r>
      <w:r w:rsidRPr="00F028E1">
        <w:rPr>
          <w:rFonts w:asciiTheme="majorHAnsi" w:hAnsiTheme="majorHAnsi"/>
          <w:sz w:val="24"/>
          <w:szCs w:val="24"/>
        </w:rPr>
        <w:t xml:space="preserve"> produktów wzrosn</w:t>
      </w:r>
      <w:r w:rsidRPr="00F028E1">
        <w:rPr>
          <w:rFonts w:asciiTheme="majorHAnsi" w:hAnsiTheme="majorHAnsi" w:cs="Calibri"/>
          <w:sz w:val="24"/>
          <w:szCs w:val="24"/>
        </w:rPr>
        <w:t>ą</w:t>
      </w:r>
      <w:r w:rsidRPr="00F028E1">
        <w:rPr>
          <w:rFonts w:asciiTheme="majorHAnsi" w:hAnsiTheme="majorHAnsi"/>
          <w:sz w:val="24"/>
          <w:szCs w:val="24"/>
        </w:rPr>
        <w:t xml:space="preserve"> ceny detaliczne brutto (od 0,0</w:t>
      </w:r>
      <w:r w:rsidR="00BB688D">
        <w:rPr>
          <w:rFonts w:asciiTheme="majorHAnsi" w:hAnsiTheme="majorHAnsi"/>
          <w:sz w:val="24"/>
          <w:szCs w:val="24"/>
        </w:rPr>
        <w:t>1</w:t>
      </w:r>
      <w:r w:rsidRPr="00F028E1">
        <w:rPr>
          <w:rFonts w:asciiTheme="majorHAnsi" w:hAnsiTheme="majorHAnsi"/>
          <w:sz w:val="24"/>
          <w:szCs w:val="24"/>
        </w:rPr>
        <w:t xml:space="preserve"> z</w:t>
      </w:r>
      <w:r w:rsidRPr="00F028E1">
        <w:rPr>
          <w:rFonts w:asciiTheme="majorHAnsi" w:hAnsiTheme="majorHAnsi" w:cs="Calibri"/>
          <w:sz w:val="24"/>
          <w:szCs w:val="24"/>
        </w:rPr>
        <w:t>ł</w:t>
      </w:r>
      <w:r w:rsidRPr="00F028E1">
        <w:rPr>
          <w:rFonts w:asciiTheme="majorHAnsi" w:hAnsiTheme="majorHAnsi"/>
          <w:sz w:val="24"/>
          <w:szCs w:val="24"/>
        </w:rPr>
        <w:t xml:space="preserve"> do </w:t>
      </w:r>
      <w:r w:rsidR="00F028E1">
        <w:rPr>
          <w:rFonts w:asciiTheme="majorHAnsi" w:hAnsiTheme="majorHAnsi"/>
          <w:sz w:val="24"/>
          <w:szCs w:val="24"/>
        </w:rPr>
        <w:t>2,48</w:t>
      </w:r>
      <w:r w:rsidRPr="00F028E1">
        <w:rPr>
          <w:rFonts w:asciiTheme="majorHAnsi" w:hAnsiTheme="majorHAnsi"/>
          <w:sz w:val="24"/>
          <w:szCs w:val="24"/>
        </w:rPr>
        <w:t xml:space="preserve"> z</w:t>
      </w:r>
      <w:r w:rsidRPr="00F028E1">
        <w:rPr>
          <w:rFonts w:asciiTheme="majorHAnsi" w:hAnsiTheme="majorHAnsi" w:cs="Calibri"/>
          <w:sz w:val="24"/>
          <w:szCs w:val="24"/>
        </w:rPr>
        <w:t>ł</w:t>
      </w:r>
      <w:r w:rsidRPr="00F028E1">
        <w:rPr>
          <w:rFonts w:asciiTheme="majorHAnsi" w:hAnsiTheme="majorHAnsi"/>
          <w:sz w:val="24"/>
          <w:szCs w:val="24"/>
        </w:rPr>
        <w:t>).</w:t>
      </w:r>
    </w:p>
    <w:p w14:paraId="7EDBDD5D" w14:textId="1AF967BD" w:rsidR="00A118F0" w:rsidRPr="00476A3C" w:rsidRDefault="00A118F0" w:rsidP="00A118F0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76A3C">
        <w:rPr>
          <w:rFonts w:asciiTheme="majorHAnsi" w:hAnsiTheme="majorHAnsi"/>
          <w:sz w:val="24"/>
          <w:szCs w:val="24"/>
        </w:rPr>
        <w:t>W zwi</w:t>
      </w:r>
      <w:r w:rsidRPr="00476A3C">
        <w:rPr>
          <w:rFonts w:asciiTheme="majorHAnsi" w:hAnsiTheme="majorHAnsi" w:cs="Calibri"/>
          <w:sz w:val="24"/>
          <w:szCs w:val="24"/>
        </w:rPr>
        <w:t>ą</w:t>
      </w:r>
      <w:r w:rsidRPr="00476A3C">
        <w:rPr>
          <w:rFonts w:asciiTheme="majorHAnsi" w:hAnsiTheme="majorHAnsi"/>
          <w:sz w:val="24"/>
          <w:szCs w:val="24"/>
        </w:rPr>
        <w:t>zku z wp</w:t>
      </w:r>
      <w:r w:rsidRPr="00476A3C">
        <w:rPr>
          <w:rFonts w:asciiTheme="majorHAnsi" w:hAnsiTheme="majorHAnsi" w:cs="Calibri"/>
          <w:sz w:val="24"/>
          <w:szCs w:val="24"/>
        </w:rPr>
        <w:t>ł</w:t>
      </w:r>
      <w:r w:rsidRPr="00476A3C">
        <w:rPr>
          <w:rFonts w:asciiTheme="majorHAnsi" w:hAnsiTheme="majorHAnsi"/>
          <w:sz w:val="24"/>
          <w:szCs w:val="24"/>
        </w:rPr>
        <w:t>yni</w:t>
      </w:r>
      <w:r w:rsidRPr="00476A3C">
        <w:rPr>
          <w:rFonts w:asciiTheme="majorHAnsi" w:hAnsiTheme="majorHAnsi" w:cs="Calibri"/>
          <w:sz w:val="24"/>
          <w:szCs w:val="24"/>
        </w:rPr>
        <w:t>ę</w:t>
      </w:r>
      <w:r w:rsidRPr="00476A3C">
        <w:rPr>
          <w:rFonts w:asciiTheme="majorHAnsi" w:hAnsiTheme="majorHAnsi"/>
          <w:sz w:val="24"/>
          <w:szCs w:val="24"/>
        </w:rPr>
        <w:t>ciem wniosków o skrócenie terminu obowi</w:t>
      </w:r>
      <w:r w:rsidRPr="00476A3C">
        <w:rPr>
          <w:rFonts w:asciiTheme="majorHAnsi" w:hAnsiTheme="majorHAnsi" w:cs="Calibri"/>
          <w:sz w:val="24"/>
          <w:szCs w:val="24"/>
        </w:rPr>
        <w:t>ą</w:t>
      </w:r>
      <w:r w:rsidRPr="00476A3C">
        <w:rPr>
          <w:rFonts w:asciiTheme="majorHAnsi" w:hAnsiTheme="majorHAnsi"/>
          <w:sz w:val="24"/>
          <w:szCs w:val="24"/>
        </w:rPr>
        <w:t>zywania decyzji refundacyjnych lub up</w:t>
      </w:r>
      <w:r w:rsidRPr="00476A3C">
        <w:rPr>
          <w:rFonts w:asciiTheme="majorHAnsi" w:hAnsiTheme="majorHAnsi" w:cs="Calibri"/>
          <w:sz w:val="24"/>
          <w:szCs w:val="24"/>
        </w:rPr>
        <w:t>ł</w:t>
      </w:r>
      <w:r w:rsidRPr="00476A3C">
        <w:rPr>
          <w:rFonts w:asciiTheme="majorHAnsi" w:hAnsiTheme="majorHAnsi"/>
          <w:sz w:val="24"/>
          <w:szCs w:val="24"/>
        </w:rPr>
        <w:t>yni</w:t>
      </w:r>
      <w:r w:rsidRPr="00476A3C">
        <w:rPr>
          <w:rFonts w:asciiTheme="majorHAnsi" w:hAnsiTheme="majorHAnsi" w:cs="Calibri"/>
          <w:sz w:val="24"/>
          <w:szCs w:val="24"/>
        </w:rPr>
        <w:t>ę</w:t>
      </w:r>
      <w:r w:rsidRPr="00476A3C">
        <w:rPr>
          <w:rFonts w:asciiTheme="majorHAnsi" w:hAnsiTheme="majorHAnsi"/>
          <w:sz w:val="24"/>
          <w:szCs w:val="24"/>
        </w:rPr>
        <w:t>ciem terminu obowi</w:t>
      </w:r>
      <w:r w:rsidRPr="00476A3C">
        <w:rPr>
          <w:rFonts w:asciiTheme="majorHAnsi" w:hAnsiTheme="majorHAnsi" w:cs="Calibri"/>
          <w:sz w:val="24"/>
          <w:szCs w:val="24"/>
        </w:rPr>
        <w:t>ą</w:t>
      </w:r>
      <w:r w:rsidRPr="00476A3C">
        <w:rPr>
          <w:rFonts w:asciiTheme="majorHAnsi" w:hAnsiTheme="majorHAnsi"/>
          <w:sz w:val="24"/>
          <w:szCs w:val="24"/>
        </w:rPr>
        <w:t>zywania decyzji refundacyjnych lub odmow</w:t>
      </w:r>
      <w:r w:rsidRPr="00476A3C">
        <w:rPr>
          <w:rFonts w:asciiTheme="majorHAnsi" w:hAnsiTheme="majorHAnsi" w:cs="Calibri"/>
          <w:sz w:val="24"/>
          <w:szCs w:val="24"/>
        </w:rPr>
        <w:t>ą</w:t>
      </w:r>
      <w:r w:rsidRPr="00476A3C">
        <w:rPr>
          <w:rFonts w:asciiTheme="majorHAnsi" w:hAnsiTheme="majorHAnsi"/>
          <w:sz w:val="24"/>
          <w:szCs w:val="24"/>
        </w:rPr>
        <w:t xml:space="preserve"> refundacji na kolejny okres w obwieszczeniu nie znajdzie si</w:t>
      </w:r>
      <w:r w:rsidRPr="00476A3C">
        <w:rPr>
          <w:rFonts w:asciiTheme="majorHAnsi" w:hAnsiTheme="majorHAnsi" w:cs="Calibri"/>
          <w:sz w:val="24"/>
          <w:szCs w:val="24"/>
        </w:rPr>
        <w:t>ę</w:t>
      </w:r>
      <w:r w:rsidRPr="00476A3C">
        <w:rPr>
          <w:rFonts w:asciiTheme="majorHAnsi" w:hAnsiTheme="majorHAnsi"/>
          <w:sz w:val="24"/>
          <w:szCs w:val="24"/>
        </w:rPr>
        <w:t xml:space="preserve"> </w:t>
      </w:r>
      <w:r w:rsidR="00A32C82">
        <w:rPr>
          <w:rFonts w:asciiTheme="majorHAnsi" w:hAnsiTheme="majorHAnsi"/>
          <w:sz w:val="24"/>
          <w:szCs w:val="24"/>
        </w:rPr>
        <w:t>32</w:t>
      </w:r>
      <w:r w:rsidR="0057016E">
        <w:rPr>
          <w:rFonts w:asciiTheme="majorHAnsi" w:hAnsiTheme="majorHAnsi"/>
          <w:sz w:val="24"/>
          <w:szCs w:val="24"/>
        </w:rPr>
        <w:t>0</w:t>
      </w:r>
      <w:r w:rsidRPr="00476A3C">
        <w:rPr>
          <w:rFonts w:asciiTheme="majorHAnsi" w:hAnsiTheme="majorHAnsi"/>
          <w:sz w:val="24"/>
          <w:szCs w:val="24"/>
        </w:rPr>
        <w:t xml:space="preserve"> produktów bądź wskazań figurujących  w poprzednim obwieszczeniu.</w:t>
      </w:r>
    </w:p>
    <w:p w14:paraId="514C942E" w14:textId="77777777" w:rsidR="005058F2" w:rsidRDefault="005058F2">
      <w:pPr>
        <w:suppressAutoHyphens w:val="0"/>
        <w:rPr>
          <w:rFonts w:ascii="Abadi" w:hAnsi="Abadi"/>
          <w:b/>
          <w:bCs/>
          <w:color w:val="00B0F0"/>
          <w:sz w:val="28"/>
          <w:szCs w:val="28"/>
        </w:rPr>
      </w:pPr>
      <w:r>
        <w:rPr>
          <w:rFonts w:ascii="Abadi" w:hAnsi="Abadi"/>
          <w:b/>
          <w:bCs/>
          <w:color w:val="00B0F0"/>
          <w:sz w:val="28"/>
          <w:szCs w:val="28"/>
        </w:rPr>
        <w:br w:type="page"/>
      </w:r>
    </w:p>
    <w:p w14:paraId="06A06678" w14:textId="7D136BFD" w:rsidR="00AD08C5" w:rsidRDefault="006A7DCE" w:rsidP="005058F2">
      <w:pPr>
        <w:jc w:val="center"/>
        <w:rPr>
          <w:rFonts w:ascii="Abadi" w:hAnsi="Abadi"/>
          <w:b/>
          <w:bCs/>
          <w:color w:val="00B0F0"/>
          <w:sz w:val="28"/>
          <w:szCs w:val="28"/>
        </w:rPr>
      </w:pPr>
      <w:r>
        <w:rPr>
          <w:rFonts w:ascii="Abadi" w:hAnsi="Abadi"/>
          <w:b/>
          <w:bCs/>
          <w:color w:val="00B0F0"/>
          <w:sz w:val="28"/>
          <w:szCs w:val="28"/>
        </w:rPr>
        <w:lastRenderedPageBreak/>
        <w:t>NOWE WSKAZANIA ORAZ ZMIANY W PROGRAMACH LEKOWYCH</w:t>
      </w:r>
      <w:r w:rsidR="0056748F">
        <w:rPr>
          <w:rFonts w:ascii="Abadi" w:hAnsi="Abadi"/>
          <w:b/>
          <w:bCs/>
          <w:color w:val="00B0F0"/>
          <w:sz w:val="28"/>
          <w:szCs w:val="28"/>
        </w:rPr>
        <w:t xml:space="preserve"> i CHEMIOTERAPII</w:t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1723"/>
        <w:gridCol w:w="660"/>
        <w:gridCol w:w="1922"/>
        <w:gridCol w:w="1872"/>
        <w:gridCol w:w="2596"/>
        <w:gridCol w:w="4496"/>
      </w:tblGrid>
      <w:tr w:rsidR="005058F2" w:rsidRPr="005058F2" w14:paraId="7E2E9B6A" w14:textId="77777777" w:rsidTr="005058F2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7C9CE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Programy lekowe i chemioterapia</w:t>
            </w:r>
          </w:p>
        </w:tc>
      </w:tr>
      <w:tr w:rsidR="005058F2" w:rsidRPr="005058F2" w14:paraId="1C096482" w14:textId="77777777" w:rsidTr="005058F2">
        <w:trPr>
          <w:trHeight w:val="20"/>
        </w:trPr>
        <w:tc>
          <w:tcPr>
            <w:tcW w:w="5000" w:type="pct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D3F6C" w14:textId="047D7715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Nowe wskazania onkologiczne</w:t>
            </w:r>
          </w:p>
        </w:tc>
      </w:tr>
      <w:tr w:rsidR="005058F2" w:rsidRPr="005058F2" w14:paraId="60CDF2D4" w14:textId="77777777" w:rsidTr="00625441">
        <w:trPr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18D0B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B337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leku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4251E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0A519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Numer programu lekowego/załącznika chemioterapii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A8893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programu lekowego/ Załącznika chemioterapii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64232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Doprecyzowanie wskazania</w:t>
            </w:r>
          </w:p>
        </w:tc>
      </w:tr>
      <w:tr w:rsidR="00EB2F31" w:rsidRPr="005058F2" w14:paraId="1F4280B1" w14:textId="77777777" w:rsidTr="00625441">
        <w:trPr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9A6C0" w14:textId="598F0AEB" w:rsidR="00EB2F31" w:rsidRPr="004176B2" w:rsidRDefault="00EB2F31" w:rsidP="00EB2F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EF7A1" w14:textId="5FA2B741" w:rsidR="00EB2F31" w:rsidRPr="004176B2" w:rsidRDefault="00EB2F31" w:rsidP="00EB2F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Zejula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EBA34" w14:textId="005D294F" w:rsidR="00EB2F31" w:rsidRPr="004176B2" w:rsidRDefault="00EB2F31" w:rsidP="00EB2F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niraparyb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A00C8" w14:textId="1106765F" w:rsidR="00EB2F31" w:rsidRPr="004176B2" w:rsidRDefault="00EB2F31" w:rsidP="00EB2F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B.50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CD2B8" w14:textId="3FF7D69B" w:rsidR="00EB2F31" w:rsidRPr="004176B2" w:rsidRDefault="00EB2F31" w:rsidP="00EB2F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sz w:val="20"/>
                <w:szCs w:val="20"/>
              </w:rPr>
              <w:t>LECZENIE CHORYCH NA RAKA JAJNIKA, RAKA JAJOWODU LUB RAKA OTRZEWNEJ (ICD-10: C56, C57, C48)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CC36C" w14:textId="40B3CE69" w:rsidR="00EB2F31" w:rsidRPr="004176B2" w:rsidRDefault="00EB2F31" w:rsidP="00EB2F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sz w:val="20"/>
                <w:szCs w:val="20"/>
              </w:rPr>
              <w:t xml:space="preserve">I </w:t>
            </w:r>
            <w:r w:rsidR="00476A3C" w:rsidRPr="004176B2">
              <w:rPr>
                <w:rFonts w:asciiTheme="majorHAnsi" w:hAnsiTheme="majorHAnsi" w:cstheme="majorHAnsi"/>
                <w:sz w:val="20"/>
                <w:szCs w:val="20"/>
              </w:rPr>
              <w:t>linia</w:t>
            </w:r>
            <w:r w:rsidRPr="004176B2">
              <w:rPr>
                <w:rFonts w:asciiTheme="majorHAnsi" w:hAnsiTheme="majorHAnsi" w:cstheme="majorHAnsi"/>
                <w:sz w:val="20"/>
                <w:szCs w:val="20"/>
              </w:rPr>
              <w:t xml:space="preserve"> leczenia podtrzymującego </w:t>
            </w:r>
            <w:r w:rsidR="00476A3C" w:rsidRPr="004176B2">
              <w:rPr>
                <w:rFonts w:asciiTheme="majorHAnsi" w:hAnsiTheme="majorHAnsi" w:cstheme="majorHAnsi"/>
                <w:sz w:val="20"/>
                <w:szCs w:val="20"/>
              </w:rPr>
              <w:t>noworozpoznanego</w:t>
            </w:r>
            <w:r w:rsidRPr="004176B2">
              <w:rPr>
                <w:rFonts w:asciiTheme="majorHAnsi" w:hAnsiTheme="majorHAnsi" w:cstheme="majorHAnsi"/>
                <w:sz w:val="20"/>
                <w:szCs w:val="20"/>
              </w:rPr>
              <w:t xml:space="preserve"> zaawansowanego raka jajnika, jajowodu lub pierwotnego raka otrzewnej, niezależnie od stanu mutacji w genach BRCA1/BRCA2</w:t>
            </w:r>
            <w:r w:rsidRPr="004176B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B2F31" w:rsidRPr="005058F2" w14:paraId="4C9C4901" w14:textId="77777777" w:rsidTr="005058F2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90A7" w14:textId="5C4E25DC" w:rsidR="00EB2F31" w:rsidRPr="005058F2" w:rsidRDefault="00EB2F31" w:rsidP="00EB2F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Nowe wskazania nieonkologiczne</w:t>
            </w:r>
          </w:p>
        </w:tc>
      </w:tr>
      <w:tr w:rsidR="00EB2F31" w:rsidRPr="005058F2" w14:paraId="1394CD71" w14:textId="77777777" w:rsidTr="00625441">
        <w:trPr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979BE" w14:textId="77777777" w:rsidR="00EB2F31" w:rsidRPr="005058F2" w:rsidRDefault="00EB2F31" w:rsidP="00EB2F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2159" w14:textId="77777777" w:rsidR="00EB2F31" w:rsidRPr="005058F2" w:rsidRDefault="00EB2F31" w:rsidP="00EB2F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leku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C3D6F" w14:textId="77777777" w:rsidR="00EB2F31" w:rsidRPr="005058F2" w:rsidRDefault="00EB2F31" w:rsidP="00EB2F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D8698" w14:textId="77777777" w:rsidR="00EB2F31" w:rsidRPr="005058F2" w:rsidRDefault="00EB2F31" w:rsidP="00EB2F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Numer programu lekowego/załącznika chemioterapii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142B2" w14:textId="77777777" w:rsidR="00EB2F31" w:rsidRPr="005058F2" w:rsidRDefault="00EB2F31" w:rsidP="00EB2F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programu lekowego/ Załącznika chemioterapii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87975" w14:textId="77777777" w:rsidR="00EB2F31" w:rsidRPr="005058F2" w:rsidRDefault="00EB2F31" w:rsidP="00EB2F3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Doprecyzowanie wskazania</w:t>
            </w:r>
          </w:p>
        </w:tc>
      </w:tr>
      <w:tr w:rsidR="004C63DE" w:rsidRPr="005058F2" w14:paraId="62A01DA9" w14:textId="77777777" w:rsidTr="00625441">
        <w:trPr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7BBA0" w14:textId="6F4C3736" w:rsidR="004C63DE" w:rsidRPr="004176B2" w:rsidRDefault="004C63DE" w:rsidP="004C63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5BE2B" w14:textId="70191E43" w:rsidR="004C63DE" w:rsidRPr="004176B2" w:rsidRDefault="004C63DE" w:rsidP="004C63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Entyvio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D57AE" w14:textId="0EAAD26D" w:rsidR="004C63DE" w:rsidRPr="004176B2" w:rsidRDefault="004C63DE" w:rsidP="004C63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wedolizumab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982CD" w14:textId="4A574A3B" w:rsidR="004C63DE" w:rsidRPr="004176B2" w:rsidRDefault="004C63DE" w:rsidP="004C63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B.32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BF572" w14:textId="11C7A0D6" w:rsidR="004C63DE" w:rsidRPr="004176B2" w:rsidRDefault="004C63DE" w:rsidP="004C63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CHOROBĄ LEŚNIOWSKIEGO - CROHNA (ICD-10 K 50)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403BB" w14:textId="3271FEB2" w:rsidR="004C63DE" w:rsidRPr="004176B2" w:rsidRDefault="004C63DE" w:rsidP="004C63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Zniesienie ograniczenia czasu terapii pacjentów leczonych wedolizumabem w ramach programu lekowego B.32.</w:t>
            </w:r>
          </w:p>
        </w:tc>
      </w:tr>
      <w:tr w:rsidR="004C63DE" w:rsidRPr="005058F2" w14:paraId="4D38E9FD" w14:textId="77777777" w:rsidTr="00625441">
        <w:trPr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5E4BE" w14:textId="59EEF5BF" w:rsidR="004C63DE" w:rsidRPr="004176B2" w:rsidRDefault="004C63DE" w:rsidP="004C63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52B5C" w14:textId="2C777C2E" w:rsidR="004C63DE" w:rsidRPr="004176B2" w:rsidRDefault="004C63DE" w:rsidP="004C63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Olumiant 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D3634" w14:textId="17092136" w:rsidR="004C63DE" w:rsidRPr="004176B2" w:rsidRDefault="004C63DE" w:rsidP="004C63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barycytynib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50AD6" w14:textId="5E875480" w:rsidR="004C63DE" w:rsidRPr="004176B2" w:rsidRDefault="004C63DE" w:rsidP="004C63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B.33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D7215" w14:textId="77BF99E9" w:rsidR="004C63DE" w:rsidRPr="004176B2" w:rsidRDefault="004C63DE" w:rsidP="004C63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AKTYWNEJ POSTACI REUMATOIDALNEGO ZAPALENIA STAWÓW I MŁODZIEŃCZEGO IDIOPATYCZNEGO ZAPALENIA STAWÓW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E6E44" w14:textId="75054B74" w:rsidR="004C63DE" w:rsidRPr="004176B2" w:rsidRDefault="004C63DE" w:rsidP="004C63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Rozszerzenie wskazania refundacyjnego o II i kolejne linie terapii RZS</w:t>
            </w:r>
          </w:p>
        </w:tc>
      </w:tr>
      <w:tr w:rsidR="004C63DE" w:rsidRPr="005058F2" w14:paraId="1BA7C42C" w14:textId="77777777" w:rsidTr="00625441">
        <w:trPr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A130F" w14:textId="3F568637" w:rsidR="004C63DE" w:rsidRPr="004176B2" w:rsidRDefault="004C63DE" w:rsidP="004C63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A0A55" w14:textId="04C435D5" w:rsidR="004C63DE" w:rsidRPr="004176B2" w:rsidRDefault="004C63DE" w:rsidP="004C63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Stelara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B1739" w14:textId="79A439C2" w:rsidR="004C63DE" w:rsidRPr="004176B2" w:rsidRDefault="004C63DE" w:rsidP="004C63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ustekinumab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D653" w14:textId="40082F15" w:rsidR="004C63DE" w:rsidRPr="004176B2" w:rsidRDefault="004C63DE" w:rsidP="004C63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B.55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90837" w14:textId="15030954" w:rsidR="004C63DE" w:rsidRPr="004176B2" w:rsidRDefault="004C63DE" w:rsidP="004C63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PACJENTÓW Z WRZODZIEJĄCYM ZAPALENIEM JELITA GRUBEGO (WZJG) (ICD-10 K51) 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D0C8E" w14:textId="3089A70B" w:rsidR="004C63DE" w:rsidRPr="004176B2" w:rsidRDefault="004C63DE" w:rsidP="004C63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Umożliwienie terapii ustekinumabem pacjentom z rozpoznaną ciężką lub umiarkowaną postacią wrzodziejącego zapalenia jelita grubego.</w:t>
            </w:r>
          </w:p>
        </w:tc>
      </w:tr>
      <w:tr w:rsidR="004C63DE" w:rsidRPr="005058F2" w14:paraId="6937B908" w14:textId="77777777" w:rsidTr="00625441">
        <w:trPr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D8D2D" w14:textId="7567C00C" w:rsidR="004C63DE" w:rsidRPr="004176B2" w:rsidRDefault="004C63DE" w:rsidP="004C63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8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DABE0" w14:textId="0B01DAFA" w:rsidR="004C63DE" w:rsidRPr="004176B2" w:rsidRDefault="004C63DE" w:rsidP="004C63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Entyvio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77083" w14:textId="613A54F4" w:rsidR="004C63DE" w:rsidRPr="004176B2" w:rsidRDefault="004C63DE" w:rsidP="004C63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wedolizumab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43E04" w14:textId="15D9EDF5" w:rsidR="004C63DE" w:rsidRPr="004176B2" w:rsidRDefault="004C63DE" w:rsidP="004C63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B.55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BCCA2" w14:textId="648A9742" w:rsidR="004C63DE" w:rsidRPr="004176B2" w:rsidRDefault="004C63DE" w:rsidP="004C63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WRZODZIEJĄCYM ZAPALENIEM JELITA GRUBEGO (WZJG) (ICD-10 K51)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650FE" w14:textId="33D9B537" w:rsidR="004C63DE" w:rsidRPr="004176B2" w:rsidRDefault="004C63DE" w:rsidP="004C63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Zniesienie ograniczenia czasu terapii pacjentów leczonych wedolizumabem w ramach programu lekowego B.55.</w:t>
            </w:r>
          </w:p>
        </w:tc>
      </w:tr>
      <w:tr w:rsidR="004C63DE" w:rsidRPr="005058F2" w14:paraId="09EE1756" w14:textId="77777777" w:rsidTr="00625441">
        <w:trPr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F2623" w14:textId="283F84EC" w:rsidR="004C63DE" w:rsidRPr="004176B2" w:rsidRDefault="004C63DE" w:rsidP="004C63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6E2A8" w14:textId="4209CA95" w:rsidR="004C63DE" w:rsidRPr="004176B2" w:rsidRDefault="004C63DE" w:rsidP="004C63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Givlaari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22DFC" w14:textId="0CAD9A89" w:rsidR="004C63DE" w:rsidRPr="004176B2" w:rsidRDefault="004C63DE" w:rsidP="004C63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</w:t>
            </w: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iwosyran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AE60E" w14:textId="68662E66" w:rsidR="004C63DE" w:rsidRPr="004176B2" w:rsidRDefault="004C63DE" w:rsidP="004C63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419A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B.128.FM.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861D5" w14:textId="6C35012C" w:rsidR="004C63DE" w:rsidRPr="004176B2" w:rsidRDefault="004C63DE" w:rsidP="004C63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OSTRĄ PORFIRIĘ WĄTROBOWĄ (AHP) U DOROSŁYCH I MŁODZIEŻY W WIEKU OD 12 LAT (ICD-10: E80.2)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562D8" w14:textId="206E9AB7" w:rsidR="001419A3" w:rsidRDefault="004C63DE" w:rsidP="004C63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Pierwsza technologia lekowa </w:t>
            </w:r>
            <w:r w:rsidR="00B759B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 wysokim poziomie innowacyjności </w:t>
            </w:r>
          </w:p>
          <w:p w14:paraId="6ECDFF17" w14:textId="43DCA2EE" w:rsidR="004C63DE" w:rsidRPr="00B759BC" w:rsidRDefault="004C63DE" w:rsidP="004C63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59B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</w:t>
            </w:r>
            <w:r w:rsidR="00476A3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</w:t>
            </w:r>
            <w:r w:rsidRPr="00B759B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horoba ultrarzadka)</w:t>
            </w:r>
          </w:p>
          <w:p w14:paraId="6E6DEB70" w14:textId="676E2A6C" w:rsidR="00B759BC" w:rsidRPr="004176B2" w:rsidRDefault="00B759BC" w:rsidP="004C63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759B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(technologia finansowana z Funduszu Medycznego)</w:t>
            </w:r>
          </w:p>
        </w:tc>
      </w:tr>
      <w:tr w:rsidR="007505CE" w:rsidRPr="005058F2" w14:paraId="0B833808" w14:textId="77777777" w:rsidTr="005058F2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B9EA6" w14:textId="428F8CF7" w:rsidR="007505CE" w:rsidRPr="005058F2" w:rsidRDefault="007505CE" w:rsidP="007505C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Zmiany w programach lekowych</w:t>
            </w:r>
            <w:r>
              <w:rPr>
                <w:rFonts w:asciiTheme="majorHAnsi" w:hAnsiTheme="majorHAnsi" w:cstheme="majorHAnsi"/>
                <w:b/>
                <w:bCs/>
                <w:color w:val="FFFFFF"/>
              </w:rPr>
              <w:t xml:space="preserve"> i chemioterapii</w:t>
            </w:r>
          </w:p>
        </w:tc>
      </w:tr>
      <w:tr w:rsidR="007505CE" w:rsidRPr="005058F2" w14:paraId="2BCC5E80" w14:textId="77777777" w:rsidTr="00625441">
        <w:trPr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385C7" w14:textId="77777777" w:rsidR="007505CE" w:rsidRPr="005058F2" w:rsidRDefault="007505CE" w:rsidP="007505C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0381" w14:textId="7E0E9907" w:rsidR="007505CE" w:rsidRPr="005058F2" w:rsidRDefault="007505CE" w:rsidP="007505C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Numer programu lekowego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lub nu</w:t>
            </w:r>
            <w:r w:rsidRPr="00A118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eru załącznika</w:t>
            </w:r>
          </w:p>
        </w:tc>
        <w:tc>
          <w:tcPr>
            <w:tcW w:w="9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32808" w14:textId="70920D05" w:rsidR="007505CE" w:rsidRPr="005058F2" w:rsidRDefault="007505CE" w:rsidP="007505C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programu lekowego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lub załącznika che</w:t>
            </w: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ioterapii</w:t>
            </w:r>
          </w:p>
        </w:tc>
        <w:tc>
          <w:tcPr>
            <w:tcW w:w="32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38F47" w14:textId="14B18ED3" w:rsidR="007505CE" w:rsidRPr="005058F2" w:rsidRDefault="007505CE" w:rsidP="007505C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Krótki opis zmian dokonanych w obrębie programu lekowego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/ załącznika chemioterapii</w:t>
            </w:r>
          </w:p>
        </w:tc>
      </w:tr>
      <w:tr w:rsidR="007505CE" w:rsidRPr="005058F2" w14:paraId="571B0832" w14:textId="77777777" w:rsidTr="00625441">
        <w:trPr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70F3C" w14:textId="21F3CAC0" w:rsidR="007505CE" w:rsidRPr="00106761" w:rsidRDefault="00266DCA" w:rsidP="007505C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="007505CE" w:rsidRPr="001067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038BA" w14:textId="76833A81" w:rsidR="007505CE" w:rsidRPr="00106761" w:rsidRDefault="007505CE" w:rsidP="007505C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067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B.32</w:t>
            </w:r>
          </w:p>
        </w:tc>
        <w:tc>
          <w:tcPr>
            <w:tcW w:w="9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D1FCD" w14:textId="23685ADB" w:rsidR="007505CE" w:rsidRPr="00106761" w:rsidRDefault="007505CE" w:rsidP="007505C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067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CHOROBĄ LEŚNIOWSKIEGO - CROHNA (ICD-10 K 50)</w:t>
            </w:r>
            <w:r w:rsidRPr="0010676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23DED" w14:textId="77777777" w:rsidR="007505CE" w:rsidRPr="00106761" w:rsidRDefault="007505CE" w:rsidP="007505CE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067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Zniesienie ograniczenia czasu leczenia dla wszystkich leków biologicznych dostępnych w ramach programu lekowego B.32.</w:t>
            </w:r>
          </w:p>
          <w:p w14:paraId="008996A2" w14:textId="77777777" w:rsidR="007505CE" w:rsidRDefault="007505CE" w:rsidP="007505CE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067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Doprecyzowanie kryteriów wyłączenia z programu.</w:t>
            </w:r>
          </w:p>
          <w:p w14:paraId="4C89A20F" w14:textId="17BB1E64" w:rsidR="007505CE" w:rsidRPr="00BB0128" w:rsidRDefault="007505CE" w:rsidP="007505CE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012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Modyfikacja badań diagnostycznych wymaganych podczas kwalifikacji do programu, a także stosowanych w celu optymalizacji leczenia i oceny zasadności kontynuowania terapii.</w:t>
            </w:r>
          </w:p>
        </w:tc>
      </w:tr>
      <w:tr w:rsidR="007505CE" w:rsidRPr="005058F2" w14:paraId="66D571B6" w14:textId="77777777" w:rsidTr="00625441">
        <w:trPr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113C4" w14:textId="7ED86D03" w:rsidR="007505CE" w:rsidRPr="00106761" w:rsidRDefault="00266DCA" w:rsidP="007505C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  <w:r w:rsidR="007505CE" w:rsidRPr="001067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0310C" w14:textId="5444E92C" w:rsidR="007505CE" w:rsidRPr="00106761" w:rsidRDefault="007505CE" w:rsidP="007505C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067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B.55</w:t>
            </w:r>
          </w:p>
        </w:tc>
        <w:tc>
          <w:tcPr>
            <w:tcW w:w="9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69A50" w14:textId="72B215C6" w:rsidR="007505CE" w:rsidRPr="00106761" w:rsidRDefault="007505CE" w:rsidP="007505C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067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WRZODZIEJĄCYM ZAPALENIEM JELITA GRUBEGO (WZJG) (ICD-10 K51)</w:t>
            </w:r>
          </w:p>
        </w:tc>
        <w:tc>
          <w:tcPr>
            <w:tcW w:w="32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A3023" w14:textId="77777777" w:rsidR="007505CE" w:rsidRPr="00106761" w:rsidRDefault="007505CE" w:rsidP="007505CE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067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Zniesienie ograniczenia czasu leczenia dla wszystkich leków biologicznych dostępnych w ramach programu lekowego B.55.</w:t>
            </w:r>
          </w:p>
          <w:p w14:paraId="7D157512" w14:textId="77777777" w:rsidR="007505CE" w:rsidRPr="00106761" w:rsidRDefault="007505CE" w:rsidP="007505CE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067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Dodanie zapisów związanych z udostępnieniem nowej terapii ustekinumabem w ramach programu lekowego B.55.</w:t>
            </w:r>
          </w:p>
          <w:p w14:paraId="52AD5618" w14:textId="77777777" w:rsidR="007505CE" w:rsidRDefault="007505CE" w:rsidP="007505CE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067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Doprecyzowanie kryteriów wyłączenia z programu</w:t>
            </w:r>
          </w:p>
          <w:p w14:paraId="4C9AB9C4" w14:textId="19D670AD" w:rsidR="007505CE" w:rsidRPr="00BB0128" w:rsidRDefault="007505CE" w:rsidP="007505CE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012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Modyfikacja badań diagnostycznych wymaganych podczas kwalifikacji do programu, a także stosowanych w celu optymalizacji leczenia i oceny zasadności kontynuowania terapii.</w:t>
            </w:r>
          </w:p>
        </w:tc>
      </w:tr>
      <w:tr w:rsidR="007505CE" w:rsidRPr="005058F2" w14:paraId="724AC3F0" w14:textId="77777777" w:rsidTr="00625441">
        <w:trPr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8D35" w14:textId="1E76CD65" w:rsidR="007505CE" w:rsidRPr="00106761" w:rsidRDefault="00266DCA" w:rsidP="007505C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  <w:r w:rsidR="007505CE" w:rsidRPr="001067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C0B6F" w14:textId="61309D2C" w:rsidR="007505CE" w:rsidRPr="00106761" w:rsidRDefault="007505CE" w:rsidP="007505C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067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B.52</w:t>
            </w:r>
          </w:p>
        </w:tc>
        <w:tc>
          <w:tcPr>
            <w:tcW w:w="9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F91B7" w14:textId="3631CA50" w:rsidR="007505CE" w:rsidRPr="00106761" w:rsidRDefault="007505CE" w:rsidP="007505CE">
            <w:pPr>
              <w:autoSpaceDE w:val="0"/>
              <w:adjustRightInd w:val="0"/>
              <w:spacing w:after="200" w:line="276" w:lineRule="auto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106761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LECZENIE PŁASKONABŁONKOWEGO RAKA NARZĄDÓW GŁOWY I SZYI</w:t>
            </w:r>
          </w:p>
        </w:tc>
        <w:tc>
          <w:tcPr>
            <w:tcW w:w="32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60502" w14:textId="001C0004" w:rsidR="007505CE" w:rsidRPr="001E1EAA" w:rsidRDefault="007505CE" w:rsidP="007505C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E1EAA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Umożliwiono podawanie cetuksymabu dożylnie w dawce 500 mg/m2, co 2 tygodnie</w:t>
            </w:r>
          </w:p>
        </w:tc>
      </w:tr>
      <w:tr w:rsidR="00266DCA" w:rsidRPr="005058F2" w14:paraId="5FB7B0FC" w14:textId="77777777" w:rsidTr="00625441">
        <w:trPr>
          <w:trHeight w:val="20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7184C" w14:textId="03D62C83" w:rsidR="00266DCA" w:rsidRPr="00106761" w:rsidRDefault="00266DCA" w:rsidP="00266DC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C021C" w14:textId="5E3588C7" w:rsidR="00266DCA" w:rsidRPr="00106761" w:rsidRDefault="00266DCA" w:rsidP="00266DC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067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B.92.</w:t>
            </w:r>
          </w:p>
        </w:tc>
        <w:tc>
          <w:tcPr>
            <w:tcW w:w="9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9D898" w14:textId="46CD2E5C" w:rsidR="00266DCA" w:rsidRPr="00106761" w:rsidRDefault="00266DCA" w:rsidP="00266DCA">
            <w:pPr>
              <w:autoSpaceDE w:val="0"/>
              <w:adjustRightInd w:val="0"/>
              <w:spacing w:after="200" w:line="276" w:lineRule="auto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1067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przewlekłą białaczkę limfocytową ibrutynibem (ICD 10: C91.1)</w:t>
            </w:r>
          </w:p>
        </w:tc>
        <w:tc>
          <w:tcPr>
            <w:tcW w:w="32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712C4" w14:textId="487857C3" w:rsidR="00266DCA" w:rsidRPr="001E1EAA" w:rsidRDefault="00266DCA" w:rsidP="00266DC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1067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Zmiana w kryteriach kwalifikacji w części II programu lekowego w punkcie dotyczącym przeciwwskazań medycznych do zastosowania schematu zawierającego wenetoklaks w skojarzeniu z rytuksymabem</w:t>
            </w:r>
          </w:p>
        </w:tc>
      </w:tr>
    </w:tbl>
    <w:p w14:paraId="452A616A" w14:textId="7565B602" w:rsidR="00AD08C5" w:rsidRDefault="00AD08C5">
      <w:pPr>
        <w:rPr>
          <w:rFonts w:ascii="Arial Rounded MT Bold" w:hAnsi="Arial Rounded MT Bold"/>
          <w:b/>
          <w:bCs/>
          <w:color w:val="00B0F0"/>
        </w:rPr>
      </w:pPr>
    </w:p>
    <w:p w14:paraId="5A044ED4" w14:textId="77777777" w:rsidR="00106761" w:rsidRDefault="00106761">
      <w:pPr>
        <w:rPr>
          <w:rFonts w:ascii="Arial Rounded MT Bold" w:hAnsi="Arial Rounded MT Bold"/>
          <w:b/>
          <w:bCs/>
          <w:color w:val="00B0F0"/>
        </w:rPr>
      </w:pPr>
    </w:p>
    <w:p w14:paraId="08AE375A" w14:textId="77777777" w:rsidR="0056748F" w:rsidRDefault="0056748F">
      <w:pPr>
        <w:suppressAutoHyphens w:val="0"/>
        <w:rPr>
          <w:rFonts w:ascii="Abadi" w:hAnsi="Abadi"/>
          <w:b/>
          <w:bCs/>
          <w:color w:val="00B0F0"/>
          <w:sz w:val="28"/>
          <w:szCs w:val="28"/>
        </w:rPr>
      </w:pPr>
      <w:r>
        <w:rPr>
          <w:rFonts w:ascii="Abadi" w:hAnsi="Abadi"/>
          <w:b/>
          <w:bCs/>
          <w:color w:val="00B0F0"/>
          <w:sz w:val="28"/>
          <w:szCs w:val="28"/>
        </w:rPr>
        <w:br w:type="page"/>
      </w:r>
    </w:p>
    <w:p w14:paraId="703841AA" w14:textId="45026A20" w:rsidR="0056748F" w:rsidRDefault="0056748F" w:rsidP="0056748F">
      <w:pPr>
        <w:jc w:val="center"/>
        <w:rPr>
          <w:rFonts w:ascii="Abadi" w:hAnsi="Abadi"/>
          <w:b/>
          <w:bCs/>
          <w:color w:val="00B0F0"/>
          <w:sz w:val="28"/>
          <w:szCs w:val="28"/>
        </w:rPr>
      </w:pPr>
      <w:bookmarkStart w:id="1" w:name="_Hlk90283710"/>
      <w:r>
        <w:rPr>
          <w:rFonts w:ascii="Abadi" w:hAnsi="Abadi"/>
          <w:b/>
          <w:bCs/>
          <w:color w:val="00B0F0"/>
          <w:sz w:val="28"/>
          <w:szCs w:val="28"/>
        </w:rPr>
        <w:lastRenderedPageBreak/>
        <w:t>NOWE WSKAZANIA ORAZ ZMIANY W REFUNDACJI APTECZNEJ</w:t>
      </w:r>
    </w:p>
    <w:tbl>
      <w:tblPr>
        <w:tblW w:w="5000" w:type="pct"/>
        <w:tblCellMar>
          <w:top w:w="57" w:type="dxa"/>
          <w:left w:w="10" w:type="dxa"/>
          <w:bottom w:w="57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2412"/>
        <w:gridCol w:w="1838"/>
        <w:gridCol w:w="4266"/>
        <w:gridCol w:w="4781"/>
      </w:tblGrid>
      <w:tr w:rsidR="00AD08C5" w:rsidRPr="005058F2" w14:paraId="2CD1B9F9" w14:textId="77777777" w:rsidTr="0056748F">
        <w:trPr>
          <w:trHeight w:val="549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1"/>
          <w:p w14:paraId="05E7E891" w14:textId="77777777" w:rsidR="00AD08C5" w:rsidRPr="005058F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Apteka</w:t>
            </w:r>
          </w:p>
        </w:tc>
      </w:tr>
      <w:tr w:rsidR="00AD08C5" w:rsidRPr="005058F2" w14:paraId="7C1774EA" w14:textId="77777777" w:rsidTr="0056748F">
        <w:trPr>
          <w:trHeight w:val="328"/>
        </w:trPr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86140" w14:textId="77777777" w:rsidR="00AD08C5" w:rsidRPr="005058F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Nowe wskazania refundacyjne</w:t>
            </w:r>
          </w:p>
        </w:tc>
      </w:tr>
      <w:tr w:rsidR="0056748F" w:rsidRPr="005058F2" w14:paraId="7D53B9E1" w14:textId="77777777" w:rsidTr="00292C5E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3CB4" w14:textId="77777777" w:rsidR="00AD08C5" w:rsidRPr="005058F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E9D6E" w14:textId="70C49D87" w:rsidR="00AD08C5" w:rsidRPr="005058F2" w:rsidRDefault="00A118F0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leku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, środka spożywczego specjalnego przeznaczenia lub wyrobu </w:t>
            </w:r>
            <w:r w:rsidRPr="00051701">
              <w:rPr>
                <w:rFonts w:asciiTheme="majorHAnsi" w:hAnsiTheme="majorHAnsi" w:cstheme="majorHAnsi"/>
                <w:b/>
                <w:bCs/>
              </w:rPr>
              <w:t>medycznego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A6F35" w14:textId="615FEFE2" w:rsidR="00AD08C5" w:rsidRPr="005058F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33D3" w14:textId="77777777" w:rsidR="00AD08C5" w:rsidRPr="005058F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Wskazanie refundacyjne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EAF7" w14:textId="77777777" w:rsidR="00AD08C5" w:rsidRPr="005058F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Doprecyzowanie wskazania</w:t>
            </w:r>
          </w:p>
        </w:tc>
      </w:tr>
      <w:tr w:rsidR="00B759BC" w:rsidRPr="005058F2" w14:paraId="6DDAF5B1" w14:textId="77777777" w:rsidTr="00B36F52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E530D" w14:textId="366D15C7" w:rsidR="00B759BC" w:rsidRPr="004176B2" w:rsidRDefault="00B759BC" w:rsidP="00B759B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4DDE9" w14:textId="3B23DFB1" w:rsidR="00B759BC" w:rsidRPr="004176B2" w:rsidRDefault="00B759BC" w:rsidP="00B36F5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Prevenar 13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1F25D" w14:textId="6A494F35" w:rsidR="00B759BC" w:rsidRPr="004176B2" w:rsidRDefault="00B759BC" w:rsidP="00B36F5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Szczepionka przeciw pneumokokom sacharydowa, skoniugowana, adsorbowana (13-walentna)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B8E88" w14:textId="19709027" w:rsidR="00B759BC" w:rsidRPr="004176B2" w:rsidRDefault="00B759BC" w:rsidP="00B36F5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Profilaktyka osób powyżej 65 r.ż. ze zwiększonym (umiarkowanym do wysokiego) ryzykiem choroby pneumokokowej tj. z: przewlekłą chorobą serca, przewlekłą chorobą wątroby, przewlekłą chorobą płuc, cukrzycą, implantem ślimakowym, wyciekiem płynu mózgowordzeniowego, wrodzoną lub nabytą asplenią, niedokrwistością sierpowatą i innymi hemoglobinopatiami, przewlekłą niewydolnością nerek, wrodzonym lub nabytym niedoborem odporności, uogólnioną choroba nowotworową, zakażeniem wirusem HIV, chorobą Hodgkina, jatrogenną immunosupresją, białaczką, szpiczakiem mnogim, przeszczepem narządu litego;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7F2D0" w14:textId="77777777" w:rsidR="00B759BC" w:rsidRPr="00106761" w:rsidRDefault="00B759BC" w:rsidP="00B36F5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B759BC" w:rsidRPr="005058F2" w14:paraId="176F069A" w14:textId="77777777" w:rsidTr="00B36F52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028BC" w14:textId="781AE805" w:rsidR="00B759BC" w:rsidRPr="004176B2" w:rsidRDefault="00B759BC" w:rsidP="00B759B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76632" w14:textId="3F807A68" w:rsidR="00B759BC" w:rsidRPr="004176B2" w:rsidRDefault="00B759BC" w:rsidP="00B36F5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Briviact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88B52" w14:textId="3EE4C19F" w:rsidR="00B759BC" w:rsidRPr="004176B2" w:rsidRDefault="00B759BC" w:rsidP="00B36F5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Brivaracetamum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585A1" w14:textId="68E4C26E" w:rsidR="00B759BC" w:rsidRPr="004176B2" w:rsidRDefault="00B759BC" w:rsidP="00B36F5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Terapia dodana po co najmniej trzech nieudanych próbach leczenia u dzieci powyżej 4 r.ż. i młodzieży poniżej 16. roku życia z encefalopatiami padaczkowymi pod postacią zespołu Lennoxa-Gastauta, Zespołu Dravet, zespołu Westa i innych rzadkich genetycznie uwarunkowanych encefalopatii padaczkowych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45E36" w14:textId="2B03F5B7" w:rsidR="00B759BC" w:rsidRPr="00106761" w:rsidRDefault="00B759BC" w:rsidP="00B36F5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067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Rozszerzenie aktualnego wskazania o populację dzieci od 4 roku życia z encefalopatiami padaczkowymi</w:t>
            </w:r>
          </w:p>
        </w:tc>
      </w:tr>
      <w:tr w:rsidR="00B36F52" w:rsidRPr="005058F2" w14:paraId="3E62A70D" w14:textId="77777777" w:rsidTr="00B36F52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ED6C4" w14:textId="310D81C1" w:rsidR="00B36F52" w:rsidRPr="004176B2" w:rsidRDefault="00B36F52" w:rsidP="00B36F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1D194" w14:textId="582EEAA0" w:rsidR="00B36F52" w:rsidRPr="00F028E1" w:rsidRDefault="00B36F52" w:rsidP="00B36F5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4176B2">
              <w:rPr>
                <w:rFonts w:asciiTheme="majorHAnsi" w:hAnsiTheme="majorHAnsi" w:cstheme="majorHAnsi"/>
                <w:sz w:val="20"/>
                <w:szCs w:val="20"/>
                <w:lang w:val="en-GB" w:eastAsia="pl-PL"/>
              </w:rPr>
              <w:t>Mevalia PKU Motion Red Fruits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1F354" w14:textId="1AEBDC7C" w:rsidR="00B36F52" w:rsidRPr="004176B2" w:rsidRDefault="00B36F52" w:rsidP="00B36F5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Dieta eliminacyjna w fenyloketonurii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0D22F" w14:textId="65764B26" w:rsidR="00B36F52" w:rsidRPr="004176B2" w:rsidRDefault="00B36F52" w:rsidP="00B36F5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Fenyloketonuria (PKU) u pacjentów powyżej 3 roku życia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C0182" w14:textId="062DE34D" w:rsidR="00B36F52" w:rsidRPr="002D03A4" w:rsidRDefault="00B36F52" w:rsidP="00B36F5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D03A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Choroba rzadka</w:t>
            </w:r>
          </w:p>
        </w:tc>
      </w:tr>
      <w:tr w:rsidR="00B36F52" w:rsidRPr="005058F2" w14:paraId="4C72C520" w14:textId="77777777" w:rsidTr="00B36F52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BBC1B" w14:textId="6E70FA40" w:rsidR="00B36F52" w:rsidRPr="004176B2" w:rsidRDefault="00B36F52" w:rsidP="00B36F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C24D5" w14:textId="5BB12A69" w:rsidR="00B36F52" w:rsidRPr="004176B2" w:rsidRDefault="00B36F52" w:rsidP="00B36F5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Mevalia PKU Motion Tropical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DF518" w14:textId="36B4EBD7" w:rsidR="00B36F52" w:rsidRPr="004176B2" w:rsidRDefault="00B36F52" w:rsidP="00B36F5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Dieta eliminacyjna w fenyloketonurii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05AE9" w14:textId="55C86DF2" w:rsidR="00B36F52" w:rsidRPr="004176B2" w:rsidRDefault="00B36F52" w:rsidP="00B36F5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Fenyloketonuria (PKU) u pacjentów powyżej 3 roku życia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C512B" w14:textId="052ECAC3" w:rsidR="00B36F52" w:rsidRPr="002D03A4" w:rsidRDefault="00B36F52" w:rsidP="00B36F5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D03A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Choroba rzadka</w:t>
            </w:r>
          </w:p>
        </w:tc>
      </w:tr>
      <w:tr w:rsidR="00B36F52" w:rsidRPr="005058F2" w14:paraId="046C0578" w14:textId="77777777" w:rsidTr="00B36F52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12E38" w14:textId="6745CB33" w:rsidR="00B36F52" w:rsidRPr="004176B2" w:rsidRDefault="00B36F52" w:rsidP="00B36F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71321" w14:textId="1FDB7799" w:rsidR="00B36F52" w:rsidRPr="00F028E1" w:rsidRDefault="00B36F52" w:rsidP="00B36F5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4176B2">
              <w:rPr>
                <w:rFonts w:asciiTheme="majorHAnsi" w:hAnsiTheme="majorHAnsi" w:cstheme="majorHAnsi"/>
                <w:sz w:val="20"/>
                <w:szCs w:val="20"/>
                <w:lang w:val="en-GB" w:eastAsia="pl-PL"/>
              </w:rPr>
              <w:t>Mevalia PKU Motion Yellow Fruits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5AB57" w14:textId="4187EAF8" w:rsidR="00B36F52" w:rsidRPr="004176B2" w:rsidRDefault="00B36F52" w:rsidP="00B36F5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Dieta eliminacyjna w fenyloketonurii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ACD9E" w14:textId="164E1136" w:rsidR="00B36F52" w:rsidRPr="004176B2" w:rsidRDefault="00B36F52" w:rsidP="00B36F5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Fenyloketonuria (PKU) u pacjentów powyżej 3 roku życia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F1C44" w14:textId="4BF70FFF" w:rsidR="00B36F52" w:rsidRPr="002D03A4" w:rsidRDefault="00B36F52" w:rsidP="00B36F5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D03A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Choroba rzadka</w:t>
            </w:r>
          </w:p>
        </w:tc>
      </w:tr>
      <w:tr w:rsidR="00B36F52" w:rsidRPr="005058F2" w14:paraId="772A0AC8" w14:textId="77777777" w:rsidTr="00B36F52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A78E1" w14:textId="0057F5D5" w:rsidR="00B36F52" w:rsidRPr="004176B2" w:rsidRDefault="00B36F52" w:rsidP="00B36F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1C1F" w14:textId="1DA8F549" w:rsidR="00B36F52" w:rsidRPr="004176B2" w:rsidRDefault="00B36F52" w:rsidP="00B36F5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PKU Sphere 15 o smaku waniliowym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FBDB0" w14:textId="75D6B82D" w:rsidR="00B36F52" w:rsidRPr="004176B2" w:rsidRDefault="00B36F52" w:rsidP="00B36F5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Dieta eliminacyjna w fenyloketonurii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CB61F" w14:textId="49647B33" w:rsidR="00B36F52" w:rsidRPr="004176B2" w:rsidRDefault="00B36F52" w:rsidP="00B36F5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Fenyloketonuria (PKU) u pacjentów powyżej 4 roku życia, u których dobowa tolerancja fenyloalaniny pozwala na zastosowanie preparatów glikomakropeptydowych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38B0C" w14:textId="2ED74040" w:rsidR="00B36F52" w:rsidRPr="002D03A4" w:rsidRDefault="00B36F52" w:rsidP="00B36F5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D03A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Choroba rzadka</w:t>
            </w:r>
          </w:p>
        </w:tc>
      </w:tr>
      <w:tr w:rsidR="00B36F52" w:rsidRPr="005058F2" w14:paraId="076A0D1E" w14:textId="77777777" w:rsidTr="00B36F52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CA4CA" w14:textId="0F270EC0" w:rsidR="00B36F52" w:rsidRPr="004176B2" w:rsidRDefault="00B36F52" w:rsidP="00B36F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AB192" w14:textId="1EBEE4A4" w:rsidR="00B36F52" w:rsidRPr="004176B2" w:rsidRDefault="00B36F52" w:rsidP="00B36F5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PKU Sphere 15 o smaku czerwonych owoców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B2639" w14:textId="1C5630EF" w:rsidR="00B36F52" w:rsidRPr="004176B2" w:rsidRDefault="00B36F52" w:rsidP="00B36F5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Dieta eliminacyjna w fenyloketonurii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64009" w14:textId="31A013FF" w:rsidR="00B36F52" w:rsidRPr="004176B2" w:rsidRDefault="00B36F52" w:rsidP="00B36F5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Fenyloketonuria (PKU) u pacjentów powyżej 4 roku życia, u których dobowa tolerancja fenyloalaniny pozwala na zastosowanie preparatów glikomakropeptydowych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35F40" w14:textId="652BE8F0" w:rsidR="00B36F52" w:rsidRPr="002D03A4" w:rsidRDefault="00B36F52" w:rsidP="00B36F5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D03A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Choroba rzadka</w:t>
            </w:r>
          </w:p>
        </w:tc>
      </w:tr>
      <w:tr w:rsidR="00B36F52" w:rsidRPr="005058F2" w14:paraId="34844215" w14:textId="77777777" w:rsidTr="00B36F52">
        <w:trPr>
          <w:trHeight w:val="143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5FCD6" w14:textId="53EF507D" w:rsidR="00B36F52" w:rsidRPr="004176B2" w:rsidRDefault="00B36F52" w:rsidP="00B36F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1556A" w14:textId="5CD94753" w:rsidR="00B36F52" w:rsidRPr="004176B2" w:rsidRDefault="00B36F52" w:rsidP="00B36F5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4176B2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PKU Sphere 20 o smaku waniliowym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69BC6" w14:textId="16921704" w:rsidR="00B36F52" w:rsidRPr="004176B2" w:rsidRDefault="00B36F52" w:rsidP="00B36F5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Dieta eliminacyjna w fenyloketonurii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2D3B9" w14:textId="7D89C273" w:rsidR="00B36F52" w:rsidRPr="004176B2" w:rsidRDefault="00B36F52" w:rsidP="00B36F5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Fenyloketonuria (PKU) u pacjentów powyżej 4 roku życia, u których dobowa tolerancja fenyloalaniny pozwala na zastosowanie preparatów glikomakropeptydowych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11D0D" w14:textId="28F5B95A" w:rsidR="00B36F52" w:rsidRPr="002D03A4" w:rsidRDefault="00B36F52" w:rsidP="00B36F5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D03A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Choroba rzadka</w:t>
            </w:r>
          </w:p>
        </w:tc>
      </w:tr>
      <w:tr w:rsidR="00B36F52" w:rsidRPr="005058F2" w14:paraId="258266EF" w14:textId="77777777" w:rsidTr="00B36F52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6DF1C" w14:textId="106E98DC" w:rsidR="00B36F52" w:rsidRPr="004176B2" w:rsidRDefault="00B36F52" w:rsidP="00B36F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A008D" w14:textId="1062EA80" w:rsidR="00B36F52" w:rsidRPr="004176B2" w:rsidRDefault="00B36F52" w:rsidP="00B36F5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sz w:val="20"/>
                <w:szCs w:val="20"/>
                <w:lang w:val="en-GB" w:eastAsia="pl-PL"/>
              </w:rPr>
              <w:t>BD Micro-Fine Plus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3F0B9" w14:textId="3DCAE9BF" w:rsidR="00B36F52" w:rsidRPr="004176B2" w:rsidRDefault="00B36F52" w:rsidP="00B36F5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Igły do penów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6B854" w14:textId="2C761589" w:rsidR="00B36F52" w:rsidRPr="004176B2" w:rsidRDefault="00B36F52" w:rsidP="00B36F5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76B2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Cukrzyca wymagająca podawania insuliny, z ograniczeniem do 4 opakowań igieł na rok dla jednego pacjenta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A6787" w14:textId="7B97FC7D" w:rsidR="00B36F52" w:rsidRPr="00106761" w:rsidRDefault="00B36F52" w:rsidP="00B36F5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50E7E89C" w14:textId="46CE8DFC" w:rsidR="000B2DD7" w:rsidRDefault="000B2DD7">
      <w:pPr>
        <w:rPr>
          <w:rFonts w:ascii="Arial Rounded MT Bold" w:hAnsi="Arial Rounded MT Bold"/>
          <w:b/>
          <w:bCs/>
          <w:color w:val="00B0F0"/>
          <w:u w:val="single"/>
        </w:rPr>
      </w:pPr>
    </w:p>
    <w:p w14:paraId="7D29E598" w14:textId="3D3580F1" w:rsidR="000B2DD7" w:rsidRDefault="000B2DD7">
      <w:pPr>
        <w:suppressAutoHyphens w:val="0"/>
        <w:rPr>
          <w:rFonts w:ascii="Arial Rounded MT Bold" w:hAnsi="Arial Rounded MT Bold"/>
          <w:b/>
          <w:bCs/>
          <w:color w:val="00B0F0"/>
          <w:u w:val="single"/>
        </w:rPr>
      </w:pPr>
    </w:p>
    <w:p w14:paraId="36151328" w14:textId="77777777" w:rsidR="00476A3C" w:rsidRDefault="00476A3C">
      <w:pPr>
        <w:suppressAutoHyphens w:val="0"/>
        <w:rPr>
          <w:rFonts w:ascii="Abadi" w:hAnsi="Abadi"/>
          <w:b/>
          <w:bCs/>
          <w:color w:val="00B0F0"/>
          <w:sz w:val="28"/>
          <w:szCs w:val="28"/>
          <w:u w:val="single"/>
        </w:rPr>
      </w:pPr>
      <w:r>
        <w:rPr>
          <w:rFonts w:ascii="Abadi" w:hAnsi="Abadi"/>
          <w:b/>
          <w:bCs/>
          <w:color w:val="00B0F0"/>
          <w:sz w:val="28"/>
          <w:szCs w:val="28"/>
          <w:u w:val="single"/>
        </w:rPr>
        <w:br w:type="page"/>
      </w:r>
    </w:p>
    <w:p w14:paraId="3B9320B2" w14:textId="023B400E" w:rsidR="00655A81" w:rsidRDefault="00655A81" w:rsidP="00655A81">
      <w:pPr>
        <w:jc w:val="center"/>
        <w:rPr>
          <w:rFonts w:ascii="Abadi" w:hAnsi="Abadi"/>
          <w:b/>
          <w:bCs/>
          <w:color w:val="00B0F0"/>
          <w:sz w:val="28"/>
          <w:szCs w:val="28"/>
          <w:u w:val="single"/>
        </w:rPr>
      </w:pPr>
      <w:r w:rsidRPr="00446466">
        <w:rPr>
          <w:rFonts w:ascii="Abadi" w:hAnsi="Abadi"/>
          <w:b/>
          <w:bCs/>
          <w:color w:val="00B0F0"/>
          <w:sz w:val="28"/>
          <w:szCs w:val="28"/>
          <w:u w:val="single"/>
        </w:rPr>
        <w:lastRenderedPageBreak/>
        <w:t>DODATEK SPECJALNY – PODSUMOWANIE REFUNDACJI W 2021 ROKU</w:t>
      </w:r>
      <w:r>
        <w:rPr>
          <w:rFonts w:ascii="Abadi" w:hAnsi="Abadi"/>
          <w:b/>
          <w:bCs/>
          <w:color w:val="00B0F0"/>
          <w:sz w:val="28"/>
          <w:szCs w:val="28"/>
          <w:u w:val="single"/>
        </w:rPr>
        <w:t xml:space="preserve"> (OBWIESZCZENIA NR 55-60)</w:t>
      </w:r>
    </w:p>
    <w:p w14:paraId="165A254F" w14:textId="77777777" w:rsidR="00655A81" w:rsidRPr="00D90969" w:rsidRDefault="00655A81" w:rsidP="00655A81">
      <w:pPr>
        <w:spacing w:before="360"/>
        <w:jc w:val="center"/>
      </w:pPr>
      <w:r w:rsidRPr="00D90969">
        <w:rPr>
          <w:rFonts w:ascii="Abadi" w:hAnsi="Abadi"/>
          <w:b/>
          <w:bCs/>
          <w:sz w:val="28"/>
          <w:szCs w:val="28"/>
        </w:rPr>
        <w:t>STATYSTYKI</w:t>
      </w:r>
    </w:p>
    <w:p w14:paraId="1B55F69B" w14:textId="77777777" w:rsidR="00655A81" w:rsidRPr="00D90969" w:rsidRDefault="00655A81" w:rsidP="00655A81">
      <w:pPr>
        <w:rPr>
          <w:rFonts w:asciiTheme="majorHAnsi" w:hAnsiTheme="majorHAnsi"/>
          <w:sz w:val="24"/>
          <w:szCs w:val="24"/>
        </w:rPr>
      </w:pPr>
      <w:r w:rsidRPr="00D90969">
        <w:rPr>
          <w:rFonts w:asciiTheme="majorHAnsi" w:hAnsiTheme="majorHAnsi"/>
          <w:sz w:val="24"/>
          <w:szCs w:val="24"/>
        </w:rPr>
        <w:t>W 2021 r. obwieszczenia refundacyjne obowiązujące od stycznia (nr 55) do listopada (nr 60) zawierały następujące zmiany:</w:t>
      </w:r>
    </w:p>
    <w:p w14:paraId="4BE266E8" w14:textId="77777777" w:rsidR="00655A81" w:rsidRPr="00D90969" w:rsidRDefault="00655A81" w:rsidP="00655A81">
      <w:pPr>
        <w:pStyle w:val="Akapitzlist"/>
        <w:numPr>
          <w:ilvl w:val="0"/>
          <w:numId w:val="5"/>
        </w:numPr>
        <w:contextualSpacing w:val="0"/>
        <w:rPr>
          <w:rFonts w:asciiTheme="majorHAnsi" w:hAnsiTheme="majorHAnsi"/>
          <w:sz w:val="24"/>
          <w:szCs w:val="24"/>
        </w:rPr>
      </w:pPr>
      <w:r w:rsidRPr="00D90969">
        <w:rPr>
          <w:rFonts w:asciiTheme="majorHAnsi" w:hAnsiTheme="majorHAnsi"/>
          <w:sz w:val="24"/>
          <w:szCs w:val="24"/>
        </w:rPr>
        <w:t>W związku z wydaniem pozytywnych decyzji o objęciu refundacją zostało dodanych 384 produkt</w:t>
      </w:r>
      <w:r w:rsidRPr="00D90969">
        <w:rPr>
          <w:rFonts w:asciiTheme="majorHAnsi" w:hAnsiTheme="majorHAnsi" w:cs="Abadi"/>
          <w:sz w:val="24"/>
          <w:szCs w:val="24"/>
        </w:rPr>
        <w:t>ó</w:t>
      </w:r>
      <w:r w:rsidRPr="00D90969">
        <w:rPr>
          <w:rFonts w:asciiTheme="majorHAnsi" w:hAnsiTheme="majorHAnsi"/>
          <w:sz w:val="24"/>
          <w:szCs w:val="24"/>
        </w:rPr>
        <w:t>w bądź nowych wskazań.</w:t>
      </w:r>
    </w:p>
    <w:p w14:paraId="4792C0E0" w14:textId="77777777" w:rsidR="00655A81" w:rsidRPr="00D90969" w:rsidRDefault="00655A81" w:rsidP="00655A81">
      <w:pPr>
        <w:pStyle w:val="Akapitzlist"/>
        <w:numPr>
          <w:ilvl w:val="0"/>
          <w:numId w:val="5"/>
        </w:numPr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D90969">
        <w:rPr>
          <w:rFonts w:asciiTheme="majorHAnsi" w:hAnsiTheme="majorHAnsi"/>
          <w:sz w:val="24"/>
          <w:szCs w:val="24"/>
        </w:rPr>
        <w:t>Dla 650 produktów wprowadzono obni</w:t>
      </w:r>
      <w:r w:rsidRPr="00D90969">
        <w:rPr>
          <w:rFonts w:asciiTheme="majorHAnsi" w:hAnsiTheme="majorHAnsi" w:cs="Calibri"/>
          <w:sz w:val="24"/>
          <w:szCs w:val="24"/>
        </w:rPr>
        <w:t>ż</w:t>
      </w:r>
      <w:r w:rsidRPr="00D90969">
        <w:rPr>
          <w:rFonts w:asciiTheme="majorHAnsi" w:hAnsiTheme="majorHAnsi"/>
          <w:sz w:val="24"/>
          <w:szCs w:val="24"/>
        </w:rPr>
        <w:t>ki urz</w:t>
      </w:r>
      <w:r w:rsidRPr="00D90969">
        <w:rPr>
          <w:rFonts w:asciiTheme="majorHAnsi" w:hAnsiTheme="majorHAnsi" w:cs="Calibri"/>
          <w:sz w:val="24"/>
          <w:szCs w:val="24"/>
        </w:rPr>
        <w:t>ę</w:t>
      </w:r>
      <w:r w:rsidRPr="00D90969">
        <w:rPr>
          <w:rFonts w:asciiTheme="majorHAnsi" w:hAnsiTheme="majorHAnsi"/>
          <w:sz w:val="24"/>
          <w:szCs w:val="24"/>
        </w:rPr>
        <w:t>dowych cen zbytu (od 0,01 z</w:t>
      </w:r>
      <w:r w:rsidRPr="00D90969">
        <w:rPr>
          <w:rFonts w:asciiTheme="majorHAnsi" w:hAnsiTheme="majorHAnsi" w:cs="Calibri"/>
          <w:sz w:val="24"/>
          <w:szCs w:val="24"/>
        </w:rPr>
        <w:t>ł</w:t>
      </w:r>
      <w:r w:rsidRPr="00D90969">
        <w:rPr>
          <w:rFonts w:asciiTheme="majorHAnsi" w:hAnsiTheme="majorHAnsi"/>
          <w:sz w:val="24"/>
          <w:szCs w:val="24"/>
        </w:rPr>
        <w:t xml:space="preserve"> do 19310,40 z</w:t>
      </w:r>
      <w:r w:rsidRPr="00D90969">
        <w:rPr>
          <w:rFonts w:asciiTheme="majorHAnsi" w:hAnsiTheme="majorHAnsi" w:cs="Calibri"/>
          <w:sz w:val="24"/>
          <w:szCs w:val="24"/>
        </w:rPr>
        <w:t>ł</w:t>
      </w:r>
      <w:r w:rsidRPr="00D90969">
        <w:rPr>
          <w:rFonts w:asciiTheme="majorHAnsi" w:hAnsiTheme="majorHAnsi"/>
          <w:sz w:val="24"/>
          <w:szCs w:val="24"/>
        </w:rPr>
        <w:t>).</w:t>
      </w:r>
    </w:p>
    <w:p w14:paraId="63FE2F1C" w14:textId="1D67A625" w:rsidR="00655A81" w:rsidRPr="00D90969" w:rsidRDefault="00655A81" w:rsidP="00655A81">
      <w:pPr>
        <w:pStyle w:val="Akapitzlist"/>
        <w:numPr>
          <w:ilvl w:val="0"/>
          <w:numId w:val="5"/>
        </w:numPr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D90969">
        <w:rPr>
          <w:rFonts w:asciiTheme="majorHAnsi" w:hAnsiTheme="majorHAnsi"/>
          <w:sz w:val="24"/>
          <w:szCs w:val="24"/>
        </w:rPr>
        <w:t xml:space="preserve">Dla </w:t>
      </w:r>
      <w:r w:rsidRPr="00D90969">
        <w:rPr>
          <w:rFonts w:asciiTheme="majorHAnsi" w:hAnsiTheme="majorHAnsi" w:cs="Calibri"/>
          <w:sz w:val="24"/>
          <w:szCs w:val="24"/>
        </w:rPr>
        <w:t>65 produktów</w:t>
      </w:r>
      <w:r w:rsidRPr="00D90969">
        <w:rPr>
          <w:rFonts w:asciiTheme="majorHAnsi" w:hAnsiTheme="majorHAnsi"/>
          <w:sz w:val="24"/>
          <w:szCs w:val="24"/>
        </w:rPr>
        <w:t xml:space="preserve"> podwy</w:t>
      </w:r>
      <w:r w:rsidRPr="00D90969">
        <w:rPr>
          <w:rFonts w:asciiTheme="majorHAnsi" w:hAnsiTheme="majorHAnsi" w:cs="Calibri"/>
          <w:sz w:val="24"/>
          <w:szCs w:val="24"/>
        </w:rPr>
        <w:t>ż</w:t>
      </w:r>
      <w:r w:rsidRPr="00D90969">
        <w:rPr>
          <w:rFonts w:asciiTheme="majorHAnsi" w:hAnsiTheme="majorHAnsi"/>
          <w:sz w:val="24"/>
          <w:szCs w:val="24"/>
        </w:rPr>
        <w:t>szono urz</w:t>
      </w:r>
      <w:r w:rsidRPr="00D90969">
        <w:rPr>
          <w:rFonts w:asciiTheme="majorHAnsi" w:hAnsiTheme="majorHAnsi" w:cs="Calibri"/>
          <w:sz w:val="24"/>
          <w:szCs w:val="24"/>
        </w:rPr>
        <w:t>ę</w:t>
      </w:r>
      <w:r w:rsidRPr="00D90969">
        <w:rPr>
          <w:rFonts w:asciiTheme="majorHAnsi" w:hAnsiTheme="majorHAnsi"/>
          <w:sz w:val="24"/>
          <w:szCs w:val="24"/>
        </w:rPr>
        <w:t>dowe ceny zbytu (od 0,34 zł do 1512,00 zł)</w:t>
      </w:r>
      <w:r w:rsidR="00034AB3" w:rsidRPr="00D90969">
        <w:rPr>
          <w:rFonts w:asciiTheme="majorHAnsi" w:hAnsiTheme="majorHAnsi"/>
          <w:sz w:val="24"/>
          <w:szCs w:val="24"/>
        </w:rPr>
        <w:t>.</w:t>
      </w:r>
    </w:p>
    <w:p w14:paraId="296227EE" w14:textId="29AD095F" w:rsidR="00655A81" w:rsidRPr="00D90969" w:rsidRDefault="00655A81" w:rsidP="00655A81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D90969">
        <w:rPr>
          <w:rFonts w:asciiTheme="majorHAnsi" w:hAnsiTheme="majorHAnsi"/>
          <w:sz w:val="24"/>
          <w:szCs w:val="24"/>
        </w:rPr>
        <w:t>W zwi</w:t>
      </w:r>
      <w:r w:rsidRPr="00D90969">
        <w:rPr>
          <w:rFonts w:asciiTheme="majorHAnsi" w:hAnsiTheme="majorHAnsi" w:cs="Calibri"/>
          <w:sz w:val="24"/>
          <w:szCs w:val="24"/>
        </w:rPr>
        <w:t>ą</w:t>
      </w:r>
      <w:r w:rsidRPr="00D90969">
        <w:rPr>
          <w:rFonts w:asciiTheme="majorHAnsi" w:hAnsiTheme="majorHAnsi"/>
          <w:sz w:val="24"/>
          <w:szCs w:val="24"/>
        </w:rPr>
        <w:t>zku z wp</w:t>
      </w:r>
      <w:r w:rsidRPr="00D90969">
        <w:rPr>
          <w:rFonts w:asciiTheme="majorHAnsi" w:hAnsiTheme="majorHAnsi" w:cs="Calibri"/>
          <w:sz w:val="24"/>
          <w:szCs w:val="24"/>
        </w:rPr>
        <w:t>ł</w:t>
      </w:r>
      <w:r w:rsidRPr="00D90969">
        <w:rPr>
          <w:rFonts w:asciiTheme="majorHAnsi" w:hAnsiTheme="majorHAnsi"/>
          <w:sz w:val="24"/>
          <w:szCs w:val="24"/>
        </w:rPr>
        <w:t>yni</w:t>
      </w:r>
      <w:r w:rsidRPr="00D90969">
        <w:rPr>
          <w:rFonts w:asciiTheme="majorHAnsi" w:hAnsiTheme="majorHAnsi" w:cs="Calibri"/>
          <w:sz w:val="24"/>
          <w:szCs w:val="24"/>
        </w:rPr>
        <w:t>ę</w:t>
      </w:r>
      <w:r w:rsidRPr="00D90969">
        <w:rPr>
          <w:rFonts w:asciiTheme="majorHAnsi" w:hAnsiTheme="majorHAnsi"/>
          <w:sz w:val="24"/>
          <w:szCs w:val="24"/>
        </w:rPr>
        <w:t>ciem wniosków o skrócenie terminu obowi</w:t>
      </w:r>
      <w:r w:rsidRPr="00D90969">
        <w:rPr>
          <w:rFonts w:asciiTheme="majorHAnsi" w:hAnsiTheme="majorHAnsi" w:cs="Calibri"/>
          <w:sz w:val="24"/>
          <w:szCs w:val="24"/>
        </w:rPr>
        <w:t>ą</w:t>
      </w:r>
      <w:r w:rsidRPr="00D90969">
        <w:rPr>
          <w:rFonts w:asciiTheme="majorHAnsi" w:hAnsiTheme="majorHAnsi"/>
          <w:sz w:val="24"/>
          <w:szCs w:val="24"/>
        </w:rPr>
        <w:t>zywania decyzji refundacyjnych lub up</w:t>
      </w:r>
      <w:r w:rsidRPr="00D90969">
        <w:rPr>
          <w:rFonts w:asciiTheme="majorHAnsi" w:hAnsiTheme="majorHAnsi" w:cs="Calibri"/>
          <w:sz w:val="24"/>
          <w:szCs w:val="24"/>
        </w:rPr>
        <w:t>ł</w:t>
      </w:r>
      <w:r w:rsidRPr="00D90969">
        <w:rPr>
          <w:rFonts w:asciiTheme="majorHAnsi" w:hAnsiTheme="majorHAnsi"/>
          <w:sz w:val="24"/>
          <w:szCs w:val="24"/>
        </w:rPr>
        <w:t>yni</w:t>
      </w:r>
      <w:r w:rsidRPr="00D90969">
        <w:rPr>
          <w:rFonts w:asciiTheme="majorHAnsi" w:hAnsiTheme="majorHAnsi" w:cs="Calibri"/>
          <w:sz w:val="24"/>
          <w:szCs w:val="24"/>
        </w:rPr>
        <w:t>ę</w:t>
      </w:r>
      <w:r w:rsidRPr="00D90969">
        <w:rPr>
          <w:rFonts w:asciiTheme="majorHAnsi" w:hAnsiTheme="majorHAnsi"/>
          <w:sz w:val="24"/>
          <w:szCs w:val="24"/>
        </w:rPr>
        <w:t>ciem terminu obowi</w:t>
      </w:r>
      <w:r w:rsidRPr="00D90969">
        <w:rPr>
          <w:rFonts w:asciiTheme="majorHAnsi" w:hAnsiTheme="majorHAnsi" w:cs="Calibri"/>
          <w:sz w:val="24"/>
          <w:szCs w:val="24"/>
        </w:rPr>
        <w:t>ą</w:t>
      </w:r>
      <w:r w:rsidRPr="00D90969">
        <w:rPr>
          <w:rFonts w:asciiTheme="majorHAnsi" w:hAnsiTheme="majorHAnsi"/>
          <w:sz w:val="24"/>
          <w:szCs w:val="24"/>
        </w:rPr>
        <w:t>zywania decyzji refundacyjnych</w:t>
      </w:r>
      <w:r w:rsidR="00212175">
        <w:rPr>
          <w:rFonts w:asciiTheme="majorHAnsi" w:hAnsiTheme="majorHAnsi"/>
          <w:sz w:val="24"/>
          <w:szCs w:val="24"/>
        </w:rPr>
        <w:t>,</w:t>
      </w:r>
      <w:r w:rsidRPr="00D90969">
        <w:rPr>
          <w:rFonts w:asciiTheme="majorHAnsi" w:hAnsiTheme="majorHAnsi"/>
          <w:sz w:val="24"/>
          <w:szCs w:val="24"/>
        </w:rPr>
        <w:t xml:space="preserve"> lub odmow</w:t>
      </w:r>
      <w:r w:rsidRPr="00D90969">
        <w:rPr>
          <w:rFonts w:asciiTheme="majorHAnsi" w:hAnsiTheme="majorHAnsi" w:cs="Calibri"/>
          <w:sz w:val="24"/>
          <w:szCs w:val="24"/>
        </w:rPr>
        <w:t>ą</w:t>
      </w:r>
      <w:r w:rsidRPr="00D90969">
        <w:rPr>
          <w:rFonts w:asciiTheme="majorHAnsi" w:hAnsiTheme="majorHAnsi"/>
          <w:sz w:val="24"/>
          <w:szCs w:val="24"/>
        </w:rPr>
        <w:t xml:space="preserve"> refundacji na kolejny okres z wykazów usunięto 270 produktów bądź wskazań</w:t>
      </w:r>
      <w:r w:rsidR="00034AB3" w:rsidRPr="00D90969">
        <w:rPr>
          <w:rFonts w:asciiTheme="majorHAnsi" w:hAnsiTheme="majorHAnsi"/>
          <w:sz w:val="24"/>
          <w:szCs w:val="24"/>
        </w:rPr>
        <w:t>.</w:t>
      </w:r>
    </w:p>
    <w:p w14:paraId="361CFEF4" w14:textId="7023022A" w:rsidR="00E41338" w:rsidRPr="00D90969" w:rsidRDefault="00E41338" w:rsidP="00E41338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D90969">
        <w:rPr>
          <w:rFonts w:asciiTheme="majorHAnsi" w:hAnsiTheme="majorHAnsi"/>
          <w:sz w:val="24"/>
          <w:szCs w:val="24"/>
        </w:rPr>
        <w:t>W związku z obwieszczeniami nr 55 – 60 wydano 3350 decyzji administracyjnych (dla porównania obwieszczenia 49 – 54 to wydanie 3854 decyzji administracyjnych)</w:t>
      </w:r>
    </w:p>
    <w:p w14:paraId="35778E9E" w14:textId="18DB21D1" w:rsidR="00E41338" w:rsidRPr="00D90969" w:rsidRDefault="00E41338" w:rsidP="00E41338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D90969">
        <w:rPr>
          <w:rFonts w:asciiTheme="majorHAnsi" w:hAnsiTheme="majorHAnsi"/>
          <w:sz w:val="24"/>
          <w:szCs w:val="24"/>
        </w:rPr>
        <w:t>Wykaz nr 61</w:t>
      </w:r>
      <w:r w:rsidR="00212175">
        <w:rPr>
          <w:rFonts w:asciiTheme="majorHAnsi" w:hAnsiTheme="majorHAnsi"/>
          <w:sz w:val="24"/>
          <w:szCs w:val="24"/>
        </w:rPr>
        <w:t>,</w:t>
      </w:r>
      <w:r w:rsidRPr="00D90969">
        <w:rPr>
          <w:rFonts w:asciiTheme="majorHAnsi" w:hAnsiTheme="majorHAnsi"/>
          <w:sz w:val="24"/>
          <w:szCs w:val="24"/>
        </w:rPr>
        <w:t xml:space="preserve"> nad którym prace trwały w 2021 r</w:t>
      </w:r>
      <w:r w:rsidR="00212175">
        <w:rPr>
          <w:rFonts w:asciiTheme="majorHAnsi" w:hAnsiTheme="majorHAnsi"/>
          <w:sz w:val="24"/>
          <w:szCs w:val="24"/>
        </w:rPr>
        <w:t>.,</w:t>
      </w:r>
      <w:r w:rsidRPr="00D90969">
        <w:rPr>
          <w:rFonts w:asciiTheme="majorHAnsi" w:hAnsiTheme="majorHAnsi"/>
          <w:sz w:val="24"/>
          <w:szCs w:val="24"/>
        </w:rPr>
        <w:t xml:space="preserve"> to 275</w:t>
      </w:r>
      <w:r w:rsidR="00B759BC">
        <w:rPr>
          <w:rFonts w:asciiTheme="majorHAnsi" w:hAnsiTheme="majorHAnsi"/>
          <w:sz w:val="24"/>
          <w:szCs w:val="24"/>
        </w:rPr>
        <w:t>1</w:t>
      </w:r>
      <w:r w:rsidRPr="00D90969">
        <w:rPr>
          <w:rFonts w:asciiTheme="majorHAnsi" w:hAnsiTheme="majorHAnsi"/>
          <w:sz w:val="24"/>
          <w:szCs w:val="24"/>
        </w:rPr>
        <w:t xml:space="preserve"> wydanych decyzji administracyjnych.</w:t>
      </w:r>
    </w:p>
    <w:p w14:paraId="0F2B3639" w14:textId="1F9AC9C1" w:rsidR="00034AB3" w:rsidRPr="00D90969" w:rsidRDefault="00E41338" w:rsidP="00034AB3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D90969">
        <w:rPr>
          <w:rFonts w:asciiTheme="majorHAnsi" w:hAnsiTheme="majorHAnsi"/>
          <w:sz w:val="24"/>
          <w:szCs w:val="24"/>
        </w:rPr>
        <w:t>W 2020 r. wpłynęło 180</w:t>
      </w:r>
      <w:r w:rsidR="00D16292">
        <w:rPr>
          <w:rFonts w:asciiTheme="majorHAnsi" w:hAnsiTheme="majorHAnsi"/>
          <w:sz w:val="24"/>
          <w:szCs w:val="24"/>
        </w:rPr>
        <w:t>5</w:t>
      </w:r>
      <w:r w:rsidRPr="00D90969">
        <w:rPr>
          <w:rFonts w:asciiTheme="majorHAnsi" w:hAnsiTheme="majorHAnsi"/>
          <w:sz w:val="24"/>
          <w:szCs w:val="24"/>
        </w:rPr>
        <w:t xml:space="preserve"> wniosków o objęcie refundacją i ustalenie urzędowej ceny zbytu, a w</w:t>
      </w:r>
      <w:r w:rsidR="00034AB3" w:rsidRPr="00D90969">
        <w:rPr>
          <w:rFonts w:asciiTheme="majorHAnsi" w:hAnsiTheme="majorHAnsi"/>
          <w:sz w:val="24"/>
          <w:szCs w:val="24"/>
        </w:rPr>
        <w:t xml:space="preserve"> 2021 r</w:t>
      </w:r>
      <w:r w:rsidR="00212175">
        <w:rPr>
          <w:rFonts w:asciiTheme="majorHAnsi" w:hAnsiTheme="majorHAnsi"/>
          <w:sz w:val="24"/>
          <w:szCs w:val="24"/>
        </w:rPr>
        <w:t>.</w:t>
      </w:r>
      <w:r w:rsidR="00034AB3" w:rsidRPr="00D90969">
        <w:rPr>
          <w:rFonts w:asciiTheme="majorHAnsi" w:hAnsiTheme="majorHAnsi"/>
          <w:sz w:val="24"/>
          <w:szCs w:val="24"/>
        </w:rPr>
        <w:t xml:space="preserve"> </w:t>
      </w:r>
      <w:r w:rsidRPr="00D90969">
        <w:rPr>
          <w:rFonts w:asciiTheme="majorHAnsi" w:hAnsiTheme="majorHAnsi"/>
          <w:sz w:val="24"/>
          <w:szCs w:val="24"/>
        </w:rPr>
        <w:t xml:space="preserve">do dnia 17 grudnia </w:t>
      </w:r>
      <w:r w:rsidR="00034AB3" w:rsidRPr="00D90969">
        <w:rPr>
          <w:rFonts w:asciiTheme="majorHAnsi" w:hAnsiTheme="majorHAnsi"/>
          <w:sz w:val="24"/>
          <w:szCs w:val="24"/>
        </w:rPr>
        <w:t>wpłynęło 38</w:t>
      </w:r>
      <w:r w:rsidR="00D90969">
        <w:rPr>
          <w:rFonts w:asciiTheme="majorHAnsi" w:hAnsiTheme="majorHAnsi"/>
          <w:sz w:val="24"/>
          <w:szCs w:val="24"/>
        </w:rPr>
        <w:t>6</w:t>
      </w:r>
      <w:r w:rsidR="00D16292">
        <w:rPr>
          <w:rFonts w:asciiTheme="majorHAnsi" w:hAnsiTheme="majorHAnsi"/>
          <w:sz w:val="24"/>
          <w:szCs w:val="24"/>
        </w:rPr>
        <w:t>9</w:t>
      </w:r>
      <w:r w:rsidR="00034AB3" w:rsidRPr="00D90969">
        <w:rPr>
          <w:rFonts w:asciiTheme="majorHAnsi" w:hAnsiTheme="majorHAnsi"/>
          <w:sz w:val="24"/>
          <w:szCs w:val="24"/>
        </w:rPr>
        <w:t xml:space="preserve"> wniosków</w:t>
      </w:r>
      <w:r w:rsidRPr="00D90969">
        <w:rPr>
          <w:rFonts w:asciiTheme="majorHAnsi" w:hAnsiTheme="majorHAnsi"/>
          <w:sz w:val="24"/>
          <w:szCs w:val="24"/>
        </w:rPr>
        <w:t>.</w:t>
      </w:r>
    </w:p>
    <w:p w14:paraId="1B167EDD" w14:textId="33D23F8E" w:rsidR="00A2561D" w:rsidRPr="00D90969" w:rsidRDefault="00A2561D" w:rsidP="00034AB3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D90969">
        <w:rPr>
          <w:rFonts w:asciiTheme="majorHAnsi" w:hAnsiTheme="majorHAnsi"/>
          <w:sz w:val="24"/>
          <w:szCs w:val="24"/>
        </w:rPr>
        <w:t>W 2021 r. refundacją objęto 68 nowych cząsteczkowskazań. Podział ze względu na rodzaj wskazań, kategorię dostępności, choroby rzadkie przedstawiono na wykresach poniżej.</w:t>
      </w:r>
    </w:p>
    <w:p w14:paraId="23DCFD9C" w14:textId="0F4356E8" w:rsidR="00A2561D" w:rsidRDefault="00A2561D" w:rsidP="00A2561D">
      <w:pPr>
        <w:jc w:val="both"/>
        <w:rPr>
          <w:rFonts w:asciiTheme="majorHAnsi" w:hAnsiTheme="majorHAnsi"/>
          <w:color w:val="FF0000"/>
          <w:sz w:val="24"/>
          <w:szCs w:val="24"/>
        </w:rPr>
      </w:pPr>
    </w:p>
    <w:p w14:paraId="09A143F5" w14:textId="5312BCE1" w:rsidR="00A2561D" w:rsidRDefault="00A2561D" w:rsidP="00A2561D">
      <w:pPr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C6B26BC" wp14:editId="15916959">
            <wp:extent cx="2781300" cy="3059430"/>
            <wp:effectExtent l="0" t="0" r="0" b="7620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id="{729F3DEE-6105-4281-860A-FBD6395563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Theme="majorHAnsi" w:hAnsiTheme="majorHAnsi"/>
          <w:color w:val="FF000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56810980" wp14:editId="3F8F1F2C">
            <wp:extent cx="2943225" cy="3057525"/>
            <wp:effectExtent l="0" t="0" r="9525" b="9525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118770CA-56B6-4805-B90C-A976181714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Theme="majorHAnsi" w:hAnsiTheme="majorHAnsi"/>
          <w:color w:val="FF000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4AFC3C14" wp14:editId="2717D8C7">
            <wp:extent cx="3000375" cy="3057525"/>
            <wp:effectExtent l="0" t="0" r="9525" b="9525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002E6EBA-936F-42D4-ADDB-9CCE627850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DA124D0" w14:textId="3E12E84E" w:rsidR="00A2561D" w:rsidRPr="00A2561D" w:rsidRDefault="00A2561D" w:rsidP="00A2561D">
      <w:pPr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B7370DD" wp14:editId="5BF4EB08">
            <wp:extent cx="8715375" cy="2857500"/>
            <wp:effectExtent l="0" t="0" r="9525" b="0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id="{10D0A13C-1BA5-4D90-AEC6-060C1D06A8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Theme="majorHAnsi" w:hAnsiTheme="majorHAnsi"/>
          <w:color w:val="FF000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0F3C3BE4" wp14:editId="069B9B37">
            <wp:extent cx="8715375" cy="2771775"/>
            <wp:effectExtent l="0" t="0" r="9525" b="9525"/>
            <wp:docPr id="6" name="Wykres 6">
              <a:extLst xmlns:a="http://schemas.openxmlformats.org/drawingml/2006/main">
                <a:ext uri="{FF2B5EF4-FFF2-40B4-BE49-F238E27FC236}">
                  <a16:creationId xmlns:a16="http://schemas.microsoft.com/office/drawing/2014/main" id="{0751A6AD-0937-45C0-9788-40D17F3792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28DF20F" w14:textId="77777777" w:rsidR="00655A81" w:rsidRDefault="00655A81" w:rsidP="00655A81">
      <w:pPr>
        <w:rPr>
          <w:rFonts w:ascii="Abadi" w:hAnsi="Abadi"/>
          <w:b/>
          <w:bCs/>
          <w:color w:val="00B0F0"/>
          <w:sz w:val="28"/>
          <w:szCs w:val="28"/>
        </w:rPr>
      </w:pPr>
    </w:p>
    <w:p w14:paraId="3A8BF8A6" w14:textId="77777777" w:rsidR="00655A81" w:rsidRDefault="00655A81" w:rsidP="00655A81">
      <w:pPr>
        <w:jc w:val="center"/>
        <w:rPr>
          <w:rFonts w:ascii="Abadi" w:hAnsi="Abadi"/>
          <w:b/>
          <w:bCs/>
          <w:color w:val="00B0F0"/>
          <w:sz w:val="28"/>
          <w:szCs w:val="28"/>
        </w:rPr>
      </w:pPr>
      <w:r>
        <w:rPr>
          <w:rFonts w:ascii="Abadi" w:hAnsi="Abadi"/>
          <w:b/>
          <w:bCs/>
          <w:color w:val="00B0F0"/>
          <w:sz w:val="28"/>
          <w:szCs w:val="28"/>
        </w:rPr>
        <w:t>NOWE WSKAZANIA ORAZ ZMIANY W PROGRAMACH LEKOWYCH i CHEMIOTERAPII</w:t>
      </w:r>
    </w:p>
    <w:tbl>
      <w:tblPr>
        <w:tblW w:w="47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1421"/>
        <w:gridCol w:w="1745"/>
        <w:gridCol w:w="1877"/>
        <w:gridCol w:w="4038"/>
        <w:gridCol w:w="3540"/>
      </w:tblGrid>
      <w:tr w:rsidR="00655A81" w:rsidRPr="005058F2" w14:paraId="67580780" w14:textId="77777777" w:rsidTr="00476A3C">
        <w:trPr>
          <w:cantSplit/>
          <w:trHeight w:val="20"/>
        </w:trPr>
        <w:tc>
          <w:tcPr>
            <w:tcW w:w="5000" w:type="pct"/>
            <w:gridSpan w:val="6"/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ED1EC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Programy lekowe i chemioterapia</w:t>
            </w:r>
          </w:p>
        </w:tc>
      </w:tr>
      <w:tr w:rsidR="00655A81" w:rsidRPr="005058F2" w14:paraId="12FE4DB8" w14:textId="77777777" w:rsidTr="00476A3C">
        <w:trPr>
          <w:cantSplit/>
          <w:trHeight w:val="20"/>
        </w:trPr>
        <w:tc>
          <w:tcPr>
            <w:tcW w:w="5000" w:type="pct"/>
            <w:gridSpan w:val="6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49F41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Nowe wskazania onkologiczne</w:t>
            </w:r>
          </w:p>
        </w:tc>
      </w:tr>
      <w:tr w:rsidR="00655A81" w:rsidRPr="005058F2" w14:paraId="4CF6EDBF" w14:textId="77777777" w:rsidTr="00476A3C">
        <w:trPr>
          <w:cantSplit/>
          <w:trHeight w:val="20"/>
        </w:trPr>
        <w:tc>
          <w:tcPr>
            <w:tcW w:w="212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83BCC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39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AE48B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leku</w:t>
            </w:r>
          </w:p>
        </w:tc>
        <w:tc>
          <w:tcPr>
            <w:tcW w:w="662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E5D65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712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1CEAB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Numer programu lekowego/załącznika chemioterapii</w:t>
            </w:r>
          </w:p>
        </w:tc>
        <w:tc>
          <w:tcPr>
            <w:tcW w:w="1532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2744E" w14:textId="77777777" w:rsidR="00655A81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programu lekowego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14:paraId="62A48350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Załącznika chemioterapii</w:t>
            </w:r>
          </w:p>
        </w:tc>
        <w:tc>
          <w:tcPr>
            <w:tcW w:w="1343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E8FFE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Doprecyzowanie wskazania</w:t>
            </w:r>
          </w:p>
        </w:tc>
      </w:tr>
      <w:tr w:rsidR="00655A81" w:rsidRPr="00FF6CD9" w14:paraId="238438B7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B967F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9655F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Besponsa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2C22F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Inotuzumab ozogamycyny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0424A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B.65.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BFA15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Leczenie chorych na ostrą białaczkę limfoblastyczną (ICD-10 C91.0)</w:t>
            </w:r>
          </w:p>
        </w:tc>
        <w:tc>
          <w:tcPr>
            <w:tcW w:w="134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05782" w14:textId="77777777" w:rsidR="00476A3C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Leczenie dorosłych chorych z nawrotową lub oporną na leczenie ostrą białaczką limfoblastyczną wywodzącą się z komórek prekursorowych limfocytów B, z ekspresją antygenu CD22, z lub bez chromosomu Filadelfia</w:t>
            </w:r>
            <w:r w:rsidR="00F541F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BA5D25D" w14:textId="116487F4" w:rsidR="00655A81" w:rsidRPr="002D03A4" w:rsidRDefault="00F541FE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D03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(Choroba rzadka)</w:t>
            </w:r>
          </w:p>
        </w:tc>
      </w:tr>
      <w:tr w:rsidR="00655A81" w:rsidRPr="00FF6CD9" w14:paraId="0F4D06C7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092EF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1951F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Blincyto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285E1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Blinatumomab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6C461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B.65.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8AD8E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Leczenie chorych na ostrą białaczkę limfoblastyczną (ICD-10 C91.0)</w:t>
            </w:r>
          </w:p>
        </w:tc>
        <w:tc>
          <w:tcPr>
            <w:tcW w:w="134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C252E" w14:textId="77777777" w:rsidR="00476A3C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 xml:space="preserve">Leczenie blinatumomabem chorych na ostrą białaczkę limfoblastyczną (dzieci) oraz  leczenie blinatumomabem dorosłych chorych na ostrą białaczkę limfoblastyczną z minimalną chorobą resztkową </w:t>
            </w:r>
          </w:p>
          <w:p w14:paraId="33B70524" w14:textId="65E9F515" w:rsidR="00655A81" w:rsidRPr="002D03A4" w:rsidRDefault="00F541FE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D03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(Choroba rzadka)</w:t>
            </w:r>
          </w:p>
        </w:tc>
      </w:tr>
      <w:tr w:rsidR="00655A81" w:rsidRPr="00FF6CD9" w14:paraId="36339811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9CBD3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D14BA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Imbruvica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0EA73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Ibrutynib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F3788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B.92.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262FB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LECZENIE CHORYCH NA PRZEWLEKŁĄ BIAŁACZKĘ LIMFOCYTOWĄ IBRUTYNIBEM (ICD 10: C91.1)</w:t>
            </w:r>
          </w:p>
        </w:tc>
        <w:tc>
          <w:tcPr>
            <w:tcW w:w="134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83185" w14:textId="77777777" w:rsidR="00476A3C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Poszerzenie populacji tzn.  udostępnienie leczenia ibrytynibem pacjentom, u których wyczerpane zostały już inne nowoczesne opcje terapeutyczne (schemat wenetoklaks+rtx) lub występują przeciwskazania medyczne do ich zastosowania</w:t>
            </w:r>
            <w:r w:rsidR="00F541F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87BF35A" w14:textId="5EDB4DE5" w:rsidR="00655A81" w:rsidRPr="002D03A4" w:rsidRDefault="00F541FE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D03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(Choroba rzadka)</w:t>
            </w:r>
          </w:p>
        </w:tc>
      </w:tr>
      <w:tr w:rsidR="00655A81" w:rsidRPr="00FF6CD9" w14:paraId="07D11143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D8BE1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C306C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Keytruda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A787A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Pembrolizumab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CA09D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B.6.</w:t>
            </w:r>
          </w:p>
        </w:tc>
        <w:tc>
          <w:tcPr>
            <w:tcW w:w="153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A54AB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LECZENIE NIEDROBNOKOMÓRKOWEGO LUB DROBNOKOMÓRKOWEGO RAKA PŁUCA (ICD-10 C 34)</w:t>
            </w:r>
          </w:p>
        </w:tc>
        <w:tc>
          <w:tcPr>
            <w:tcW w:w="134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EEF59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 xml:space="preserve">W skojarzeniu z chemioterapią w leczeniu pacjentów z niedrobnokomórkowym rakiem płuca o typie płaskonabłonkowym lub niepłaskonabłonkowym z ekspresja PDL-1 &lt;50% </w:t>
            </w:r>
          </w:p>
        </w:tc>
      </w:tr>
      <w:tr w:rsidR="00655A81" w:rsidRPr="00FF6CD9" w14:paraId="49802921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FE857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149DD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Tagrisso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B91A7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Ozymertynib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FA2F1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B.6.</w:t>
            </w:r>
          </w:p>
        </w:tc>
        <w:tc>
          <w:tcPr>
            <w:tcW w:w="153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AA0EA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LECZENIE NIEDROBNOKOMÓRKOWEGO LUB DROBNOKOMÓRKOWEGO RAKA PŁUCA (ICD-10 C 34)</w:t>
            </w:r>
          </w:p>
        </w:tc>
        <w:tc>
          <w:tcPr>
            <w:tcW w:w="134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BEEAC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I linia leczenia pacjentów z zaawansowanym niedrobnokomórkowym rakiem płuc</w:t>
            </w:r>
          </w:p>
        </w:tc>
      </w:tr>
      <w:tr w:rsidR="00655A81" w:rsidRPr="00FF6CD9" w14:paraId="33A52759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6BF5D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82D9A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Imfinzi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A261D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Durwalumab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51714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B.6.</w:t>
            </w:r>
          </w:p>
        </w:tc>
        <w:tc>
          <w:tcPr>
            <w:tcW w:w="153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3445D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LECZENIE NIEDROBNOKOMÓRKOWEGO LUB DROBNOKOMÓRKOWEGO RAKA PŁUCA (ICD-10 C 34)</w:t>
            </w:r>
          </w:p>
        </w:tc>
        <w:tc>
          <w:tcPr>
            <w:tcW w:w="134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2856A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 xml:space="preserve">W leczeniu konsolidującym chorych na miejscowo zaawansowanego, nieoperacyjnego niedrobnokomórkowego raka płuca </w:t>
            </w:r>
          </w:p>
        </w:tc>
      </w:tr>
      <w:tr w:rsidR="00655A81" w:rsidRPr="00FF6CD9" w14:paraId="0DE4F4CF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35420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F44D0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Keytruda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FBCB2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Pembrolizumab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6F066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B.59.</w:t>
            </w:r>
          </w:p>
        </w:tc>
        <w:tc>
          <w:tcPr>
            <w:tcW w:w="153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15D16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LECZENIE CZERNIAKA SKÓRY LUB BŁON ŚLUZOWYCH (ICD-10 C43)</w:t>
            </w:r>
          </w:p>
        </w:tc>
        <w:tc>
          <w:tcPr>
            <w:tcW w:w="134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CDB47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W uzupełniającym (adjuwantowym) leczeniu czerniaka skóry</w:t>
            </w:r>
          </w:p>
        </w:tc>
      </w:tr>
      <w:tr w:rsidR="00655A81" w:rsidRPr="00FF6CD9" w14:paraId="765C5D84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05DA7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59FD7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Opdivo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1E294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Niwolumab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E4220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B.59.</w:t>
            </w:r>
          </w:p>
        </w:tc>
        <w:tc>
          <w:tcPr>
            <w:tcW w:w="153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90EE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LECZENIE CZERNIAKA SKÓRY LUB BŁON ŚLUZOWYCH (ICD-10 C43)</w:t>
            </w:r>
          </w:p>
        </w:tc>
        <w:tc>
          <w:tcPr>
            <w:tcW w:w="134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3C2FE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W uzupełniającym (adjuwantowym) leczeniu czerniaka skóry</w:t>
            </w:r>
          </w:p>
        </w:tc>
      </w:tr>
      <w:tr w:rsidR="00655A81" w:rsidRPr="00FF6CD9" w14:paraId="09526B5E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C8996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72A6A" w14:textId="6C5A2F13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Tafinlar</w:t>
            </w:r>
            <w:r w:rsidR="004B7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+ Mekinist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30611" w14:textId="418B9D8B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Dabrafenib</w:t>
            </w:r>
            <w:r w:rsidR="004B7661">
              <w:rPr>
                <w:rFonts w:asciiTheme="majorHAnsi" w:hAnsiTheme="majorHAnsi" w:cstheme="majorHAnsi"/>
                <w:sz w:val="20"/>
                <w:szCs w:val="20"/>
              </w:rPr>
              <w:t xml:space="preserve"> + Trametynib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C80AF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B.59.</w:t>
            </w:r>
          </w:p>
        </w:tc>
        <w:tc>
          <w:tcPr>
            <w:tcW w:w="153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1907D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LECZENIE CZERNIAKA SKÓRY LUB BŁON ŚLUZOWYCH (ICD-10 C43)</w:t>
            </w:r>
          </w:p>
        </w:tc>
        <w:tc>
          <w:tcPr>
            <w:tcW w:w="134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1003A" w14:textId="6CCFAD32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 xml:space="preserve">W uzupełniającym (adjuwantowym) leczeniu czerniaka skóry </w:t>
            </w:r>
            <w:r w:rsidR="004B7661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 xml:space="preserve">w skojarzeniu </w:t>
            </w:r>
            <w:r w:rsidR="004B7661">
              <w:rPr>
                <w:rFonts w:asciiTheme="majorHAnsi" w:hAnsiTheme="majorHAnsi" w:cstheme="majorHAnsi"/>
                <w:sz w:val="20"/>
                <w:szCs w:val="20"/>
              </w:rPr>
              <w:t xml:space="preserve">darafenib </w:t>
            </w: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z trametynibem</w:t>
            </w:r>
          </w:p>
        </w:tc>
      </w:tr>
      <w:tr w:rsidR="00655A81" w:rsidRPr="00FF6CD9" w14:paraId="31A3DD72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0F7A5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96D94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Erbitux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D8B53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Cetuksymab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6D0B6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B.4.</w:t>
            </w:r>
          </w:p>
        </w:tc>
        <w:tc>
          <w:tcPr>
            <w:tcW w:w="153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19CA1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LECZENIE ZAAWANSOWANEGO RAKA JELITA GRUBEGO (ICD-10 C 18 – C 20)</w:t>
            </w:r>
          </w:p>
        </w:tc>
        <w:tc>
          <w:tcPr>
            <w:tcW w:w="134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27D0A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I linia leczenia ze schematem FOLFOX (jest to nowy schemat leczenia w programie leczenia raka jelita grubego) poszerzając dostępny wachlarz opcji terapeutycznych</w:t>
            </w:r>
          </w:p>
        </w:tc>
      </w:tr>
      <w:tr w:rsidR="00655A81" w:rsidRPr="00FF6CD9" w14:paraId="278E7C05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33F12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77B84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Kyprolis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A5908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Karfilzomib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67F31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B.54.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A5B3C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LECZENIE CHORYCH NA OPORNEGO LUB NAWROTOWEGO SZPICZAKA PLAZMOCYTOWEGO (ICD10 C90.0)</w:t>
            </w:r>
          </w:p>
        </w:tc>
        <w:tc>
          <w:tcPr>
            <w:tcW w:w="134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ADDDF" w14:textId="76C67EDC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 xml:space="preserve">Leczenie </w:t>
            </w:r>
            <w:r w:rsidR="00476A3C" w:rsidRPr="00204A92">
              <w:rPr>
                <w:rFonts w:asciiTheme="majorHAnsi" w:hAnsiTheme="majorHAnsi" w:cstheme="majorHAnsi"/>
                <w:sz w:val="20"/>
                <w:szCs w:val="20"/>
              </w:rPr>
              <w:t>dorosłych</w:t>
            </w: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 xml:space="preserve"> pacjentów, którzy otrzymali 1, ale nie więcej niż 3 wcześniejsze schematy leczenia lub linie terapii szpiczaka mnogiego (terapia indukująca, po której nastąpi przeszczep komórek macierzystych i terapia konsolidacyjna/ podtrzymująca są traktowane jako jedna linia terapii)</w:t>
            </w:r>
            <w:r w:rsidR="00F541F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541FE" w:rsidRPr="002D03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(Choroba rzadka)</w:t>
            </w:r>
          </w:p>
        </w:tc>
      </w:tr>
      <w:tr w:rsidR="00655A81" w:rsidRPr="00FF6CD9" w14:paraId="24D55298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894A6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B6D10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Ninlaro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3C09A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Ixazomib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099DB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B.54.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B2C18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LECZENIE CHORYCH NA OPORNEGO LUB NAWROTOWEGO SZPICZAKA PLAZMOCYTOWEGO (ICD10 C90.0)</w:t>
            </w:r>
          </w:p>
        </w:tc>
        <w:tc>
          <w:tcPr>
            <w:tcW w:w="134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84BF4" w14:textId="77777777" w:rsidR="00655A81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III i kolejne linie leczenia</w:t>
            </w:r>
          </w:p>
          <w:p w14:paraId="58F75DC6" w14:textId="5386A9EE" w:rsidR="00F541FE" w:rsidRPr="002D03A4" w:rsidRDefault="00F541FE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D03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(Choroba rzadka)</w:t>
            </w:r>
          </w:p>
        </w:tc>
      </w:tr>
      <w:tr w:rsidR="00655A81" w:rsidRPr="00FF6CD9" w14:paraId="165DE1A6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E46A5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8EEF9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Rydapt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4A7CB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Midostauryna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5C85A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B.114.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3E19D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LECZENIE CHORYCH NA OSTRĄ BIAŁACZKĘ SZPIKOWĄ (ICD-10 C 92.0)</w:t>
            </w:r>
          </w:p>
        </w:tc>
        <w:tc>
          <w:tcPr>
            <w:tcW w:w="134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D3379" w14:textId="77777777" w:rsidR="00476A3C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I linia leczenia  (obecność mutacji genu FLT3)</w:t>
            </w:r>
            <w:r w:rsidR="00F541F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0223115E" w14:textId="52A0814C" w:rsidR="00655A81" w:rsidRPr="002D03A4" w:rsidRDefault="00F541FE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D03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(Choroba rzadka)</w:t>
            </w:r>
          </w:p>
        </w:tc>
      </w:tr>
      <w:tr w:rsidR="00655A81" w:rsidRPr="00FF6CD9" w14:paraId="583DE257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64E03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B961E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Rydapt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ACC3F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Midostauryna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A7470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B.115.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1C794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LECZENIE AGRESYWNEJ MASTOCYTOZY UKŁADOWEJ, MASTOCYTOZY UKŁADOWEJ Z WSPÓŁISTNIEJĄCYM NOWOTWOREM UKŁADU KRWIOTWÓRCZEGO ORAZ BIAŁACZKI MASTOCYTARNEJ (ICD-10: C96.2, C94.3, D47.9)</w:t>
            </w:r>
          </w:p>
        </w:tc>
        <w:tc>
          <w:tcPr>
            <w:tcW w:w="134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05FA6" w14:textId="77777777" w:rsidR="00476A3C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Nowy program lekowy, według wytycznych klinicznych najczęściej w tym wskazaniu wskazuje się kladrybinę, interferon, midostaurynę i polichemioterapię. Refundowane sa kladrybina polichemioterapia imatynibem</w:t>
            </w:r>
            <w:r w:rsidR="00F541F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8B238E8" w14:textId="2DFC9441" w:rsidR="00655A81" w:rsidRPr="002D03A4" w:rsidRDefault="00F541FE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D03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(Choroba rzadka)</w:t>
            </w:r>
          </w:p>
        </w:tc>
      </w:tr>
      <w:tr w:rsidR="00655A81" w:rsidRPr="005058F2" w14:paraId="54545AFD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0F713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37B14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Bavencio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58CAC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Awelumab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29D97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B.117.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49468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LECZENIE RAKA Z KOMÓREK MERKLA AWELUMABEM (ICD-10 C44)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07228" w14:textId="77777777" w:rsidR="00476A3C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Kolejna nowa populacja leczenia raka skóry ( z komórek Merkla)</w:t>
            </w:r>
          </w:p>
          <w:p w14:paraId="468E18A5" w14:textId="41B40D5B" w:rsidR="00655A81" w:rsidRPr="00204A92" w:rsidRDefault="00476A3C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</w:t>
            </w:r>
            <w:r w:rsidR="003F2888" w:rsidRPr="003F288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Choroba ultrarzadka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</w:tr>
      <w:tr w:rsidR="00655A81" w:rsidRPr="005058F2" w14:paraId="39AB3C34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38F13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4ACB6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Lynparza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28FAB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Olaparyb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E6CE3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B.50.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40B2C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LECZENIE CHORYCH NA RAKA JAJNIKA, RAKA JAJOWODU LUB RAKA OTRZEWNEJ (ICD-10 C56, C57, C48)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D4E22" w14:textId="2ADBB190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 xml:space="preserve">I linia leczenia podtrzymującego </w:t>
            </w:r>
            <w:r w:rsidR="004C63DE">
              <w:rPr>
                <w:rFonts w:asciiTheme="majorHAnsi" w:hAnsiTheme="majorHAnsi" w:cstheme="majorHAnsi"/>
                <w:sz w:val="20"/>
                <w:szCs w:val="20"/>
              </w:rPr>
              <w:t xml:space="preserve">noworozpoznanego </w:t>
            </w: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 xml:space="preserve">zaawansowanego raka jajnika, jajowodu lub pierwotnego raka otrzewnej BRCA1/BRCA2 </w:t>
            </w:r>
            <w:r w:rsidR="00476A3C" w:rsidRPr="00204A92">
              <w:rPr>
                <w:rFonts w:asciiTheme="majorHAnsi" w:hAnsiTheme="majorHAnsi" w:cstheme="majorHAnsi"/>
                <w:sz w:val="20"/>
                <w:szCs w:val="20"/>
              </w:rPr>
              <w:t>dodatniego</w:t>
            </w:r>
          </w:p>
        </w:tc>
      </w:tr>
      <w:tr w:rsidR="00655A81" w:rsidRPr="005058F2" w14:paraId="01E54C4E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16629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18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939D6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Avastin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CCC32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Bewacyzumab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23A9C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B.116.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F3F19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LECZENIE CHORYCH NA ZAAWANSOWANEGO RAKA SZYJKI MACICY (ICD-10 C 53)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4866A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I linia zaawansowanego raka szyjki macicy (brak wcześniejszego stosowania chemioterapii w stadium rozsiewu z wyjątkiem cisplatyny w skojarzeniu z radioterapią podczas wytrzewiania)</w:t>
            </w:r>
          </w:p>
        </w:tc>
      </w:tr>
      <w:tr w:rsidR="00655A81" w:rsidRPr="005058F2" w14:paraId="1A67C5D4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CFDDD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3E39A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Różne podmioty odpowiedzialne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F4D08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Kwas zolendronowy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B0DAF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C.68b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8F459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Chemioterapia off-label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2EB40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Uzupełniające leczenie pooperacyjne kwasem zoledronowym chorych na raka piersi po menopauzie</w:t>
            </w:r>
          </w:p>
        </w:tc>
      </w:tr>
      <w:tr w:rsidR="00655A81" w:rsidRPr="005058F2" w14:paraId="1CC7CDD4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D05BF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23EE9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Cabometyx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45845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Kabozantynib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B30ED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B.5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0B01E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LECZENIE RAKA WĄTROBOWOKOMÓRKOWEGO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8CB1A" w14:textId="77777777" w:rsidR="00476A3C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II linia leczenia zaawansowanego raka wątrobowokomórkowego (brak alternatyw, leczenie BSC)</w:t>
            </w:r>
          </w:p>
          <w:p w14:paraId="2AE13555" w14:textId="337140FD" w:rsidR="00655A81" w:rsidRPr="00204A92" w:rsidRDefault="00476A3C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76A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(C</w:t>
            </w:r>
            <w:r w:rsidR="000F5439" w:rsidRPr="00476A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horoba</w:t>
            </w:r>
            <w:r w:rsidR="000F5439" w:rsidRPr="000F543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rzadka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</w:tr>
      <w:tr w:rsidR="00655A81" w:rsidRPr="005058F2" w14:paraId="01D17DA7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01096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92AC7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Alunbrig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AD76E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brygatynib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76736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B.6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F4AB3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LECZENIE NIEDROBNOKOMÓRKOWEGO LUB DROBNOKOMÓRKOWEGO RAKA PŁUCA (ICD-10 C 34)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184D4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I linia leczenia pacjentów z zaawansowanym niedrobnokomórkowym rakiem płuc</w:t>
            </w:r>
          </w:p>
        </w:tc>
      </w:tr>
      <w:tr w:rsidR="00655A81" w:rsidRPr="005058F2" w14:paraId="2586AB28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E31D4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2</w:t>
            </w:r>
            <w:r w:rsidRPr="00204A92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A7AC4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Tecentriq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49F7F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atezolizumab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7B35C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B.6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8C3AA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LECZENIE NIEDROBNOKOMÓRKOWEGO LUB DROBNOKOMÓRKOWEGO RAKA PŁUCA (ICD-10 C 34)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71252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I linia leczenia pacjentów z zaawansowanym drobnokomórkowym rakiem płuc</w:t>
            </w:r>
          </w:p>
        </w:tc>
      </w:tr>
      <w:tr w:rsidR="00655A81" w:rsidRPr="005058F2" w14:paraId="6A0BD026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0EF6E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Pr="00204A92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E16E5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Vizimpro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1110F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dakomitynib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812F7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B.6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C4F25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LECZENIE NIEDROBNOKOMÓRKOWEGO LUB DROBNOKOMÓRKOWEGO RAKA PŁUCA (ICD-10 C 34)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507DE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I linia leczenia pacjentów z zaawansowanym niedrobnokomórkowym rakiem płuc</w:t>
            </w:r>
          </w:p>
        </w:tc>
      </w:tr>
      <w:tr w:rsidR="00655A81" w:rsidRPr="005058F2" w14:paraId="354B340F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D2F59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Pr="00204A92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E5899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Lorviqua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9DBAB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lorlatynib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D1326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B.6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48573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LECZENIE NIEDROBNOKOMÓRKOWEGO LUB DROBNOKOMÓRKOWEGO RAKA PŁUCA (ICD-10 C 34)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07527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II linia leczenia pacjentów z zaawansowanym niedrobnokomórkowym rakiem płuc</w:t>
            </w:r>
          </w:p>
        </w:tc>
      </w:tr>
      <w:tr w:rsidR="00655A81" w:rsidRPr="005058F2" w14:paraId="49FAD962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8E397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Pr="00204A92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FDDEA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Nexavar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12D7A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sorafenib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A887F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B.119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34EA0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LECZENIE PACJENTÓW Z POSTĘPUJĄCYM, MIEJSCOWO ZAAWANSOWANYM LUB Z PRZERZUTAMI, ZRÓŻNICOWANYM (BRODAWKOWATYM/PĘCHERZYKOWATYM/OKSYFILNYM Z KOMÓREK HURTLE’A) RAKIEM TARCZYCY, OPORNYM NA LECZENIE JODEM RADIOAKTYWNYM (ICD-10 C73)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95ED6" w14:textId="77777777" w:rsidR="00655A81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II linia leczenia - terapia po niepowodzeniu terapii jodem radioaktywnym</w:t>
            </w:r>
          </w:p>
          <w:p w14:paraId="4CCC0579" w14:textId="4BDF2EC1" w:rsidR="000F5439" w:rsidRPr="000F5439" w:rsidRDefault="000F5439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F543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(Choroba rzadka)</w:t>
            </w:r>
          </w:p>
        </w:tc>
      </w:tr>
      <w:tr w:rsidR="00655A81" w:rsidRPr="005058F2" w14:paraId="24FF6939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26A0E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26</w:t>
            </w:r>
            <w:r w:rsidRPr="00204A92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B72AD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Opdivo + Yervoy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B3DA6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niwolumab + ipilimumab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8EB3C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B.59.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54626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LECZENIE CZERNIAKA SKÓRY LUB BŁON ŚLUZOWYCH (ICD-10 C43)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0E21D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I linia leczenia zaawansowanego czerniaka skóry i błon śluzowych uwzględniająca usunięcie restrykcji dotyczącej oznaczenia poziomu PDL1</w:t>
            </w:r>
          </w:p>
        </w:tc>
      </w:tr>
      <w:tr w:rsidR="00655A81" w:rsidRPr="005058F2" w14:paraId="07D4A333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47EC1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FA428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Kymriah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957B0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tisagenlecleucelum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5EDE1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B.65.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39CCB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LECZENIE CHORYCH NA OSTRĄ BIAŁACZKĘ LIMFOBLASTYCZNĄ (ICD-10 C91.0)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2D93D" w14:textId="345D5663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Terapia pacjentów w wieku do 25 lat z nawrotową lub oporną ostrą białaczką limfoblastyczną (ALL) z komórek B (pierwsza refundowana terapia CAR-T)</w:t>
            </w:r>
            <w:r w:rsidR="00F541F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541FE" w:rsidRPr="002D03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(Choroba rzadka)</w:t>
            </w:r>
          </w:p>
        </w:tc>
      </w:tr>
      <w:tr w:rsidR="00655A81" w:rsidRPr="005058F2" w14:paraId="08B7FCD3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58B30" w14:textId="654DE5B5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  <w:r w:rsidR="007A21D4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951A2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Venclyxto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D793B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wenetoklaks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0D448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B.103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C8DC5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LECZENIE CHORYCH NA PRZEWLEKŁĄ BIAŁACZKĘ LIMFOCYTOWĄ WENETOKLAKSE</w:t>
            </w:r>
            <w:r w:rsidRPr="00204A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M (ICD 10: C.91.1)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1E447" w14:textId="77777777" w:rsidR="00476A3C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B2D4F">
              <w:rPr>
                <w:rFonts w:asciiTheme="majorHAnsi" w:hAnsiTheme="majorHAnsi" w:cstheme="majorHAnsi"/>
                <w:sz w:val="20"/>
                <w:szCs w:val="20"/>
              </w:rPr>
              <w:t xml:space="preserve">Umożliwienie terapii wenetoklaksem w skojarzeniu z rytuksymabem szerszej populacji chorych na przewlekła białaczkę limfocytową </w:t>
            </w:r>
          </w:p>
          <w:p w14:paraId="3C57A093" w14:textId="1AD6F717" w:rsidR="00655A81" w:rsidRPr="002D03A4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D03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(Choroba rzadka)</w:t>
            </w:r>
          </w:p>
        </w:tc>
      </w:tr>
      <w:tr w:rsidR="00655A81" w:rsidRPr="005058F2" w14:paraId="19CD8F2E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AE0D4" w14:textId="04665816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  <w:r w:rsidR="007A21D4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FE501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Venclyxto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135D8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wenetoklaks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BA18B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B.103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137EC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LECZENIE CHORYCH NA PRZEWLEKŁĄ BIAŁACZKĘ LIMFOCYTOWĄ WENETOKLAKSEM (ICD 10: C.91.1)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84863" w14:textId="77777777" w:rsidR="004C63DE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B2D4F">
              <w:rPr>
                <w:rFonts w:asciiTheme="majorHAnsi" w:hAnsiTheme="majorHAnsi" w:cstheme="majorHAnsi"/>
                <w:sz w:val="20"/>
                <w:szCs w:val="20"/>
              </w:rPr>
              <w:t>Leczenie chorych na przewlekłą białaczkę limfocytową w I linii wenetoklaksem w skojarzeniu z obinutuzumabem</w:t>
            </w:r>
          </w:p>
          <w:p w14:paraId="363B3E30" w14:textId="715DEB82" w:rsidR="00655A81" w:rsidRPr="002D03A4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D03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(Choroba rzadka)</w:t>
            </w:r>
          </w:p>
        </w:tc>
      </w:tr>
      <w:tr w:rsidR="00655A81" w:rsidRPr="005058F2" w14:paraId="3B0BEEE7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AA615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  <w:r w:rsidRPr="00204A92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273AF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Libtayo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CC463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cemiplimab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6CC34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B.125.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4B03E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LECZENIE CHORYCH NA ZAAWANSOWANEGO RAKA KOLCZYSTOKOMÓRKOWEGO SKÓRY CEMIPLIMABEM (ICD-10: C44.12, C44.22, C44.32, C44.42, C44.52, C44.62, C44.72, C44.82, C44.92)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77E1B" w14:textId="77777777" w:rsidR="004C63DE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 xml:space="preserve">Nowa populacja chorych w terapii leczenia nowotworów skóry obok czerniaka, raka podstawnokomórkowego oraz raka z komórek </w:t>
            </w:r>
            <w:r w:rsidRPr="00FB2D4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Merkla </w:t>
            </w:r>
          </w:p>
          <w:p w14:paraId="51DA340E" w14:textId="2288F4E3" w:rsidR="00655A81" w:rsidRPr="002D03A4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D03A4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(Choroba rzadka)</w:t>
            </w:r>
          </w:p>
        </w:tc>
      </w:tr>
    </w:tbl>
    <w:p w14:paraId="4E512BB9" w14:textId="428F3661" w:rsidR="00321CCE" w:rsidRDefault="00321CCE"/>
    <w:p w14:paraId="0B25FC5C" w14:textId="77777777" w:rsidR="00321CCE" w:rsidRDefault="00321CCE">
      <w:pPr>
        <w:suppressAutoHyphens w:val="0"/>
      </w:pPr>
      <w:r>
        <w:br w:type="page"/>
      </w:r>
    </w:p>
    <w:p w14:paraId="3E78FD03" w14:textId="77777777" w:rsidR="002D03A4" w:rsidRDefault="002D03A4"/>
    <w:tbl>
      <w:tblPr>
        <w:tblW w:w="47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1421"/>
        <w:gridCol w:w="1745"/>
        <w:gridCol w:w="1877"/>
        <w:gridCol w:w="4038"/>
        <w:gridCol w:w="3540"/>
      </w:tblGrid>
      <w:tr w:rsidR="00655A81" w:rsidRPr="005058F2" w14:paraId="43A4A2F8" w14:textId="77777777" w:rsidTr="00476A3C">
        <w:trPr>
          <w:cantSplit/>
          <w:trHeight w:val="20"/>
        </w:trPr>
        <w:tc>
          <w:tcPr>
            <w:tcW w:w="5000" w:type="pct"/>
            <w:gridSpan w:val="6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8EA62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04A92">
              <w:rPr>
                <w:rFonts w:asciiTheme="majorHAnsi" w:hAnsiTheme="majorHAnsi" w:cstheme="majorHAnsi"/>
                <w:b/>
                <w:bCs/>
              </w:rPr>
              <w:t>Nowe wskazania nieonkologiczne</w:t>
            </w:r>
          </w:p>
        </w:tc>
      </w:tr>
      <w:tr w:rsidR="00655A81" w:rsidRPr="005058F2" w14:paraId="583D13D7" w14:textId="77777777" w:rsidTr="00476A3C">
        <w:trPr>
          <w:cantSplit/>
          <w:trHeight w:val="20"/>
        </w:trPr>
        <w:tc>
          <w:tcPr>
            <w:tcW w:w="212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CD71E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9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55743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leku</w:t>
            </w:r>
          </w:p>
        </w:tc>
        <w:tc>
          <w:tcPr>
            <w:tcW w:w="662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19C79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Substancja czynna</w:t>
            </w:r>
          </w:p>
        </w:tc>
        <w:tc>
          <w:tcPr>
            <w:tcW w:w="712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CC6F7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Numer programu lekowego/załącznika chemioterapii</w:t>
            </w:r>
          </w:p>
        </w:tc>
        <w:tc>
          <w:tcPr>
            <w:tcW w:w="1532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9D90F" w14:textId="77777777" w:rsidR="00655A81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programu lekowego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/ </w:t>
            </w:r>
          </w:p>
          <w:p w14:paraId="49E8DA82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Załącznika chemioterapii</w:t>
            </w:r>
          </w:p>
        </w:tc>
        <w:tc>
          <w:tcPr>
            <w:tcW w:w="1343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380B3" w14:textId="77777777" w:rsidR="00655A81" w:rsidRPr="00204A9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Doprecyzowanie wskazania</w:t>
            </w:r>
          </w:p>
        </w:tc>
      </w:tr>
      <w:tr w:rsidR="00655A81" w:rsidRPr="005058F2" w14:paraId="74A30B0F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EFD84" w14:textId="77777777" w:rsidR="00655A81" w:rsidRPr="00D1058B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085B3" w14:textId="77777777" w:rsidR="00655A81" w:rsidRPr="00D1058B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</w:pPr>
            <w:r w:rsidRPr="00D1058B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Lemtrada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5E836" w14:textId="77777777" w:rsidR="00655A81" w:rsidRPr="00D1058B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D1058B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Alemtuzumab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A44B1" w14:textId="77777777" w:rsidR="00655A81" w:rsidRPr="00D1058B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D1058B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B.46.</w:t>
            </w:r>
          </w:p>
        </w:tc>
        <w:tc>
          <w:tcPr>
            <w:tcW w:w="153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A3BDA" w14:textId="77777777" w:rsidR="00655A81" w:rsidRPr="00D1058B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D1058B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LECZENIE STWARDNIENIA ROZSIANEGO PO NIEPOWODZENIU TERAPII LEKAMI PIERWSZEGO RZUTU LUB SZYBKO ROZWIJAJĄCEJ SIĘ CIĘŻKIEJ POSTACI STWARDNIENIA ROZSIANEGO LUB PIERWOTNIE POSTĘPUJĄCEJ POSTACI STWARDNIENIA ROZSIANEGO (ICD-10 G 35)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6F649" w14:textId="77777777" w:rsidR="00655A81" w:rsidRPr="00D1058B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D1058B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 leczeniu II linii pacjentów z rzutowo-remisyjną postacią stwardnienia rozsianego</w:t>
            </w:r>
          </w:p>
        </w:tc>
      </w:tr>
      <w:tr w:rsidR="00655A81" w:rsidRPr="005058F2" w14:paraId="523C06ED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C35A9" w14:textId="77777777" w:rsidR="00655A81" w:rsidRPr="00D1058B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36DEF" w14:textId="77777777" w:rsidR="00655A81" w:rsidRPr="00D1058B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</w:pPr>
            <w:r w:rsidRPr="00D1058B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Ketosteril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D45FD" w14:textId="77777777" w:rsidR="00655A81" w:rsidRPr="00D1058B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D1058B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Ketoanalogi aminokwasów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2BE6C" w14:textId="77777777" w:rsidR="00655A81" w:rsidRPr="00D1058B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D1058B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B.113.</w:t>
            </w:r>
          </w:p>
        </w:tc>
        <w:tc>
          <w:tcPr>
            <w:tcW w:w="153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001F6" w14:textId="77777777" w:rsidR="00655A81" w:rsidRPr="00D1058B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D1058B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LECZENIE PACJENTÓW Z CHOROBAMI NEREK (ICD-10 N18)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2162C" w14:textId="77777777" w:rsidR="00476A3C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D1058B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Przewlekła choroba nerek z następstwami nieprawidłowego lub niewystarczającego metabolizmu białek w stadium 4 lub 5 wg klasyfikacji KDIGO</w:t>
            </w:r>
            <w:r w:rsidR="007A21D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2481434" w14:textId="1129B71A" w:rsidR="00655A81" w:rsidRPr="00D1058B" w:rsidRDefault="007A21D4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476A3C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(</w:t>
            </w:r>
            <w:r w:rsidR="003F2888" w:rsidRPr="00476A3C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C</w:t>
            </w:r>
            <w:r w:rsidRPr="007A21D4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horoba rzadka</w:t>
            </w:r>
            <w:r w:rsidRPr="002D03A4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2852FE" w:rsidRPr="005058F2" w14:paraId="6CCCEA36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949F3" w14:textId="12A98617" w:rsidR="002852FE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6AA40" w14:textId="5324EBE9" w:rsidR="002852FE" w:rsidRPr="00D1058B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</w:pPr>
            <w:r w:rsidRPr="002852FE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Cimzia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E0ADA" w14:textId="3E93A186" w:rsidR="002852FE" w:rsidRPr="00D1058B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2852F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Certolizumabum pegol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3307A" w14:textId="0AD21612" w:rsidR="002852FE" w:rsidRPr="00D1058B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2852F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B.47.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785B8" w14:textId="3BCEE272" w:rsidR="002852FE" w:rsidRPr="00D1058B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2852F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LECZENIE UMIARKOWANEJ I CIĘŻKIEJ POSTACI ŁUSZCZYCY PLACKOWATEJ (ICD-10 L 40.0)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1D608" w14:textId="3B1A8937" w:rsidR="002852FE" w:rsidRPr="00D1058B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I</w:t>
            </w:r>
            <w:r w:rsidRPr="002852F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nhibitor czynnika martwicy nowotworów alfa (TNFα)</w:t>
            </w:r>
          </w:p>
        </w:tc>
      </w:tr>
      <w:tr w:rsidR="002852FE" w:rsidRPr="005058F2" w14:paraId="27622696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820D2" w14:textId="0C89DA6E" w:rsidR="002852FE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FFB0C" w14:textId="7D8300F6" w:rsidR="002852FE" w:rsidRPr="00D1058B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</w:pPr>
            <w:r w:rsidRPr="002852FE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Taltz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EBE44" w14:textId="4E90A505" w:rsidR="002852FE" w:rsidRPr="00D1058B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2852F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Ixekizumabum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63EC6" w14:textId="34B1EDB4" w:rsidR="002852FE" w:rsidRPr="00D1058B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2852F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B.35.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311E9" w14:textId="27EC70D9" w:rsidR="002852FE" w:rsidRPr="00D1058B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2852F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LECZENIE AKTYWNEJ POSTACI ŁUSZCZYCOWEGO ZAPALENIA STAWÓW (ŁZS) (ICD-10 L 40.5, M 07.1, M 07.2, M 07.3)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30BA1" w14:textId="3A0159B4" w:rsidR="002852FE" w:rsidRPr="00D1058B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2852F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inhibitor interleukiny</w:t>
            </w:r>
          </w:p>
        </w:tc>
      </w:tr>
      <w:tr w:rsidR="002852FE" w:rsidRPr="005058F2" w14:paraId="6FBE0C29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077CC" w14:textId="1F8D58AC" w:rsidR="002852FE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0A095" w14:textId="062116D9" w:rsidR="002852FE" w:rsidRPr="00D1058B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</w:pPr>
            <w:r w:rsidRPr="002852FE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Uptravi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D4072" w14:textId="3E76333C" w:rsidR="002852FE" w:rsidRPr="00D1058B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2852F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seleksypag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E1C25" w14:textId="57986BAC" w:rsidR="002852FE" w:rsidRPr="00D1058B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2852F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B.31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AA344" w14:textId="571921D7" w:rsidR="002852FE" w:rsidRPr="00D1058B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2852F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LECZENIE TĘTNICZEGO NADCIŚNIENIA PŁUCNEGO (TNP) (ICD-10 I27, I27.0)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629CB" w14:textId="761EB242" w:rsidR="002852FE" w:rsidRPr="00D1058B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</w:t>
            </w:r>
            <w:r w:rsidRPr="002852F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połączeniu z inhibitorem PDE-5 oraz antagonistami receptorów endotelinowych w przypadku III klasy czynnościowej jeśli dotychczasowe leczenie jednym ze schematów lekowych przewidzianych do stosowania w terapii skojarzonej okazało się nieskuteczne lub źle tolerowane</w:t>
            </w:r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(dorośli)</w:t>
            </w:r>
          </w:p>
        </w:tc>
      </w:tr>
      <w:tr w:rsidR="002852FE" w:rsidRPr="005058F2" w14:paraId="0602B212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28BA3" w14:textId="5BFE8B7A" w:rsidR="002852FE" w:rsidRPr="00D1058B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lastRenderedPageBreak/>
              <w:t>6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3C861" w14:textId="77777777" w:rsidR="002852FE" w:rsidRPr="00D1058B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</w:pPr>
            <w:r w:rsidRPr="00D1058B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Vosevi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AF4BF" w14:textId="77777777" w:rsidR="002852FE" w:rsidRPr="00D1058B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D1058B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Sofosbuvir, Velpatasivir, Voxilaprevir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C367A" w14:textId="77777777" w:rsidR="002852FE" w:rsidRPr="00D1058B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D1058B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B.71. 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2C029" w14:textId="77777777" w:rsidR="002852FE" w:rsidRPr="00D1058B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D1058B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LECZENIE PRZEWLEKŁEGO WIRUSOWEGO ZAPALENIA WĄTROBY TYPU C TERAPIĄ BEZINTERFERONOWĄ (ICD-10 B 18.2)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2B692" w14:textId="77777777" w:rsidR="002852FE" w:rsidRPr="00D1058B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</w:tr>
      <w:tr w:rsidR="002852FE" w:rsidRPr="005058F2" w14:paraId="50E180B2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60467" w14:textId="4F39BFBB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3AF2C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Signifor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3F6F6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i/>
                <w:iCs/>
                <w:noProof/>
                <w:sz w:val="20"/>
                <w:szCs w:val="20"/>
              </w:rPr>
              <w:t>pasyreotyd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61C3F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B.118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697C6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noProof/>
                <w:sz w:val="20"/>
                <w:szCs w:val="20"/>
              </w:rPr>
              <w:t>LECZENIE CHOROBY CUSHINGA (ICD-10 E24.0)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D5C15" w14:textId="1E294292" w:rsidR="00476A3C" w:rsidRDefault="002852FE" w:rsidP="002852FE">
            <w:pPr>
              <w:spacing w:before="60" w:after="60" w:line="240" w:lineRule="auto"/>
              <w:jc w:val="center"/>
              <w:rPr>
                <w:rFonts w:asciiTheme="majorHAnsi" w:eastAsia="SimSun" w:hAnsiTheme="majorHAnsi" w:cstheme="majorHAnsi"/>
                <w:bCs/>
                <w:kern w:val="1"/>
                <w:sz w:val="20"/>
                <w:szCs w:val="20"/>
                <w:lang w:eastAsia="pl-PL"/>
              </w:rPr>
            </w:pPr>
            <w:r w:rsidRPr="00204A92">
              <w:rPr>
                <w:rFonts w:asciiTheme="majorHAnsi" w:eastAsia="SimSun" w:hAnsiTheme="majorHAnsi" w:cstheme="majorHAnsi"/>
                <w:bCs/>
                <w:kern w:val="1"/>
                <w:sz w:val="20"/>
                <w:szCs w:val="20"/>
                <w:lang w:eastAsia="pl-PL"/>
              </w:rPr>
              <w:t>Leczenie dorosłych pacjentów, u których wykonanie zabiegu operacyjnego guza przysadki nie jest możliwe lub zakończyło się niepowodzeniem</w:t>
            </w:r>
          </w:p>
          <w:p w14:paraId="7F393635" w14:textId="662F571A" w:rsidR="002852FE" w:rsidRPr="00204A92" w:rsidRDefault="000F5439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476A3C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pl-PL"/>
              </w:rPr>
              <w:t>(Choroba</w:t>
            </w:r>
            <w:r w:rsidRPr="000F5439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pl-PL"/>
              </w:rPr>
              <w:t xml:space="preserve"> rzadka</w:t>
            </w:r>
            <w:r w:rsidRPr="002D03A4">
              <w:rPr>
                <w:rFonts w:asciiTheme="majorHAnsi" w:eastAsia="SimSun" w:hAnsiTheme="majorHAnsi" w:cstheme="majorHAnsi"/>
                <w:b/>
                <w:kern w:val="1"/>
                <w:sz w:val="20"/>
                <w:szCs w:val="20"/>
                <w:lang w:eastAsia="pl-PL"/>
              </w:rPr>
              <w:t>)</w:t>
            </w:r>
          </w:p>
        </w:tc>
      </w:tr>
      <w:tr w:rsidR="002852FE" w:rsidRPr="005058F2" w14:paraId="4F940A12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306CD" w14:textId="757D3ECC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8D404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Idelvion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A8CDF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albutrepenonakog alfa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B24AB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B.15.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AB645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ZAPOBIEGANIE KRWAWIENIOM U DZIECI Z HEMOFILIĄ A I B (ICD-10 D 66, D 67)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29426" w14:textId="20CBEDED" w:rsidR="00476A3C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 xml:space="preserve">Pierwotna i wtórna profilaktyka krwawień u dzieci, chorych na </w:t>
            </w:r>
            <w:r w:rsidR="00476A3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hemofilię B</w:t>
            </w:r>
            <w:r w:rsidR="00F541F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A9F6289" w14:textId="2FEB8BE5" w:rsidR="002852FE" w:rsidRPr="00204A92" w:rsidRDefault="00F541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476A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</w:t>
            </w:r>
            <w:r w:rsidR="000F5439" w:rsidRPr="00476A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</w:t>
            </w:r>
            <w:r w:rsidRPr="00476A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horoba</w:t>
            </w:r>
            <w:r w:rsidRPr="000F543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rzadka</w:t>
            </w:r>
            <w:r w:rsidRPr="002D03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</w:tr>
      <w:tr w:rsidR="002852FE" w:rsidRPr="005058F2" w14:paraId="7D18694D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32861" w14:textId="60DF1E74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11B41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Ozurdex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F7CEF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deksametazon w postaci implantu doszklistkowego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89B18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B.120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29905" w14:textId="77777777" w:rsidR="002852FE" w:rsidRPr="000C11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LECZENIE PACJENTÓW Z CUKRZYCOWYM OBRZĘKIEM PLAMKI (DME) (ICD-10 H 36.0)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54296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III linia leczenia</w:t>
            </w:r>
          </w:p>
        </w:tc>
      </w:tr>
      <w:tr w:rsidR="002852FE" w:rsidRPr="005058F2" w14:paraId="362104C2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CB612" w14:textId="20327E98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19733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Eylea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23E04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aflibercept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20C06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B.120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42396" w14:textId="77777777" w:rsidR="002852FE" w:rsidRPr="000C11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LECZENIE PACJENTÓW Z CUKRZYCOWYM OBRZĘKIEM PLAMKI (DME) (ICD-10 H 36.0)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6106C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II linia leczenia lub kontynuacja aktualnej terapii</w:t>
            </w:r>
          </w:p>
        </w:tc>
      </w:tr>
      <w:tr w:rsidR="002852FE" w:rsidRPr="005058F2" w14:paraId="68FB2771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05454" w14:textId="4E10A478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FE9CB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różne nazwy handlowe (Avastin, Mvasi, Zirabev)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8CAF7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bewacyzumab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F44BE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B.120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CECC9" w14:textId="77777777" w:rsidR="002852FE" w:rsidRPr="000C11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LECZENIE PACJENTÓW Z CUKRZYCOWYM OBRZĘKIEM PLAMKI (DME) (ICD-10 H 36.0)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4CAF6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I linia leczenia lub kontynuacja aktualnej terapii</w:t>
            </w:r>
          </w:p>
        </w:tc>
      </w:tr>
      <w:tr w:rsidR="002852FE" w:rsidRPr="005058F2" w14:paraId="3B87B14C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4FF6F" w14:textId="7BF937A0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7EF95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Lucentis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F120E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ranibizumab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45E49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B.120.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1B6AA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LECZENIE CHORYCH NA CUKRZYCOWY OBRZĘK PLAMKI (DME) (ICD-10 H 36.0)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96EAC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 xml:space="preserve">II linia leczenia – kolejna opcja terapeutyczna </w:t>
            </w:r>
            <w:r w:rsidRPr="00204A92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w programie leczenia cukrzycowego obrzęku plamki obok refundowanego już w II linii afliberceptu </w:t>
            </w:r>
          </w:p>
        </w:tc>
      </w:tr>
      <w:tr w:rsidR="002852FE" w:rsidRPr="005058F2" w14:paraId="15FE4B89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99144" w14:textId="537DD728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6C3AF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Takhzyro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CC37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lanadelumab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04A4C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B.122.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F2A2A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LECZENIE ZAPOBIEGAWCZE CHORYCH Z NAWRACAJĄCYMI NAPADAMI DZIEDZICZNEGO OBRZĘKU NACZYNIORUCHOWEGO</w:t>
            </w:r>
            <w:r w:rsidRPr="00204A92">
              <w:rPr>
                <w:rFonts w:asciiTheme="majorHAnsi" w:hAnsiTheme="majorHAnsi" w:cstheme="majorHAnsi"/>
                <w:sz w:val="20"/>
                <w:szCs w:val="20"/>
              </w:rPr>
              <w:br/>
              <w:t>O CIĘŻKIM PRZEBIEGU (ICD-10: D 84.1)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98BEB" w14:textId="77777777" w:rsidR="00476A3C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Terapia pacjentów w ramach profilaktyki nawracających napadów dziedzicznego obrzęku naczynioruchowego (typu I lub II) u pacjentów w wieku 12 lat i starszych</w:t>
            </w:r>
          </w:p>
          <w:p w14:paraId="78815DF4" w14:textId="46E8BB62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76A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</w:t>
            </w:r>
            <w:r w:rsidR="004C63DE" w:rsidRPr="00476A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</w:t>
            </w:r>
            <w:r w:rsidRPr="007A21D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horoba ultrarzadk</w:t>
            </w:r>
            <w:r w:rsidRPr="002D03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a)</w:t>
            </w:r>
          </w:p>
        </w:tc>
      </w:tr>
      <w:tr w:rsidR="002852FE" w:rsidRPr="005058F2" w14:paraId="28D52FD0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47DD7" w14:textId="1C4CEC85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14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C8E59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Cystagon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DE617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cysteamina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0E090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B.61.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3D6D7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LECZENIE CHORYCH NA WCZESNODZIECIĘCĄ POSTAĆ CYSTYNOZY NEFROPATYCZNEJ (ICD-10 E 72.0)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5F0D6" w14:textId="77777777" w:rsidR="002852FE" w:rsidRPr="007A21D4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A21D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Choroba ultrarzadka</w:t>
            </w:r>
          </w:p>
        </w:tc>
      </w:tr>
      <w:tr w:rsidR="002852FE" w:rsidRPr="005058F2" w14:paraId="440B8D05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811F6" w14:textId="6919320A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5C437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Cuprior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52E26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trientyna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83C2C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B.123.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9520E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LECZENIE PACJENTÓW Z CHOROBĄ WILSONA (ICD-10: E83.0)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A040F" w14:textId="77777777" w:rsidR="00476A3C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 xml:space="preserve">Terapia choroby Wilsona po stwierdzonej nietolerancji leczenia D-penicylaminą i siarczanem cynku u pacjentów powyżej 5 roku życia </w:t>
            </w:r>
          </w:p>
          <w:p w14:paraId="77BDB667" w14:textId="4A735CC0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476A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(C</w:t>
            </w:r>
            <w:r w:rsidRPr="007A21D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horoba </w:t>
            </w:r>
            <w:r w:rsidRPr="002D03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ultrarzadka)</w:t>
            </w:r>
          </w:p>
        </w:tc>
      </w:tr>
      <w:tr w:rsidR="002852FE" w:rsidRPr="005058F2" w14:paraId="68AE3537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DDF8C" w14:textId="00038AB1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5B276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Firdapse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C1FFA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i/>
                <w:iCs/>
                <w:noProof/>
                <w:sz w:val="20"/>
                <w:szCs w:val="20"/>
              </w:rPr>
              <w:t>amifampridyna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37BC3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noProof/>
                <w:sz w:val="20"/>
                <w:szCs w:val="20"/>
              </w:rPr>
              <w:t>B.121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F9552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noProof/>
                <w:sz w:val="20"/>
                <w:szCs w:val="20"/>
              </w:rPr>
              <w:t>LECZENIE AMIFAMPRYDYNĄ PACJENTÓW Z ZESPOŁEM MIASTENICZNYM LAMBERTA-EATONA (ICD-10: G73.1)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BFF5C" w14:textId="77777777" w:rsidR="00476A3C" w:rsidRDefault="002852FE" w:rsidP="002852FE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04A92">
              <w:rPr>
                <w:rFonts w:ascii="Calibri Light" w:hAnsi="Calibri Light" w:cs="Calibri Light"/>
                <w:sz w:val="20"/>
                <w:szCs w:val="20"/>
              </w:rPr>
              <w:t xml:space="preserve">Terapia dorosłych pacjentów z zespołem miastenicznym Lamberta-Eatona (LEMS), u których przeprowadzono komplet badań diagnostycznych świadczących o przeprowadzeniu diagnostyki różnicowej i </w:t>
            </w:r>
            <w:r w:rsidRPr="00FB2D4F">
              <w:rPr>
                <w:rFonts w:ascii="Calibri Light" w:hAnsi="Calibri Light" w:cs="Calibri Light"/>
                <w:sz w:val="20"/>
                <w:szCs w:val="20"/>
              </w:rPr>
              <w:t xml:space="preserve">dokumentujących rozpoznanie. </w:t>
            </w:r>
          </w:p>
          <w:p w14:paraId="6B604E71" w14:textId="693A8E8F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476A3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(C</w:t>
            </w:r>
            <w:r w:rsidRPr="007A21D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horoba </w:t>
            </w:r>
            <w:r w:rsidRPr="002D03A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ultrarzadka)</w:t>
            </w:r>
          </w:p>
        </w:tc>
      </w:tr>
      <w:tr w:rsidR="002852FE" w:rsidRPr="005058F2" w14:paraId="00616D8E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C7C08" w14:textId="5D67B70C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F452D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Jinarc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DBC5E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tolwaptan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04715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B.126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39771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 xml:space="preserve">LECZENIE PACJENTÓW Z AUTOSOMALNIE DOMINUJĄCĄ POSTACIĄ ZWYRODNIENIA WIELOTORBIELOWATEGO NEREK </w:t>
            </w:r>
            <w:r w:rsidRPr="00204A92">
              <w:rPr>
                <w:rFonts w:asciiTheme="majorHAnsi" w:hAnsiTheme="majorHAnsi" w:cstheme="majorHAnsi"/>
                <w:sz w:val="20"/>
                <w:szCs w:val="20"/>
              </w:rPr>
              <w:br/>
              <w:t>(ICD-10 Q 61.2)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3217E" w14:textId="77777777" w:rsidR="00476A3C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 xml:space="preserve">Spowolnienie powstawania torbieli i progresji upośledzenia czynności nerek w autosomalnie dominującej postaci zwyrodnienia wielotorbielowatego nerek u dorosłych z przewlekłą chorobą nerek w stadium 2. lub 3. w momencie rozpoczęcia leczenia, którzy wykazują szybki postęp choroby </w:t>
            </w:r>
          </w:p>
          <w:p w14:paraId="1735A757" w14:textId="5E00261D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476A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(C</w:t>
            </w:r>
            <w:r w:rsidRPr="007A21D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horoba rzadka</w:t>
            </w:r>
            <w:r w:rsidRPr="00FB2D4F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2852FE" w:rsidRPr="005058F2" w14:paraId="38A6085D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495DC" w14:textId="1E0527B2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5F863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 xml:space="preserve">Beovu 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69933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i/>
                <w:iCs/>
                <w:noProof/>
                <w:sz w:val="20"/>
                <w:szCs w:val="20"/>
              </w:rPr>
              <w:t>brolicizu</w:t>
            </w:r>
            <w:r w:rsidRPr="00204A9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mab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00BF4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B.70.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73BA0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="Calibri Light" w:hAnsi="Calibri Light" w:cs="Calibri Light"/>
                <w:sz w:val="20"/>
                <w:szCs w:val="20"/>
              </w:rPr>
              <w:t>LECZENIE PACJENTÓW Z NEOWASKULARNĄ (WYSIĘKOWĄ) POSTACIĄ ZWYRODNIENIA PLAMKI ZWIĄZANEGO Z WIEKIEM (AMD) (ICD-10 H35.3)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73481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Objęcie refundacją w programie kolejnej substancji czynnej z grupy leków anty-VEGF, tj. brolucizumabu</w:t>
            </w:r>
          </w:p>
        </w:tc>
      </w:tr>
      <w:tr w:rsidR="002852FE" w:rsidRPr="005058F2" w14:paraId="7D7AAB2F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BA6E9" w14:textId="4D14579C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19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F0B4A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Revolade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FD22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eltrombopag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BE6E1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B.97.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5244D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LECZENIE DOROSŁYCH CHORYCH NA PIERWOTNĄ MAŁOPŁYTKOWOŚĆ IMMUNOLOGICZNĄ (ICD-10: D69.3)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5C8D8" w14:textId="77777777" w:rsidR="004C63DE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 xml:space="preserve">Przeciwskazania do wykonania splenektomii w ocenie lokalnego zespołu ekspertów obejmującego hematologa, chirurga i </w:t>
            </w:r>
            <w:r w:rsidRPr="00FB2D4F">
              <w:rPr>
                <w:rFonts w:asciiTheme="majorHAnsi" w:hAnsiTheme="majorHAnsi" w:cstheme="majorHAnsi"/>
                <w:sz w:val="20"/>
                <w:szCs w:val="20"/>
              </w:rPr>
              <w:t xml:space="preserve">anestezjologa w ośrodku prowadzącym leczenie </w:t>
            </w:r>
          </w:p>
          <w:p w14:paraId="4E1E5A4A" w14:textId="1F6D2EB6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476A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(Ch</w:t>
            </w:r>
            <w:r w:rsidRPr="004C63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oroba rzadka</w:t>
            </w:r>
            <w:r w:rsidRPr="002D03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</w:tr>
      <w:tr w:rsidR="002852FE" w:rsidRPr="005058F2" w14:paraId="650834CC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63643" w14:textId="48D402E0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CA2DA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Revolade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037FF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eltrombopag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11152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B.127.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24EE8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LECZENIE DOROSŁYCH CHORYCH NA CIĘŻKĄ ANEMIĘ APLASTYCZNĄ (ICD-10 D61)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8085F" w14:textId="77777777" w:rsidR="004C63DE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 xml:space="preserve">Terapia dorosłych pacjentów z rozpoznaną nabytą ciężką niedokrwistością </w:t>
            </w:r>
            <w:r w:rsidRPr="00FB2D4F">
              <w:rPr>
                <w:rFonts w:asciiTheme="majorHAnsi" w:hAnsiTheme="majorHAnsi" w:cstheme="majorHAnsi"/>
                <w:sz w:val="20"/>
                <w:szCs w:val="20"/>
              </w:rPr>
              <w:t xml:space="preserve">aplastyczną </w:t>
            </w:r>
          </w:p>
          <w:p w14:paraId="61E9E522" w14:textId="0516E050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76A3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(C</w:t>
            </w:r>
            <w:r w:rsidRPr="007A21D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horoba rzadk</w:t>
            </w:r>
            <w:r w:rsidRPr="002D03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a)</w:t>
            </w:r>
          </w:p>
        </w:tc>
      </w:tr>
      <w:tr w:rsidR="002852FE" w:rsidRPr="005058F2" w14:paraId="5BE7C022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E6216" w14:textId="117E5840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58FA8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ReFacto AF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4D334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moroktokog alfa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7746B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B.15.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9F088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ZAPOBIEGANIE KRWAWIENIOM U DZIECI Z HEMOFILIĄ A I B (ICD-10 D 66, D 67)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D6C11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 xml:space="preserve">Pierwotna i wtórna profilaktyka krwawień u dzieci chorych na hemofilię A </w:t>
            </w:r>
            <w:r w:rsidRPr="002D03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(Choroba rzadka)</w:t>
            </w:r>
          </w:p>
        </w:tc>
      </w:tr>
      <w:tr w:rsidR="002852FE" w:rsidRPr="005058F2" w14:paraId="3B2ED2C2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2D135" w14:textId="6C714ADA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0DDEF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Dupixent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EE114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dupilumab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DB280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B.124.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5CA9D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LECZENIE CHORYCH Z CIĘŻKĄ POSTACIĄ ATOPOWEGO ZAPALENIA SKÓRY (ICD-10: L20)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ADB60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Leczenie pacjentów z ciężką postacią atopowego zapalenia skóry w wieku powyżej 18. roku życia</w:t>
            </w:r>
          </w:p>
        </w:tc>
      </w:tr>
      <w:tr w:rsidR="002852FE" w:rsidRPr="005058F2" w14:paraId="5FE5DB30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83100" w14:textId="561CECDF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C7C47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Ilumetri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8A13C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pl-PL"/>
              </w:rPr>
              <w:t>tyldrakizumab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E54CA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B.47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782A2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LECZENIE UMIARKOWANEJ I CIĘŻKIEJ POSTACI ŁUSZCZYCY PLACKOWATEJ (ICD-10 L 40.0)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B2BA2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Pierwszy z grupy inhibitorów interleukiny dostępny dla pacjentów z umiarkowaną postacią choroby</w:t>
            </w:r>
          </w:p>
        </w:tc>
      </w:tr>
      <w:tr w:rsidR="002852FE" w:rsidRPr="005058F2" w14:paraId="6AE96CB4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6AB83" w14:textId="66CE5CCB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E89B8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Quinsair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63C79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</w:rPr>
              <w:t>lewofloksacyna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AC5A0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B.27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C5288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LECZENIE PRZEWLEKŁYCH ZAKAŻEŃ PŁUC U PACJENTÓW Z MUKOWISCYDOZĄ (ICD-10: E84)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A5524" w14:textId="77777777" w:rsidR="004C63DE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 xml:space="preserve">Nowy antybiotyk (lewofloksacyna) dostępny dla pacjentów z mukowiscydozą – III linia leczenia (nietolerancja lub brak poprawy lub stabilizacji klinicznej po stosowaniu kolistyny wziewnej lub tobramycyny wziewnej) </w:t>
            </w:r>
          </w:p>
          <w:p w14:paraId="4AB70937" w14:textId="1E55FDE7" w:rsidR="002852FE" w:rsidRPr="002D03A4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D03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(Choroba rzadka)</w:t>
            </w:r>
          </w:p>
        </w:tc>
      </w:tr>
    </w:tbl>
    <w:p w14:paraId="639BACD6" w14:textId="08211051" w:rsidR="002D03A4" w:rsidRDefault="002D03A4"/>
    <w:p w14:paraId="777BB68F" w14:textId="77777777" w:rsidR="002D03A4" w:rsidRDefault="002D03A4">
      <w:pPr>
        <w:suppressAutoHyphens w:val="0"/>
      </w:pPr>
      <w:r>
        <w:br w:type="page"/>
      </w:r>
    </w:p>
    <w:p w14:paraId="20D0DFA9" w14:textId="77777777" w:rsidR="002D03A4" w:rsidRDefault="002D03A4"/>
    <w:tbl>
      <w:tblPr>
        <w:tblW w:w="47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1421"/>
        <w:gridCol w:w="3622"/>
        <w:gridCol w:w="7579"/>
      </w:tblGrid>
      <w:tr w:rsidR="002852FE" w:rsidRPr="005058F2" w14:paraId="3D9328BA" w14:textId="77777777" w:rsidTr="00476A3C">
        <w:trPr>
          <w:cantSplit/>
          <w:trHeight w:val="20"/>
        </w:trPr>
        <w:tc>
          <w:tcPr>
            <w:tcW w:w="5000" w:type="pct"/>
            <w:gridSpan w:val="4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C1A8C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b/>
                <w:bCs/>
              </w:rPr>
              <w:t>Zmiany w programach lekowych i chemioterapii</w:t>
            </w:r>
          </w:p>
        </w:tc>
      </w:tr>
      <w:tr w:rsidR="002852FE" w:rsidRPr="005058F2" w14:paraId="67815224" w14:textId="77777777" w:rsidTr="00476A3C">
        <w:trPr>
          <w:cantSplit/>
          <w:trHeight w:val="20"/>
        </w:trPr>
        <w:tc>
          <w:tcPr>
            <w:tcW w:w="212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E466E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9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0C226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Numer programu lekowego lub numeru załącznika</w:t>
            </w:r>
          </w:p>
        </w:tc>
        <w:tc>
          <w:tcPr>
            <w:tcW w:w="1374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523FE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programu lekowego lub załącznika chemioterapii</w:t>
            </w:r>
          </w:p>
        </w:tc>
        <w:tc>
          <w:tcPr>
            <w:tcW w:w="2875" w:type="pct"/>
            <w:shd w:val="clear" w:color="auto" w:fill="A7E8FF"/>
            <w:vAlign w:val="center"/>
          </w:tcPr>
          <w:p w14:paraId="4392883D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Krótki opis zmian dokonanych w obrębie programu lekowego / załącznika chemioterapii</w:t>
            </w:r>
          </w:p>
        </w:tc>
      </w:tr>
      <w:tr w:rsidR="002852FE" w:rsidRPr="005058F2" w14:paraId="12CD8AC9" w14:textId="77777777" w:rsidTr="00476A3C">
        <w:trPr>
          <w:cantSplit/>
          <w:trHeight w:val="1849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921F1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204A92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805DA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B.9</w:t>
            </w: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533DF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LECZENIE CHORYCH NA RAKA PIERSI (ICD-10 C50)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1483A3EB" w14:textId="77777777" w:rsidR="002852FE" w:rsidRPr="00204A92" w:rsidRDefault="002852FE" w:rsidP="002852FE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Usunięcie zapisu przy kryteriach kwalifikacji do przerzutowego HER2-dodatniego raka piersi odnośnie nieobecności przerzutów do OUN,</w:t>
            </w:r>
          </w:p>
          <w:p w14:paraId="193420CD" w14:textId="77777777" w:rsidR="002852FE" w:rsidRPr="00204A92" w:rsidRDefault="002852FE" w:rsidP="002852FE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Usunięcie zapisu przy kryteriach kwalifikacji do wczesnego HER2-dodatniego raka piersi odnośnie obecności zmian chorobowych umożliwiających ocenę odpowiedzi według systemu RECIST 1.1</w:t>
            </w:r>
          </w:p>
          <w:p w14:paraId="7FDB1550" w14:textId="77777777" w:rsidR="002852FE" w:rsidRPr="000C1192" w:rsidRDefault="002852FE" w:rsidP="002852FE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Doprecyzowanie zapisu odnośnie leczenia przerzutowego HER2-dodatniego raka piersi w zakresie trastuzumabu emtanzyna i lapatynibu z kapecytabiną</w:t>
            </w:r>
          </w:p>
        </w:tc>
      </w:tr>
      <w:tr w:rsidR="00F44F91" w:rsidRPr="005058F2" w14:paraId="7161827F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CEC2" w14:textId="1C19EB8D" w:rsidR="00F44F91" w:rsidRPr="00204A92" w:rsidRDefault="00FC4FA1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2C396" w14:textId="01F0A45D" w:rsidR="00F44F91" w:rsidRPr="00FB237C" w:rsidRDefault="00F44F91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B.15.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64CE6" w14:textId="3B520672" w:rsidR="00F44F91" w:rsidRPr="00FB237C" w:rsidRDefault="00F44F91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4F91">
              <w:rPr>
                <w:rFonts w:asciiTheme="majorHAnsi" w:hAnsiTheme="majorHAnsi" w:cstheme="majorHAnsi"/>
                <w:sz w:val="20"/>
                <w:szCs w:val="20"/>
              </w:rPr>
              <w:t>ZAPOBIEGANIE KRWAWIENIOM U DZIECI Z HEMOFILIĄ A I B (ICD-10 D 66, D 67)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6CA0B82B" w14:textId="77777777" w:rsidR="00F44F91" w:rsidRDefault="00F44F91" w:rsidP="00F44F91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4F91">
              <w:rPr>
                <w:rFonts w:asciiTheme="majorHAnsi" w:hAnsiTheme="majorHAnsi" w:cstheme="majorHAnsi"/>
                <w:sz w:val="20"/>
                <w:szCs w:val="20"/>
              </w:rPr>
              <w:t>ujednolicenie programu lekowego dotycząc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ego</w:t>
            </w:r>
            <w:r w:rsidRPr="00F44F91">
              <w:rPr>
                <w:rFonts w:asciiTheme="majorHAnsi" w:hAnsiTheme="majorHAnsi" w:cstheme="majorHAnsi"/>
                <w:sz w:val="20"/>
                <w:szCs w:val="20"/>
              </w:rPr>
              <w:t xml:space="preserve"> profilaktyki hemofilii u dzieci, który powstał poprzez połączenie programów lekowych B.15 i B.94. </w:t>
            </w:r>
          </w:p>
          <w:p w14:paraId="3C10F3B0" w14:textId="0BEBADEC" w:rsidR="00F44F91" w:rsidRPr="00F44F91" w:rsidRDefault="00F44F91" w:rsidP="00F44F91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Pr="00F44F91">
              <w:rPr>
                <w:rFonts w:asciiTheme="majorHAnsi" w:hAnsiTheme="majorHAnsi" w:cstheme="majorHAnsi"/>
                <w:sz w:val="20"/>
                <w:szCs w:val="20"/>
              </w:rPr>
              <w:t xml:space="preserve"> wyniku połączenia tych dwóch programów czynniki rekombinowane o przedłużonym działaniu uzyskały możliwość stosowania ich w przypadku populacji dzieci objętych leczeniem w ramach profilaktyki pierwotnej i wtórnej krwawień, tzn. u dzieci, u których do tej pory stosowane były ludzkie czynniki krzepnięcia, a nie tylko tak jak to było przed styczniem 2021 r., gdzie miały tylko możliwość zastosowania u dzieci nowozdiagnozowanych wcześniej nie leczonych czynnikami osoczopochodnymi</w:t>
            </w:r>
          </w:p>
        </w:tc>
      </w:tr>
      <w:tr w:rsidR="00F44F91" w:rsidRPr="005058F2" w14:paraId="598EE35D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378CC" w14:textId="03CDAB30" w:rsidR="00F44F91" w:rsidRPr="00204A92" w:rsidRDefault="00FC4FA1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E1A21" w14:textId="7227ACC9" w:rsidR="00F44F91" w:rsidRPr="00FB237C" w:rsidRDefault="00F44F91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44F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B.33.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D2CAB" w14:textId="0E418191" w:rsidR="00F44F91" w:rsidRPr="00FB237C" w:rsidRDefault="00F44F91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4F91">
              <w:rPr>
                <w:rFonts w:asciiTheme="majorHAnsi" w:hAnsiTheme="majorHAnsi" w:cstheme="majorHAnsi"/>
                <w:sz w:val="20"/>
                <w:szCs w:val="20"/>
              </w:rPr>
              <w:t>LECZENIE AKTYWNEJ POSTACI REUMATOIDALNEGO ZAPALENIA STAWÓW I MŁODZIEŃCZEGO IDIOPATYCZNEGO ZAPALENIA STAWÓW (ICD-10: M05, M06, M08)</w:t>
            </w:r>
          </w:p>
        </w:tc>
        <w:tc>
          <w:tcPr>
            <w:tcW w:w="2875" w:type="pct"/>
            <w:vMerge w:val="restart"/>
            <w:shd w:val="clear" w:color="auto" w:fill="auto"/>
            <w:vAlign w:val="center"/>
          </w:tcPr>
          <w:p w14:paraId="48F77D4E" w14:textId="371428BA" w:rsidR="00F44F91" w:rsidRPr="00F44F91" w:rsidRDefault="00F44F91" w:rsidP="00F44F91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jc w:val="center"/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F44F91">
              <w:rPr>
                <w:rFonts w:asciiTheme="majorHAnsi" w:hAnsiTheme="majorHAnsi" w:cstheme="majorHAnsi"/>
                <w:sz w:val="20"/>
                <w:szCs w:val="20"/>
              </w:rPr>
              <w:t xml:space="preserve">ajważniejsze zmiany to zniesienie ograniczeń czasu leczenia i uzależnienie czasu leczenia od efektu terapii i decyzji lekarza i pacjenta. Zmiany ujednoliciły niespójne zapisy, jak również zmniejszyły ciężar administracyjny dla lekarzy prowadzących </w:t>
            </w:r>
            <w:r w:rsidRPr="00F44F9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terapię. Zapisy powyższych programów zostały dostosowane do rekomendacji i aktualnej wiedzy medycznej.</w:t>
            </w:r>
          </w:p>
        </w:tc>
      </w:tr>
      <w:tr w:rsidR="00F44F91" w:rsidRPr="005058F2" w14:paraId="22274D0F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A9CE1" w14:textId="72B31B85" w:rsidR="00F44F91" w:rsidRPr="00204A92" w:rsidRDefault="00FC4FA1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4.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13CAD" w14:textId="2B8FAF95" w:rsidR="00F44F91" w:rsidRPr="00FB237C" w:rsidRDefault="00F44F91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44F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B.35.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1A9FD" w14:textId="59F5461B" w:rsidR="00F44F91" w:rsidRPr="00FB237C" w:rsidRDefault="00F44F91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4F91">
              <w:rPr>
                <w:rFonts w:asciiTheme="majorHAnsi" w:hAnsiTheme="majorHAnsi" w:cstheme="majorHAnsi"/>
                <w:sz w:val="20"/>
                <w:szCs w:val="20"/>
              </w:rPr>
              <w:t>LECZENIE AKTYWNEJ POSTACI ŁUSZCZYCOWEGO ZAPALENIA STAWÓW (ŁZS) (ICD-10 L 40.5, M 07.1, M 07.2, M 07.3)</w:t>
            </w:r>
          </w:p>
        </w:tc>
        <w:tc>
          <w:tcPr>
            <w:tcW w:w="2875" w:type="pct"/>
            <w:vMerge/>
            <w:shd w:val="clear" w:color="auto" w:fill="auto"/>
            <w:vAlign w:val="center"/>
          </w:tcPr>
          <w:p w14:paraId="58933363" w14:textId="77777777" w:rsidR="00F44F91" w:rsidRPr="00FB237C" w:rsidRDefault="00F44F91" w:rsidP="002852FE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44F91" w:rsidRPr="005058F2" w14:paraId="7992B052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1A4ED" w14:textId="4798AD76" w:rsidR="00F44F91" w:rsidRPr="00204A92" w:rsidRDefault="00FC4FA1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11BC0" w14:textId="1AF3D3D5" w:rsidR="00F44F91" w:rsidRPr="00FB237C" w:rsidRDefault="00F44F91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44F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B.36.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4DC6" w14:textId="0886AEE7" w:rsidR="00F44F91" w:rsidRPr="00FB237C" w:rsidRDefault="00F44F91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4F91">
              <w:rPr>
                <w:rFonts w:asciiTheme="majorHAnsi" w:hAnsiTheme="majorHAnsi" w:cstheme="majorHAnsi"/>
                <w:sz w:val="20"/>
                <w:szCs w:val="20"/>
              </w:rPr>
              <w:t>LECZENIE AKTYWNEJ POSTACI ZESZTYWNIAJĄCEGO ZAPALENIA STAWÓW KRĘGOSŁUPA (ZZSK) (ICD-10 M 45)</w:t>
            </w:r>
          </w:p>
        </w:tc>
        <w:tc>
          <w:tcPr>
            <w:tcW w:w="2875" w:type="pct"/>
            <w:vMerge/>
            <w:shd w:val="clear" w:color="auto" w:fill="auto"/>
            <w:vAlign w:val="center"/>
          </w:tcPr>
          <w:p w14:paraId="646E612C" w14:textId="77777777" w:rsidR="00F44F91" w:rsidRPr="00FB237C" w:rsidRDefault="00F44F91" w:rsidP="002852FE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44F91" w:rsidRPr="005058F2" w14:paraId="7D6575FB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77167" w14:textId="7E029A31" w:rsidR="00F44F91" w:rsidRPr="00204A92" w:rsidRDefault="00FC4FA1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648A0" w14:textId="6F7AA4D7" w:rsidR="00F44F91" w:rsidRPr="00FB237C" w:rsidRDefault="00F44F91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44F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B.82.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CCB30" w14:textId="5244D2A9" w:rsidR="00F44F91" w:rsidRPr="00FB237C" w:rsidRDefault="00F44F91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4F91">
              <w:rPr>
                <w:rFonts w:asciiTheme="majorHAnsi" w:hAnsiTheme="majorHAnsi" w:cstheme="majorHAnsi"/>
                <w:sz w:val="20"/>
                <w:szCs w:val="20"/>
              </w:rPr>
              <w:t>LECZENIE PACJENTÓW Z AKTYWNĄ POSTACIĄ SPONDYLOARTROPATII (SpA) BEZ ZMIAN RADIOGRAFICZNYCH CHARAKTERYSTYCZNYCH DLA ZZSK (ICD-10 M46.8)</w:t>
            </w:r>
          </w:p>
        </w:tc>
        <w:tc>
          <w:tcPr>
            <w:tcW w:w="2875" w:type="pct"/>
            <w:vMerge/>
            <w:shd w:val="clear" w:color="auto" w:fill="auto"/>
            <w:vAlign w:val="center"/>
          </w:tcPr>
          <w:p w14:paraId="387BB898" w14:textId="77777777" w:rsidR="00F44F91" w:rsidRPr="00FB237C" w:rsidRDefault="00F44F91" w:rsidP="002852FE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C4FA1" w:rsidRPr="005058F2" w14:paraId="406F23E3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45E62" w14:textId="36E209D6" w:rsidR="00FC4FA1" w:rsidRPr="00204A92" w:rsidRDefault="00FC4FA1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5BC67" w14:textId="360835D0" w:rsidR="00FC4FA1" w:rsidRPr="00FB237C" w:rsidRDefault="00FC4FA1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B.47.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99D5A" w14:textId="391F3D28" w:rsidR="00FC4FA1" w:rsidRPr="00FB237C" w:rsidRDefault="00FC4FA1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C4FA1">
              <w:rPr>
                <w:rFonts w:asciiTheme="majorHAnsi" w:hAnsiTheme="majorHAnsi" w:cstheme="majorHAnsi"/>
                <w:sz w:val="20"/>
                <w:szCs w:val="20"/>
              </w:rPr>
              <w:t>LECZENIE UMIARKOWANEJ I CIĘŻKIEJ POSTACI ŁUSZCZYCY PLACKOWATEJ (ICD-10: L40.0)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209648AF" w14:textId="46280A8B" w:rsidR="00FC4FA1" w:rsidRPr="00FB237C" w:rsidRDefault="00FC4FA1" w:rsidP="002852FE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C4FA1">
              <w:rPr>
                <w:rFonts w:asciiTheme="majorHAnsi" w:hAnsiTheme="majorHAnsi" w:cstheme="majorHAnsi"/>
                <w:sz w:val="20"/>
                <w:szCs w:val="20"/>
              </w:rPr>
              <w:t>Najważniejsze zmiany to zniesienie ograniczenia czasu leczenia części aktualnie refundowanych substancji i zmiany zmniejszające ciężar administracyjny dla lekarzy prowadzących terapię oraz zmniejszające koszt programu.</w:t>
            </w:r>
          </w:p>
        </w:tc>
      </w:tr>
      <w:tr w:rsidR="002852FE" w:rsidRPr="005058F2" w14:paraId="777B216E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20A12" w14:textId="260BF546" w:rsidR="002852FE" w:rsidRPr="00204A92" w:rsidRDefault="00FC4FA1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95890" w14:textId="77777777" w:rsidR="002852FE" w:rsidRPr="00204A92" w:rsidRDefault="002852FE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B23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B.50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76841" w14:textId="5F072962" w:rsidR="002852FE" w:rsidRPr="00FB237C" w:rsidRDefault="00F44F91" w:rsidP="002852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B237C">
              <w:rPr>
                <w:rFonts w:asciiTheme="majorHAnsi" w:hAnsiTheme="majorHAnsi" w:cstheme="majorHAnsi"/>
                <w:sz w:val="20"/>
                <w:szCs w:val="20"/>
              </w:rPr>
              <w:t>LECZENIE CHORYCH NA RAKA JAJNIKA, RAKA JAJOWODU LUB RAKA OTRZEWNEJ (ICD-10 C56, C57, C48)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47573438" w14:textId="3FF59947" w:rsidR="002852FE" w:rsidRPr="00FB237C" w:rsidRDefault="00FC4FA1" w:rsidP="002852FE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2852FE" w:rsidRPr="00FB237C">
              <w:rPr>
                <w:rFonts w:asciiTheme="majorHAnsi" w:hAnsiTheme="majorHAnsi" w:cstheme="majorHAnsi"/>
                <w:sz w:val="20"/>
                <w:szCs w:val="20"/>
              </w:rPr>
              <w:t>ołączenie dotychczasowego programu lekowego B.50 – Leczenie zaawansowanego raka jajnika, jajowodu lub pierwotnego raka otrzewnej (ICD-10 C56, C57, C48), programu lekowego B.80 – Leczenie podtrzymujące olaparybem chorych na nawrotowego platynowrażliwego zaawansowanego raka jajnika, raka jajowodu lub pierwotnego raka otrzewnej (ICD-10 C56, C57, C48) oraz nowego wskazania leczenia olaparybem pacjentek z noworozpoznanym rakiem jajnika</w:t>
            </w:r>
          </w:p>
        </w:tc>
      </w:tr>
      <w:tr w:rsidR="00F44F91" w:rsidRPr="005058F2" w14:paraId="06710CCD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EABFC" w14:textId="648FC577" w:rsidR="00F44F91" w:rsidRPr="00204A92" w:rsidRDefault="00FC4FA1" w:rsidP="00F44F9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9.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8A2FD" w14:textId="60C37938" w:rsidR="00F44F91" w:rsidRPr="00204A92" w:rsidRDefault="00F44F91" w:rsidP="00F44F9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B.6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17F7A" w14:textId="04A29A14" w:rsidR="00F44F91" w:rsidRPr="00F44F91" w:rsidRDefault="00F44F91" w:rsidP="00F44F9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4F91">
              <w:rPr>
                <w:rFonts w:asciiTheme="majorHAnsi" w:hAnsiTheme="majorHAnsi" w:cstheme="majorHAnsi"/>
                <w:sz w:val="20"/>
                <w:szCs w:val="20"/>
              </w:rPr>
              <w:t>LECZENIE PIERWOTNYCH NIEDOBORÓW ODPORNOŚCI (PNO) U PACJENTÓW DOROSŁYCH (ICD-10: D 80 W TYM D 80.0, D 80.1, D 80.3, D 80.4, D 80.5, D 80.6, D 80.8, D 80.9; D81.9; D 82 W TYM: D 82.0, D 82.1, D 82.3, D 82.8, D 82.9; D 83 W TYM: D 83.0, D 83.1, D 83.8, D 83.9; D 89.9)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064454AC" w14:textId="1EF76EAF" w:rsidR="00F44F91" w:rsidRPr="00FB237C" w:rsidRDefault="00FC4FA1" w:rsidP="00F44F91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F44F91" w:rsidRPr="00F44F91">
              <w:rPr>
                <w:rFonts w:asciiTheme="majorHAnsi" w:hAnsiTheme="majorHAnsi" w:cstheme="majorHAnsi"/>
                <w:sz w:val="20"/>
                <w:szCs w:val="20"/>
              </w:rPr>
              <w:t>ołączenie programów lekowych B.62 i B.78 w jeden program oraz ujednolicenie dawkowania podskórnej immunoglobuliny w podaniu z rekombinowaną hialuronidazą ludzką (fSCIg) analogicznie do dawkowania dożylnych immunoglobulin (IVIg) i podskórnych immunoglobulin (SCIg).</w:t>
            </w:r>
          </w:p>
        </w:tc>
      </w:tr>
      <w:tr w:rsidR="00F44F91" w:rsidRPr="005058F2" w14:paraId="41A8246D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3019E" w14:textId="522E353C" w:rsidR="00F44F91" w:rsidRPr="00204A92" w:rsidRDefault="00FC4FA1" w:rsidP="00F44F9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211DF" w14:textId="5B3A3241" w:rsidR="00F44F91" w:rsidRPr="00204A92" w:rsidRDefault="00F44F91" w:rsidP="00F44F9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B.65.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45B12" w14:textId="62A6CDD0" w:rsidR="00F44F91" w:rsidRPr="00204A92" w:rsidRDefault="00F44F91" w:rsidP="00F44F9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1192">
              <w:rPr>
                <w:rFonts w:asciiTheme="majorHAnsi" w:hAnsiTheme="majorHAnsi" w:cstheme="majorHAnsi"/>
                <w:sz w:val="20"/>
                <w:szCs w:val="20"/>
              </w:rPr>
              <w:t>LECZENIE CHORYCH NA OSTRĄ BIAŁACZKĘ LIMFOBLASTYCZNĄ (ICD-10 C91.0)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148354EA" w14:textId="56DF7854" w:rsidR="00F44F91" w:rsidRPr="004C63DE" w:rsidRDefault="00F44F91" w:rsidP="004C63DE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B237C">
              <w:rPr>
                <w:rFonts w:asciiTheme="majorHAnsi" w:hAnsiTheme="majorHAnsi" w:cstheme="majorHAnsi"/>
                <w:sz w:val="20"/>
                <w:szCs w:val="20"/>
              </w:rPr>
              <w:t>W części VI doprecyzowanie kryteriów kwalifikacji do leczenia blinatumomabem ostrej białaczki limfoblastycznej z komórek prekursorowych limfocytów B bez chromosomu Philadelphia u dzieci.</w:t>
            </w:r>
          </w:p>
          <w:p w14:paraId="1F66B12F" w14:textId="0D5D5453" w:rsidR="00F44F91" w:rsidRPr="00204A92" w:rsidRDefault="00F44F91" w:rsidP="00F44F91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B237C">
              <w:rPr>
                <w:rFonts w:asciiTheme="majorHAnsi" w:hAnsiTheme="majorHAnsi" w:cstheme="majorHAnsi"/>
                <w:sz w:val="20"/>
                <w:szCs w:val="20"/>
              </w:rPr>
              <w:t>W części III i IV zmiana warunków monitorowania leczenia blinatumumabem</w:t>
            </w:r>
          </w:p>
        </w:tc>
      </w:tr>
      <w:tr w:rsidR="00FC4FA1" w:rsidRPr="005058F2" w14:paraId="720517B7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7E2F7" w14:textId="6221DFE7" w:rsidR="00FC4FA1" w:rsidRPr="00204A92" w:rsidRDefault="00FC4FA1" w:rsidP="00F44F9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AF3FA" w14:textId="5AE6E126" w:rsidR="00FC4FA1" w:rsidRPr="00204A92" w:rsidRDefault="00FC4FA1" w:rsidP="00F44F9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B.99.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E73EB" w14:textId="34966FFF" w:rsidR="00FC4FA1" w:rsidRPr="00204A92" w:rsidRDefault="00FC4FA1" w:rsidP="00F44F9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C4FA1">
              <w:rPr>
                <w:rFonts w:asciiTheme="majorHAnsi" w:hAnsiTheme="majorHAnsi" w:cstheme="majorHAnsi"/>
                <w:sz w:val="20"/>
                <w:szCs w:val="20"/>
              </w:rPr>
              <w:t>LECZENIE AKROMEGALII (ICD-10 E22.0)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16E1DDC2" w14:textId="685AD3F1" w:rsidR="00FC4FA1" w:rsidRPr="00204A92" w:rsidRDefault="00FC4FA1" w:rsidP="00F44F91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C4FA1">
              <w:rPr>
                <w:rFonts w:asciiTheme="majorHAnsi" w:hAnsiTheme="majorHAnsi" w:cstheme="majorHAnsi"/>
                <w:sz w:val="20"/>
                <w:szCs w:val="20"/>
              </w:rPr>
              <w:t>Zmiany ułatwienie procedowania w celu bardziej logicznego postępowania z chorym, czyli dookreśleniu dawkowania w zakresie możliwości zwiększenia lub zmniejszenia dawkowania w okresach nie krótszych niż 12 tygodni w leczeniu pasyreotydem oraz doprecyzowanie 1 badania w leczeniu pasyreotydem i pegwisomatem w zakresie oceny pola widzenia w przypadku makrogruczolaka przysadki.</w:t>
            </w:r>
          </w:p>
        </w:tc>
      </w:tr>
      <w:tr w:rsidR="00F44F91" w:rsidRPr="005058F2" w14:paraId="3E688174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E780A" w14:textId="45A74065" w:rsidR="00F44F91" w:rsidRPr="00204A92" w:rsidRDefault="00FC4FA1" w:rsidP="00F44F9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FF3DF" w14:textId="77777777" w:rsidR="00F44F91" w:rsidRPr="00204A92" w:rsidRDefault="00F44F91" w:rsidP="00F44F9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B.101.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B7C7E" w14:textId="086720EB" w:rsidR="00F44F91" w:rsidRPr="00000551" w:rsidRDefault="00F44F91" w:rsidP="00F44F9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>LECZENIE INHIBITORAMI PCSK-9 PACJENTÓW Z ZABURZENIAMI LIPIDOWYMI (ICD-10 E78.01, I21, I22, I25)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39B3B661" w14:textId="77777777" w:rsidR="00F44F91" w:rsidRPr="00000551" w:rsidRDefault="00F44F91" w:rsidP="00F44F91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04A92">
              <w:rPr>
                <w:rFonts w:asciiTheme="majorHAnsi" w:hAnsiTheme="majorHAnsi" w:cstheme="majorHAnsi"/>
                <w:sz w:val="20"/>
                <w:szCs w:val="20"/>
              </w:rPr>
              <w:t xml:space="preserve">W części dotyczącej hipercholesterolemii rodzinnej zmiana kryteriów kwalifikacji polegająca na obniżeniu progu stężenia cholesterolu LDL do 100 mg/dl oraz skrócenie wymaganego czasu leczenia statyną </w:t>
            </w:r>
            <w:r w:rsidRPr="00204A92">
              <w:rPr>
                <w:rFonts w:asciiTheme="majorHAnsi" w:hAnsiTheme="majorHAnsi" w:cstheme="majorHAnsi"/>
                <w:sz w:val="20"/>
                <w:szCs w:val="20"/>
              </w:rPr>
              <w:br/>
              <w:t>do 3 miesięcy (w tym 1 miesiąc łącznie z ezetymibem)</w:t>
            </w:r>
          </w:p>
        </w:tc>
      </w:tr>
      <w:tr w:rsidR="00F44F91" w:rsidRPr="005058F2" w14:paraId="3B64DB4C" w14:textId="77777777" w:rsidTr="00476A3C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14EFE" w14:textId="47B7E46E" w:rsidR="00F44F91" w:rsidRPr="00204A92" w:rsidRDefault="00FC4FA1" w:rsidP="00F44F9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039D2" w14:textId="77777777" w:rsidR="00F44F91" w:rsidRDefault="00F44F91" w:rsidP="00F44F9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C.51.</w:t>
            </w:r>
          </w:p>
          <w:p w14:paraId="5BE6F512" w14:textId="77777777" w:rsidR="00F44F91" w:rsidRDefault="00F44F91" w:rsidP="00F44F9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C.80.</w:t>
            </w:r>
          </w:p>
          <w:p w14:paraId="46548DD4" w14:textId="77777777" w:rsidR="00F44F91" w:rsidRPr="00204A92" w:rsidRDefault="00F44F91" w:rsidP="00F44F9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C.81.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1D323" w14:textId="77777777" w:rsidR="00F44F91" w:rsidRPr="000C1192" w:rsidRDefault="00F44F91" w:rsidP="00F44F9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1192">
              <w:rPr>
                <w:rFonts w:asciiTheme="majorHAnsi" w:hAnsiTheme="majorHAnsi" w:cstheme="majorHAnsi"/>
                <w:sz w:val="20"/>
                <w:szCs w:val="20"/>
              </w:rPr>
              <w:t>RITUXIMABUM</w:t>
            </w:r>
          </w:p>
          <w:p w14:paraId="709DA660" w14:textId="77777777" w:rsidR="00F44F91" w:rsidRPr="000C1192" w:rsidRDefault="00F44F91" w:rsidP="00F44F9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1192">
              <w:rPr>
                <w:rFonts w:asciiTheme="majorHAnsi" w:hAnsiTheme="majorHAnsi" w:cstheme="majorHAnsi"/>
                <w:sz w:val="20"/>
                <w:szCs w:val="20"/>
              </w:rPr>
              <w:t>GEFITYNIBUM</w:t>
            </w:r>
          </w:p>
          <w:p w14:paraId="6B04A7B5" w14:textId="77777777" w:rsidR="00F44F91" w:rsidRPr="000C1192" w:rsidRDefault="00F44F91" w:rsidP="00F44F9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1192">
              <w:rPr>
                <w:rFonts w:asciiTheme="majorHAnsi" w:hAnsiTheme="majorHAnsi" w:cstheme="majorHAnsi"/>
                <w:sz w:val="20"/>
                <w:szCs w:val="20"/>
              </w:rPr>
              <w:t>ERLOTINIBUM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2CA2CE41" w14:textId="77777777" w:rsidR="00F44F91" w:rsidRDefault="00F44F91" w:rsidP="00F44F91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B237C">
              <w:rPr>
                <w:rFonts w:asciiTheme="majorHAnsi" w:hAnsiTheme="majorHAnsi" w:cstheme="majorHAnsi"/>
                <w:sz w:val="20"/>
                <w:szCs w:val="20"/>
              </w:rPr>
              <w:t xml:space="preserve">Zmiana kategorii dostępności dla rytuksymabu (z programu lekowego B.12 do katalogu chemioterapii C.51). </w:t>
            </w:r>
          </w:p>
          <w:p w14:paraId="7CCF650F" w14:textId="77777777" w:rsidR="00F44F91" w:rsidRPr="00FB237C" w:rsidRDefault="00F44F91" w:rsidP="00F44F91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B237C">
              <w:rPr>
                <w:rFonts w:asciiTheme="majorHAnsi" w:hAnsiTheme="majorHAnsi" w:cstheme="majorHAnsi"/>
                <w:sz w:val="20"/>
                <w:szCs w:val="20"/>
              </w:rPr>
              <w:t>Także erlotynib i gefytynib zostały przeniesione do katalogu chemioterapii</w:t>
            </w:r>
          </w:p>
        </w:tc>
      </w:tr>
    </w:tbl>
    <w:p w14:paraId="273DCD59" w14:textId="77777777" w:rsidR="00655A81" w:rsidRDefault="00655A81" w:rsidP="00655A81">
      <w:pPr>
        <w:rPr>
          <w:rFonts w:ascii="Arial Rounded MT Bold" w:hAnsi="Arial Rounded MT Bold"/>
          <w:b/>
          <w:bCs/>
          <w:color w:val="00B0F0"/>
        </w:rPr>
      </w:pPr>
    </w:p>
    <w:p w14:paraId="08FBA7E7" w14:textId="77777777" w:rsidR="00655A81" w:rsidRDefault="00655A81" w:rsidP="00655A81">
      <w:pPr>
        <w:suppressAutoHyphens w:val="0"/>
        <w:rPr>
          <w:rFonts w:ascii="Abadi" w:hAnsi="Abadi"/>
          <w:b/>
          <w:bCs/>
          <w:color w:val="00B0F0"/>
          <w:sz w:val="28"/>
          <w:szCs w:val="28"/>
        </w:rPr>
      </w:pPr>
      <w:r>
        <w:rPr>
          <w:rFonts w:ascii="Abadi" w:hAnsi="Abadi"/>
          <w:b/>
          <w:bCs/>
          <w:color w:val="00B0F0"/>
          <w:sz w:val="28"/>
          <w:szCs w:val="28"/>
        </w:rPr>
        <w:br w:type="page"/>
      </w:r>
    </w:p>
    <w:p w14:paraId="3964F0DB" w14:textId="77777777" w:rsidR="00655A81" w:rsidRDefault="00655A81" w:rsidP="00655A81">
      <w:pPr>
        <w:jc w:val="center"/>
        <w:rPr>
          <w:rFonts w:ascii="Abadi" w:hAnsi="Abadi"/>
          <w:b/>
          <w:bCs/>
          <w:color w:val="00B0F0"/>
          <w:sz w:val="28"/>
          <w:szCs w:val="28"/>
        </w:rPr>
      </w:pPr>
      <w:r>
        <w:rPr>
          <w:rFonts w:ascii="Abadi" w:hAnsi="Abadi"/>
          <w:b/>
          <w:bCs/>
          <w:color w:val="00B0F0"/>
          <w:sz w:val="28"/>
          <w:szCs w:val="28"/>
        </w:rPr>
        <w:lastRenderedPageBreak/>
        <w:t>NOWE WSKAZANIA ORAZ ZMIANY W REFUNDACJI APTECZNEJ</w:t>
      </w:r>
    </w:p>
    <w:tbl>
      <w:tblPr>
        <w:tblW w:w="5000" w:type="pct"/>
        <w:tblCellMar>
          <w:top w:w="57" w:type="dxa"/>
          <w:left w:w="10" w:type="dxa"/>
          <w:bottom w:w="57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2412"/>
        <w:gridCol w:w="11"/>
        <w:gridCol w:w="1830"/>
        <w:gridCol w:w="4689"/>
        <w:gridCol w:w="4356"/>
      </w:tblGrid>
      <w:tr w:rsidR="00655A81" w:rsidRPr="005058F2" w14:paraId="66749603" w14:textId="77777777" w:rsidTr="000C028C">
        <w:trPr>
          <w:trHeight w:val="549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D447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Apteka</w:t>
            </w:r>
          </w:p>
        </w:tc>
      </w:tr>
      <w:tr w:rsidR="00655A81" w:rsidRPr="005058F2" w14:paraId="57B45133" w14:textId="77777777" w:rsidTr="000C028C">
        <w:trPr>
          <w:trHeight w:val="328"/>
        </w:trPr>
        <w:tc>
          <w:tcPr>
            <w:tcW w:w="5000" w:type="pct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D26D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Nowe wskazania refundacyjne</w:t>
            </w:r>
          </w:p>
        </w:tc>
      </w:tr>
      <w:tr w:rsidR="00655A81" w:rsidRPr="005058F2" w14:paraId="07CC90FC" w14:textId="77777777" w:rsidTr="000C028C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BF4CF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B7686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leku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, środka spożywczego specjalnego przeznaczenia lub wyrobu </w:t>
            </w:r>
            <w:r w:rsidRPr="00051701">
              <w:rPr>
                <w:rFonts w:asciiTheme="majorHAnsi" w:hAnsiTheme="majorHAnsi" w:cstheme="majorHAnsi"/>
                <w:b/>
                <w:bCs/>
              </w:rPr>
              <w:t>medycznego</w:t>
            </w:r>
          </w:p>
        </w:tc>
        <w:tc>
          <w:tcPr>
            <w:tcW w:w="658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EDDE6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16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3BDFC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Wskazanie refundacyjne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C4916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Doprecyzowanie wskazania</w:t>
            </w:r>
          </w:p>
        </w:tc>
      </w:tr>
      <w:tr w:rsidR="00655A81" w:rsidRPr="005058F2" w14:paraId="574ED1C2" w14:textId="77777777" w:rsidTr="000C028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2CBAB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58F2">
              <w:rPr>
                <w:rFonts w:asciiTheme="majorHAnsi" w:hAnsiTheme="majorHAnsi" w:cstheme="majorHAnsi"/>
                <w:color w:val="000000"/>
              </w:rPr>
              <w:t>1.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C3AD6" w14:textId="77777777" w:rsidR="00655A81" w:rsidRPr="00E802B3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802B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Rizmoic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9E3CE" w14:textId="77777777" w:rsidR="00655A81" w:rsidRPr="00E802B3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</w:t>
            </w:r>
            <w:r w:rsidRPr="00E802B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aldemedyna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53B4A" w14:textId="77777777" w:rsidR="00655A81" w:rsidRPr="00E802B3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802B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zaparć indukowanych opioidami u dorosłych pacjentów z chorobą nowotworową i uprzednio leczonych bezskutecznie środkami przeczyszczającymi, u których nie jest stosowany inny antagonista opioidowy zarówno osobno jak i w połączeniu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05D7A" w14:textId="77777777" w:rsidR="00655A81" w:rsidRPr="00E802B3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655A81" w:rsidRPr="005058F2" w14:paraId="204E2153" w14:textId="77777777" w:rsidTr="000C028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1E16A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58F2">
              <w:rPr>
                <w:rFonts w:asciiTheme="majorHAnsi" w:hAnsiTheme="majorHAnsi" w:cstheme="majorHAnsi"/>
                <w:color w:val="000000"/>
              </w:rPr>
              <w:t>2.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15322" w14:textId="77777777" w:rsidR="00655A81" w:rsidRPr="00E802B3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802B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Silodosin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F1EF7" w14:textId="77777777" w:rsidR="00655A81" w:rsidRPr="00E802B3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</w:t>
            </w:r>
            <w:r w:rsidRPr="00E802B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ilodosyna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39483" w14:textId="77777777" w:rsidR="00655A81" w:rsidRPr="00E802B3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802B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objawów przedmiotowych i podmiotowych łagodnego rozrostu gruczołu krokowego u dorosłych mężczyzn.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55AED" w14:textId="77777777" w:rsidR="00655A81" w:rsidRPr="00E802B3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655A81" w:rsidRPr="005058F2" w14:paraId="21E29DD5" w14:textId="77777777" w:rsidTr="000C028C">
        <w:tc>
          <w:tcPr>
            <w:tcW w:w="24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11DEE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58F2">
              <w:rPr>
                <w:rFonts w:asciiTheme="majorHAnsi" w:hAnsiTheme="majorHAnsi" w:cstheme="majorHAnsi"/>
                <w:color w:val="000000"/>
              </w:rPr>
              <w:t>3.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616D1" w14:textId="77777777" w:rsidR="00655A81" w:rsidRPr="00E802B3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802B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Taflotan Multi</w:t>
            </w:r>
          </w:p>
        </w:tc>
        <w:tc>
          <w:tcPr>
            <w:tcW w:w="6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6245F" w14:textId="77777777" w:rsidR="00655A81" w:rsidRPr="00E802B3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</w:t>
            </w:r>
            <w:r w:rsidRPr="00E802B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afluprost</w:t>
            </w:r>
          </w:p>
        </w:tc>
        <w:tc>
          <w:tcPr>
            <w:tcW w:w="16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E1F2F" w14:textId="77777777" w:rsidR="00655A81" w:rsidRPr="00E802B3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802B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 wszystkich zarejestrowanych wskazaniach na dzień wydania decyzji</w:t>
            </w:r>
          </w:p>
        </w:tc>
        <w:tc>
          <w:tcPr>
            <w:tcW w:w="1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F43A3" w14:textId="77777777" w:rsidR="00655A81" w:rsidRPr="00E802B3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Jaskra oraz nadciśnienie oczne</w:t>
            </w:r>
          </w:p>
        </w:tc>
      </w:tr>
      <w:tr w:rsidR="00655A81" w:rsidRPr="005058F2" w14:paraId="6F679739" w14:textId="77777777" w:rsidTr="000C028C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DB126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58F2">
              <w:rPr>
                <w:rFonts w:asciiTheme="majorHAnsi" w:hAnsiTheme="majorHAnsi" w:cstheme="majorHAnsi"/>
                <w:color w:val="000000"/>
              </w:rPr>
              <w:t>4.</w:t>
            </w:r>
          </w:p>
        </w:tc>
        <w:tc>
          <w:tcPr>
            <w:tcW w:w="8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1BE32" w14:textId="77777777" w:rsidR="00655A81" w:rsidRPr="00E802B3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802B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Taptiqom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A5143" w14:textId="77777777" w:rsidR="00655A81" w:rsidRPr="00E802B3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</w:t>
            </w:r>
            <w:r w:rsidRPr="00E802B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afluprostum +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</w:t>
            </w:r>
            <w:r w:rsidRPr="00E802B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imololum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C7404" w14:textId="77777777" w:rsidR="00655A81" w:rsidRPr="00E802B3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802B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 wszystkich zarejestrowanych wskazaniach na dzień wydania decyzji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BC73F" w14:textId="77777777" w:rsidR="00655A81" w:rsidRPr="00E802B3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Jaskra oraz nadciśnienie oczne</w:t>
            </w:r>
          </w:p>
        </w:tc>
      </w:tr>
      <w:tr w:rsidR="00655A81" w:rsidRPr="005058F2" w14:paraId="6666C970" w14:textId="77777777" w:rsidTr="000C028C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14FA7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58F2">
              <w:rPr>
                <w:rFonts w:asciiTheme="majorHAnsi" w:hAnsiTheme="majorHAnsi" w:cstheme="majorHAnsi"/>
                <w:color w:val="000000"/>
              </w:rPr>
              <w:t>5.</w:t>
            </w:r>
          </w:p>
        </w:tc>
        <w:tc>
          <w:tcPr>
            <w:tcW w:w="86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9B3E0" w14:textId="77777777" w:rsidR="00655A81" w:rsidRPr="00E802B3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802B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Eliquis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67C1B" w14:textId="77777777" w:rsidR="00655A81" w:rsidRPr="00E802B3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</w:t>
            </w:r>
            <w:r w:rsidRPr="00E802B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piksaban</w:t>
            </w: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3E895" w14:textId="77777777" w:rsidR="00655A81" w:rsidRPr="00E802B3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802B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zakrzepicy żył głębokich lub zatorowości płucnej oraz profilaktyki nawrotowej zakrzepicy żył głębokich i zatorowości płucnej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E6EA0" w14:textId="77777777" w:rsidR="00655A81" w:rsidRPr="00E802B3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Rozszerzenie aktualnie obowiązujących wskazań</w:t>
            </w:r>
          </w:p>
        </w:tc>
      </w:tr>
      <w:tr w:rsidR="00655A81" w:rsidRPr="005058F2" w14:paraId="13B7304A" w14:textId="77777777" w:rsidTr="000C028C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ABB50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58F2">
              <w:rPr>
                <w:rFonts w:asciiTheme="majorHAnsi" w:hAnsiTheme="majorHAnsi" w:cstheme="majorHAnsi"/>
                <w:color w:val="000000"/>
              </w:rPr>
              <w:t>6.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09593" w14:textId="77777777" w:rsidR="00655A81" w:rsidRPr="00A10133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A1013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Firazyr</w:t>
            </w:r>
          </w:p>
        </w:tc>
        <w:tc>
          <w:tcPr>
            <w:tcW w:w="6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6F402" w14:textId="77777777" w:rsidR="00655A81" w:rsidRPr="00A10133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A10133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ikatybant</w:t>
            </w:r>
          </w:p>
        </w:tc>
        <w:tc>
          <w:tcPr>
            <w:tcW w:w="1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BAEC4" w14:textId="77777777" w:rsidR="00655A81" w:rsidRPr="00A10133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101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ostrych, zagrażających życiu napadów obrzęku naczynioruchowego u dzieci od 2 roku życia, chorych na dziedziczny obrzęk naczynioruchowy wywołany niedoborem inhibitora esterazy C1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9679" w14:textId="77777777" w:rsidR="002D03A4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101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Rozszerzenie aktualnego wskazania (dorośli) o populację dzieci od 2 roku życia </w:t>
            </w:r>
          </w:p>
          <w:p w14:paraId="28EC7E54" w14:textId="6017828F" w:rsidR="00655A81" w:rsidRPr="002D03A4" w:rsidRDefault="003F2888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D03A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(Choroba </w:t>
            </w:r>
            <w:r w:rsidR="00603671" w:rsidRPr="002D03A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ultra</w:t>
            </w:r>
            <w:r w:rsidRPr="002D03A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rzadka)</w:t>
            </w:r>
          </w:p>
        </w:tc>
      </w:tr>
      <w:tr w:rsidR="00655A81" w:rsidRPr="005058F2" w14:paraId="44977A9F" w14:textId="77777777" w:rsidTr="000C028C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43D34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7.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CE82F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004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Rupaller</w:t>
            </w:r>
          </w:p>
        </w:tc>
        <w:tc>
          <w:tcPr>
            <w:tcW w:w="6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402F4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004D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rupatadyna</w:t>
            </w:r>
          </w:p>
        </w:tc>
        <w:tc>
          <w:tcPr>
            <w:tcW w:w="1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2271A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004D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 wszystkich zarejestrowanych wskazaniach na dzień wydania decyzji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2EFD4" w14:textId="13F57178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004D2">
              <w:rPr>
                <w:rFonts w:asciiTheme="majorHAnsi" w:hAnsiTheme="majorHAnsi" w:cstheme="majorHAnsi"/>
                <w:sz w:val="20"/>
                <w:szCs w:val="20"/>
              </w:rPr>
              <w:t>Objawowe leczenie alergicznego zapalenia błony śluzowej nosa i pokrzywki u dorosłych i młodzieży (w wieku powyżej 12 lat)</w:t>
            </w:r>
          </w:p>
        </w:tc>
      </w:tr>
      <w:tr w:rsidR="00655A81" w:rsidRPr="005058F2" w14:paraId="08D473C9" w14:textId="77777777" w:rsidTr="000C028C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8011A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lastRenderedPageBreak/>
              <w:t>8.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F0608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004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PKU GMPro</w:t>
            </w:r>
          </w:p>
        </w:tc>
        <w:tc>
          <w:tcPr>
            <w:tcW w:w="6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7349B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004D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dieta eliminacyjna w fenyloketonurii</w:t>
            </w:r>
          </w:p>
        </w:tc>
        <w:tc>
          <w:tcPr>
            <w:tcW w:w="1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9E4AB" w14:textId="77777777" w:rsidR="00655A81" w:rsidRPr="001004D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004D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Fenyloketonuria (PKU) u pacjentów</w:t>
            </w:r>
          </w:p>
          <w:p w14:paraId="2D363D1A" w14:textId="77777777" w:rsidR="00655A81" w:rsidRPr="001004D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004D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powyżej 12 roku życia, u których dobowa tolerancja fenyloalaniny pozwala na</w:t>
            </w:r>
          </w:p>
          <w:p w14:paraId="14D2E524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004D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zastosowanie preparatów glikomakropeptydowych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D4F9F" w14:textId="77777777" w:rsidR="00655A81" w:rsidRPr="002D03A4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2D03A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Choroba rzadka</w:t>
            </w:r>
          </w:p>
        </w:tc>
      </w:tr>
      <w:tr w:rsidR="00655A81" w:rsidRPr="005058F2" w14:paraId="4A7F4B7E" w14:textId="77777777" w:rsidTr="000C028C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AA495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9.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8DBAB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004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Cortiment MMX</w:t>
            </w:r>
          </w:p>
        </w:tc>
        <w:tc>
          <w:tcPr>
            <w:tcW w:w="6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00C67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004D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budezonid</w:t>
            </w:r>
          </w:p>
        </w:tc>
        <w:tc>
          <w:tcPr>
            <w:tcW w:w="1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8D12A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004D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Indukcja remisji u pacjentów z aktywnym mikroskopowym zapaleniem jelita grubego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D1AF1" w14:textId="77777777" w:rsidR="00655A81" w:rsidRPr="002D03A4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2D03A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Choroba rzadka</w:t>
            </w:r>
          </w:p>
        </w:tc>
      </w:tr>
      <w:tr w:rsidR="00655A81" w:rsidRPr="005058F2" w14:paraId="13821563" w14:textId="77777777" w:rsidTr="000C028C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0069B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10.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A1604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004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Tresiba</w:t>
            </w:r>
          </w:p>
        </w:tc>
        <w:tc>
          <w:tcPr>
            <w:tcW w:w="6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B69A6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004D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insulina degludec</w:t>
            </w:r>
          </w:p>
        </w:tc>
        <w:tc>
          <w:tcPr>
            <w:tcW w:w="1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0E91D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004D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Cukrzyca typu I u dzieci powyżej 1. roku życia i młodzieży.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1004D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Cukrzyca typu 2 u dzieci powyżej 1. roku życia i młodzieży leczonych insuliną NPH od co najmniej 6 miesięcy i z HbA1c ≥8% oraz cukrzyca typu 2 u dzieci powyżej 1. roku życia i młodzieży leczonych insuliną NPH od co najmniej 6 miesięcy i z udokumentowanymi nawracającymi epizodami ciężkiej lub nocnej hipoglikemii oraz cukrzyca u dzieci powyżej 1. roku życia i młodzieży o znanej przyczynie (zgodnie z definicją wg WHO)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BAEEA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Rozszerzenie aktualnie obowiązujących wskazań</w:t>
            </w:r>
          </w:p>
        </w:tc>
      </w:tr>
      <w:tr w:rsidR="00655A81" w:rsidRPr="005058F2" w14:paraId="5AC7340F" w14:textId="77777777" w:rsidTr="000C028C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B2A4C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11.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242FC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83F0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Fluenz Tetra</w:t>
            </w:r>
          </w:p>
        </w:tc>
        <w:tc>
          <w:tcPr>
            <w:tcW w:w="6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078D1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s</w:t>
            </w:r>
            <w:r w:rsidRPr="003A446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zczepionka przeciw grypie (żywa atenuowana, do nosa)</w:t>
            </w:r>
          </w:p>
        </w:tc>
        <w:tc>
          <w:tcPr>
            <w:tcW w:w="1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7C2E7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Zapobieganie grypie u dzieci i młodzieży w wieku od ukończonego 60 miesiąca życia do ukończonego 18 roku życia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CF95D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Dzieci w pełni zabezpieczone w refundowane szczepionki przeciw grypie</w:t>
            </w:r>
          </w:p>
        </w:tc>
      </w:tr>
      <w:tr w:rsidR="00655A81" w:rsidRPr="005058F2" w14:paraId="60F9725F" w14:textId="77777777" w:rsidTr="000C028C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50409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12.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885EA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83F0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VaxigripTetra</w:t>
            </w:r>
          </w:p>
        </w:tc>
        <w:tc>
          <w:tcPr>
            <w:tcW w:w="6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64823" w14:textId="77777777" w:rsidR="00655A81" w:rsidRPr="003A446B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c</w:t>
            </w:r>
            <w:r w:rsidRPr="003A446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zterowalentna szczepionka</w:t>
            </w:r>
          </w:p>
          <w:p w14:paraId="649A304B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A446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przeciw grypie (rozszczepiony wirion), inaktywowana</w:t>
            </w:r>
          </w:p>
        </w:tc>
        <w:tc>
          <w:tcPr>
            <w:tcW w:w="1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B9553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Czynne uodpornienie dzieci od ukończenia 6 miesiąca życia do ukończenia 24 miesiąca życia oraz od ukończenia 60 miesiąca życia do 18 roku życia w zapobieganiu grypie wywołanej przez dwa podtypy wirusa grypy A oraz dwa typy wirusa grypy B, które są zawarte w szczepionce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C5018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Dzieci w pełni zabezpieczone w refundowane szczepionki przeciw grypie</w:t>
            </w:r>
          </w:p>
        </w:tc>
      </w:tr>
      <w:tr w:rsidR="00655A81" w:rsidRPr="005058F2" w14:paraId="4D0DD6D9" w14:textId="77777777" w:rsidTr="000C028C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5958E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13.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749C4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83F0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Cervarix</w:t>
            </w:r>
          </w:p>
        </w:tc>
        <w:tc>
          <w:tcPr>
            <w:tcW w:w="6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5D499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s</w:t>
            </w:r>
            <w:r w:rsidRPr="003A446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zczepionka przeciw wirusowi brodawczaka ludzkiego [typy 16 i 18])</w:t>
            </w:r>
            <w:r w:rsidRPr="003A446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Pr="003A446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(rekombinowana, z </w:t>
            </w:r>
            <w:r w:rsidRPr="003A446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lastRenderedPageBreak/>
              <w:t>adiuwantem, adsorbowana)</w:t>
            </w:r>
          </w:p>
        </w:tc>
        <w:tc>
          <w:tcPr>
            <w:tcW w:w="1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9B6BE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We wszystkich zarejestrowanych wskazaniach na dzień wydania decyzji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46399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Szczepionka stosowana u osób od ukończenia 9. roku życia przeznaczona do profilaktyki zmian przednowotworowych narządów płciowych i odbytu (szyjki macicy, sromu, pochwy i odbytu) oraz raka szyjki macicy i raka odbytu związanych przyczynowo z określonymi onkogennymi typami wirusa brodawczaka ludzkiego (HPV)</w:t>
            </w:r>
          </w:p>
        </w:tc>
      </w:tr>
      <w:tr w:rsidR="00655A81" w:rsidRPr="005058F2" w14:paraId="176B1326" w14:textId="77777777" w:rsidTr="000C028C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81CBF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3A408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A446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Reagila</w:t>
            </w:r>
          </w:p>
        </w:tc>
        <w:tc>
          <w:tcPr>
            <w:tcW w:w="6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875D0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A446B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kariprazyna</w:t>
            </w:r>
          </w:p>
        </w:tc>
        <w:tc>
          <w:tcPr>
            <w:tcW w:w="1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C7B2A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A44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dorosłych pacjentów ze schizofrenią z pierwotnymi, przeważającymi i przetrwałymi objawami negatywnymi, u których nie występują objawy depresyjne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DC27D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23BE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Poszerzenie dostępnych opcji terapeutycznych dla pacjentów ze schizofrenią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523BE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 kolejny doustny lek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5A81" w:rsidRPr="005058F2" w14:paraId="4A334870" w14:textId="77777777" w:rsidTr="000C028C">
        <w:trPr>
          <w:trHeight w:val="328"/>
        </w:trPr>
        <w:tc>
          <w:tcPr>
            <w:tcW w:w="5000" w:type="pct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A5533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FFFFFF"/>
              </w:rPr>
              <w:t>Zmiany na liście 75+</w:t>
            </w:r>
          </w:p>
        </w:tc>
      </w:tr>
      <w:tr w:rsidR="00655A81" w:rsidRPr="005058F2" w14:paraId="1C9389F7" w14:textId="77777777" w:rsidTr="00A051C6">
        <w:trPr>
          <w:trHeight w:val="2022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ED266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</w:t>
            </w:r>
          </w:p>
        </w:tc>
        <w:tc>
          <w:tcPr>
            <w:tcW w:w="4753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A5824" w14:textId="77777777" w:rsidR="00655A81" w:rsidRPr="00842BDA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42B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 marcu 2021 r. wykaz leki 75+ został rozszerzony o 93 pozycje obejmujące 25 nowych substancji czynnych z 22 grup limitowych i stosowane w następujących jednostkach chorobowych:</w:t>
            </w:r>
          </w:p>
          <w:p w14:paraId="006422B1" w14:textId="6F3F4314" w:rsidR="00C01D7D" w:rsidRPr="00DE4590" w:rsidRDefault="00655A81" w:rsidP="00A051C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42B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leki stosowane w obrzękach i nadciśnieniu tętniczym, leki do profilaktyki i leczenie stanów niedoboru potasu, leki stosowane w niedokrwistości, leki przeciwarytmiczne, leki przeciwbiegunkowe, leki stosowane w zakażeniach dróg moczowych, leki przeciwpadaczkowe, leki do użytku zewnętrznego stosowane w dermatozach takich jak np. łuszczyca, atopowe zapalenie skóry czy kontaktowe zapalenie skóry, leki stosowane w dławicy piersiowej, leki stosowane w zapobieganiu i leczenie krwotoków, leki w niewydolności kory nadnerczy w chorobie Addisona i leczenie zespołu nadnerczowo-płciowego z utratą soli, leki stosowane w miastenii, leki przeciwgrzybicze, leki stosowane w chorobach kości oraz leki stosowane w nietrzymaniu moczu.</w:t>
            </w:r>
          </w:p>
        </w:tc>
      </w:tr>
      <w:tr w:rsidR="00A051C6" w:rsidRPr="005058F2" w14:paraId="7B32ACAF" w14:textId="77777777" w:rsidTr="00A051C6">
        <w:trPr>
          <w:trHeight w:val="482"/>
        </w:trPr>
        <w:tc>
          <w:tcPr>
            <w:tcW w:w="24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EE278" w14:textId="22DF73B8" w:rsidR="00A051C6" w:rsidRDefault="00A051C6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2.</w:t>
            </w:r>
          </w:p>
        </w:tc>
        <w:tc>
          <w:tcPr>
            <w:tcW w:w="4753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2FEB8" w14:textId="32AE9963" w:rsidR="00A051C6" w:rsidRPr="00842BDA" w:rsidRDefault="00A051C6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Pozostałe zmiany na liście 75+ wynikały z dodania lub usunięcia odpowiednika do/z listy refundacyjnej – żadna z substancji czynnych nie została usunięta z wykazu.</w:t>
            </w:r>
          </w:p>
        </w:tc>
      </w:tr>
      <w:tr w:rsidR="00655A81" w:rsidRPr="005058F2" w14:paraId="703E5DD4" w14:textId="77777777" w:rsidTr="000C028C">
        <w:trPr>
          <w:trHeight w:val="328"/>
        </w:trPr>
        <w:tc>
          <w:tcPr>
            <w:tcW w:w="5000" w:type="pct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07BE8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FFFFFF"/>
              </w:rPr>
              <w:t>Zmiany na liście Ciąża+</w:t>
            </w:r>
          </w:p>
        </w:tc>
      </w:tr>
      <w:tr w:rsidR="00655A81" w:rsidRPr="005058F2" w14:paraId="661EB70A" w14:textId="77777777" w:rsidTr="000C028C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27319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63AE8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2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EB24C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Wskazanie refundacyjne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AC32F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Dodatkowe informacje</w:t>
            </w:r>
          </w:p>
        </w:tc>
      </w:tr>
      <w:tr w:rsidR="00655A81" w:rsidRPr="005058F2" w14:paraId="3AE7A797" w14:textId="77777777" w:rsidTr="000C028C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0FA16" w14:textId="77777777" w:rsidR="00655A81" w:rsidRPr="005058F2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58F2">
              <w:rPr>
                <w:rFonts w:asciiTheme="majorHAnsi" w:hAnsiTheme="majorHAnsi" w:cstheme="majorHAnsi"/>
                <w:color w:val="000000"/>
              </w:rPr>
              <w:t>1.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6F6B4" w14:textId="77777777" w:rsidR="00655A81" w:rsidRPr="00842BDA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42B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Vaccinum influenzae</w:t>
            </w:r>
          </w:p>
        </w:tc>
        <w:tc>
          <w:tcPr>
            <w:tcW w:w="2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359FD" w14:textId="77777777" w:rsidR="00655A81" w:rsidRPr="00842BDA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42B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Profilaktyka grypy u kobiet w ciąży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02FD5" w14:textId="77777777" w:rsidR="00655A81" w:rsidRPr="00842BDA" w:rsidRDefault="00655A81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42B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Rozszerzenie listy „ciąża +” w celu zabezpieczenia populacji kobiet w ciąży w bezpłatne szczepionki </w:t>
            </w:r>
            <w:r w:rsidRPr="00842B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na nadchodzący sezon szczepień</w:t>
            </w:r>
          </w:p>
        </w:tc>
      </w:tr>
      <w:tr w:rsidR="00A051C6" w:rsidRPr="005058F2" w14:paraId="5DDCA056" w14:textId="6F199CE7" w:rsidTr="00A051C6">
        <w:trPr>
          <w:trHeight w:val="574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6A6DF" w14:textId="3DA44FA8" w:rsidR="00A051C6" w:rsidRPr="00842BDA" w:rsidRDefault="00A051C6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53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A54DB8" w14:textId="6390C243" w:rsidR="00A051C6" w:rsidRPr="00842BDA" w:rsidRDefault="00A051C6" w:rsidP="000C028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Pozostałe zmiany na liście ciąża+ wynikały z dodania lub usunięcia odpowiednika do/z listy refundacyjnej – żadna z substancji czynnych nie została usunięta z wykazu</w:t>
            </w:r>
          </w:p>
        </w:tc>
      </w:tr>
    </w:tbl>
    <w:p w14:paraId="641521F2" w14:textId="77777777" w:rsidR="00655A81" w:rsidRDefault="00655A81" w:rsidP="00655A81">
      <w:pPr>
        <w:rPr>
          <w:rFonts w:ascii="Arial Rounded MT Bold" w:hAnsi="Arial Rounded MT Bold"/>
          <w:b/>
          <w:bCs/>
          <w:color w:val="00B0F0"/>
        </w:rPr>
      </w:pPr>
    </w:p>
    <w:p w14:paraId="5C94AD33" w14:textId="77777777" w:rsidR="00446466" w:rsidRDefault="00446466" w:rsidP="00655A81">
      <w:pPr>
        <w:jc w:val="center"/>
        <w:rPr>
          <w:rFonts w:ascii="Arial Rounded MT Bold" w:hAnsi="Arial Rounded MT Bold"/>
          <w:b/>
          <w:bCs/>
          <w:color w:val="00B0F0"/>
        </w:rPr>
      </w:pPr>
    </w:p>
    <w:sectPr w:rsidR="00446466" w:rsidSect="005058F2">
      <w:head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F05B" w14:textId="77777777" w:rsidR="002F7548" w:rsidRDefault="002F7548">
      <w:pPr>
        <w:spacing w:after="0" w:line="240" w:lineRule="auto"/>
      </w:pPr>
      <w:r>
        <w:separator/>
      </w:r>
    </w:p>
  </w:endnote>
  <w:endnote w:type="continuationSeparator" w:id="0">
    <w:p w14:paraId="63775573" w14:textId="77777777" w:rsidR="002F7548" w:rsidRDefault="002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016BF" w14:textId="77777777" w:rsidR="002F7548" w:rsidRDefault="002F75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F4849D" w14:textId="77777777" w:rsidR="002F7548" w:rsidRDefault="002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36CF" w14:textId="54AB80F2" w:rsidR="005058F2" w:rsidRDefault="005058F2">
    <w:pPr>
      <w:pStyle w:val="Nagwek"/>
    </w:pPr>
    <w:bookmarkStart w:id="2" w:name="_Hlk74147372"/>
    <w:bookmarkEnd w:id="2"/>
    <w:r>
      <w:rPr>
        <w:rFonts w:ascii="Abadi" w:hAnsi="Abadi"/>
        <w:b/>
        <w:bCs/>
        <w:noProof/>
        <w:color w:val="00B0F0"/>
        <w:sz w:val="28"/>
        <w:szCs w:val="28"/>
      </w:rPr>
      <w:drawing>
        <wp:inline distT="0" distB="0" distL="0" distR="0" wp14:anchorId="527EB86D" wp14:editId="627618BE">
          <wp:extent cx="1659032" cy="934480"/>
          <wp:effectExtent l="0" t="0" r="0" b="0"/>
          <wp:docPr id="2" name="Obraz 2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9032" cy="9344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2875"/>
    <w:multiLevelType w:val="hybridMultilevel"/>
    <w:tmpl w:val="1EC49BCA"/>
    <w:lvl w:ilvl="0" w:tplc="5A3E6A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83431"/>
    <w:multiLevelType w:val="hybridMultilevel"/>
    <w:tmpl w:val="ABB6E3FC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42910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91E53"/>
    <w:multiLevelType w:val="hybridMultilevel"/>
    <w:tmpl w:val="E0781596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41F7C"/>
    <w:multiLevelType w:val="hybridMultilevel"/>
    <w:tmpl w:val="2FFE7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94C8D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C5"/>
    <w:rsid w:val="00017D87"/>
    <w:rsid w:val="00032D22"/>
    <w:rsid w:val="00034AB3"/>
    <w:rsid w:val="00083DD6"/>
    <w:rsid w:val="000A44E1"/>
    <w:rsid w:val="000B2DD7"/>
    <w:rsid w:val="000C2D78"/>
    <w:rsid w:val="000F5439"/>
    <w:rsid w:val="00106761"/>
    <w:rsid w:val="001419A3"/>
    <w:rsid w:val="001E1EAA"/>
    <w:rsid w:val="00212175"/>
    <w:rsid w:val="00256AA1"/>
    <w:rsid w:val="00266DCA"/>
    <w:rsid w:val="002852FE"/>
    <w:rsid w:val="00286651"/>
    <w:rsid w:val="00292C5E"/>
    <w:rsid w:val="002D03A4"/>
    <w:rsid w:val="002F7548"/>
    <w:rsid w:val="00321CCE"/>
    <w:rsid w:val="003F2888"/>
    <w:rsid w:val="004176B2"/>
    <w:rsid w:val="00446466"/>
    <w:rsid w:val="00476A3C"/>
    <w:rsid w:val="004B7661"/>
    <w:rsid w:val="004C63DE"/>
    <w:rsid w:val="005058F2"/>
    <w:rsid w:val="005507E3"/>
    <w:rsid w:val="00566A83"/>
    <w:rsid w:val="0056748F"/>
    <w:rsid w:val="0057016E"/>
    <w:rsid w:val="005C6551"/>
    <w:rsid w:val="00603671"/>
    <w:rsid w:val="00625441"/>
    <w:rsid w:val="00655A81"/>
    <w:rsid w:val="00664C69"/>
    <w:rsid w:val="006A7DCE"/>
    <w:rsid w:val="007505CE"/>
    <w:rsid w:val="007903CC"/>
    <w:rsid w:val="007A21D4"/>
    <w:rsid w:val="007B043E"/>
    <w:rsid w:val="00843352"/>
    <w:rsid w:val="00877D32"/>
    <w:rsid w:val="008C0E92"/>
    <w:rsid w:val="008D2C8A"/>
    <w:rsid w:val="00993383"/>
    <w:rsid w:val="00A051C6"/>
    <w:rsid w:val="00A118F0"/>
    <w:rsid w:val="00A2561D"/>
    <w:rsid w:val="00A32C82"/>
    <w:rsid w:val="00A960EA"/>
    <w:rsid w:val="00AD08C5"/>
    <w:rsid w:val="00B36F52"/>
    <w:rsid w:val="00B759BC"/>
    <w:rsid w:val="00BB0128"/>
    <w:rsid w:val="00BB688D"/>
    <w:rsid w:val="00C01D7D"/>
    <w:rsid w:val="00C604AA"/>
    <w:rsid w:val="00D16292"/>
    <w:rsid w:val="00D6346A"/>
    <w:rsid w:val="00D90969"/>
    <w:rsid w:val="00E41338"/>
    <w:rsid w:val="00EB2F31"/>
    <w:rsid w:val="00EC74BA"/>
    <w:rsid w:val="00F028E1"/>
    <w:rsid w:val="00F42214"/>
    <w:rsid w:val="00F44F91"/>
    <w:rsid w:val="00F541FE"/>
    <w:rsid w:val="00FC4FA1"/>
    <w:rsid w:val="00FE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1808D"/>
  <w15:docId w15:val="{9907FBD6-CEC2-42E2-A88E-10EDFCF3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46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E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E92"/>
  </w:style>
  <w:style w:type="paragraph" w:styleId="Stopka">
    <w:name w:val="footer"/>
    <w:basedOn w:val="Normalny"/>
    <w:link w:val="Stopka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E92"/>
  </w:style>
  <w:style w:type="character" w:styleId="Odwoaniedokomentarza">
    <w:name w:val="annotation reference"/>
    <w:basedOn w:val="Domylnaczcionkaakapitu"/>
    <w:uiPriority w:val="99"/>
    <w:semiHidden/>
    <w:unhideWhenUsed/>
    <w:rsid w:val="00141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9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9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9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Aktualne%20Wykresy%20od%20201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Aktualne%20Wykresy%20od%20201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Aktualne%20Wykresy%20od%20201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Aktualne%20Wykresy%20wskazania%20od%20201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Aktualne%20Wykresy%20wskazania%20od%20201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0" baseline="0">
                <a:effectLst/>
              </a:rPr>
              <a:t>Liczba nowych wskazań - ONKO/NIEONKO</a:t>
            </a:r>
            <a:endParaRPr lang="pl-PL" sz="11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7692038495188118E-2"/>
          <c:y val="0.13625000000000001"/>
          <c:w val="0.90286351706036749"/>
          <c:h val="0.622738772236803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ONKO_NIEONKO!$A$3</c:f>
              <c:strCache>
                <c:ptCount val="1"/>
                <c:pt idx="0">
                  <c:v>Wskazania onkologiczne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0"/>
                  <c:y val="8.0536912751677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17B-4E43-B647-5D7E521966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ONKO_NIEONKO!$B$2</c:f>
              <c:numCache>
                <c:formatCode>General</c:formatCode>
                <c:ptCount val="1"/>
                <c:pt idx="0">
                  <c:v>2021</c:v>
                </c:pt>
              </c:numCache>
              <c:extLst/>
            </c:numRef>
          </c:cat>
          <c:val>
            <c:numRef>
              <c:f>ONKO_NIEONKO!$B$3</c:f>
              <c:numCache>
                <c:formatCode>General</c:formatCode>
                <c:ptCount val="1"/>
                <c:pt idx="0">
                  <c:v>32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717B-4E43-B647-5D7E52196659}"/>
            </c:ext>
          </c:extLst>
        </c:ser>
        <c:ser>
          <c:idx val="1"/>
          <c:order val="1"/>
          <c:tx>
            <c:strRef>
              <c:f>ONKO_NIEONKO!$A$4</c:f>
              <c:strCache>
                <c:ptCount val="1"/>
                <c:pt idx="0">
                  <c:v>Wskazania nieonkologiczne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0"/>
                  <c:y val="8.0536912751677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17B-4E43-B647-5D7E521966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ONKO_NIEONKO!$B$2</c:f>
              <c:numCache>
                <c:formatCode>General</c:formatCode>
                <c:ptCount val="1"/>
                <c:pt idx="0">
                  <c:v>2021</c:v>
                </c:pt>
              </c:numCache>
              <c:extLst/>
            </c:numRef>
          </c:cat>
          <c:val>
            <c:numRef>
              <c:f>ONKO_NIEONKO!$B$4</c:f>
              <c:numCache>
                <c:formatCode>General</c:formatCode>
                <c:ptCount val="1"/>
                <c:pt idx="0">
                  <c:v>36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717B-4E43-B647-5D7E5219665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03835919"/>
        <c:axId val="703834671"/>
        <c:axId val="0"/>
      </c:bar3DChart>
      <c:catAx>
        <c:axId val="70383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3834671"/>
        <c:crosses val="autoZero"/>
        <c:auto val="1"/>
        <c:lblAlgn val="ctr"/>
        <c:lblOffset val="100"/>
        <c:noMultiLvlLbl val="0"/>
      </c:catAx>
      <c:valAx>
        <c:axId val="703834671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3835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0" baseline="0">
                <a:effectLst/>
              </a:rPr>
              <a:t>Liczba nowych wskazań - kategorie dostępności</a:t>
            </a:r>
            <a:endParaRPr lang="pl-PL" sz="11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89452607083908E-2"/>
          <c:y val="0.14957494407158836"/>
          <c:w val="0.90386492410098218"/>
          <c:h val="0.644414028783314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'Kategoria dostępności'!$A$3</c:f>
              <c:strCache>
                <c:ptCount val="1"/>
                <c:pt idx="0">
                  <c:v>Apteka</c:v>
                </c:pt>
              </c:strCache>
            </c:strRef>
          </c:tx>
          <c:spPr>
            <a:solidFill>
              <a:srgbClr val="0099FF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2577855410751745E-17"/>
                  <c:y val="7.6062639821028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2B0-4C66-AF9D-8C62E9A09C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'Kategoria dostępności'!$B$2</c:f>
              <c:numCache>
                <c:formatCode>General</c:formatCode>
                <c:ptCount val="1"/>
                <c:pt idx="0">
                  <c:v>2021</c:v>
                </c:pt>
              </c:numCache>
              <c:extLst/>
            </c:numRef>
          </c:cat>
          <c:val>
            <c:numRef>
              <c:f>'Kategoria dostępności'!$B$3</c:f>
              <c:numCache>
                <c:formatCode>General</c:formatCode>
                <c:ptCount val="1"/>
                <c:pt idx="0">
                  <c:v>14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92B0-4C66-AF9D-8C62E9A09CB4}"/>
            </c:ext>
          </c:extLst>
        </c:ser>
        <c:ser>
          <c:idx val="1"/>
          <c:order val="1"/>
          <c:tx>
            <c:strRef>
              <c:f>'Kategoria dostępności'!$A$4</c:f>
              <c:strCache>
                <c:ptCount val="1"/>
                <c:pt idx="0">
                  <c:v>Chemioterapia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442910642641659E-3"/>
                  <c:y val="8.948545861297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2B0-4C66-AF9D-8C62E9A09C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'Kategoria dostępności'!$B$2</c:f>
              <c:numCache>
                <c:formatCode>General</c:formatCode>
                <c:ptCount val="1"/>
                <c:pt idx="0">
                  <c:v>2021</c:v>
                </c:pt>
              </c:numCache>
              <c:extLst/>
            </c:numRef>
          </c:cat>
          <c:val>
            <c:numRef>
              <c:f>'Kategoria dostępności'!$B$4</c:f>
              <c:numCache>
                <c:formatCode>General</c:formatCode>
                <c:ptCount val="1"/>
                <c:pt idx="0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92B0-4C66-AF9D-8C62E9A09CB4}"/>
            </c:ext>
          </c:extLst>
        </c:ser>
        <c:ser>
          <c:idx val="2"/>
          <c:order val="2"/>
          <c:tx>
            <c:strRef>
              <c:f>'Kategoria dostępności'!$A$5</c:f>
              <c:strCache>
                <c:ptCount val="1"/>
                <c:pt idx="0">
                  <c:v>Program lekowy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442910642641659E-3"/>
                  <c:y val="7.60626398210290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2B0-4C66-AF9D-8C62E9A09C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'Kategoria dostępności'!$B$2</c:f>
              <c:numCache>
                <c:formatCode>General</c:formatCode>
                <c:ptCount val="1"/>
                <c:pt idx="0">
                  <c:v>2021</c:v>
                </c:pt>
              </c:numCache>
              <c:extLst/>
            </c:numRef>
          </c:cat>
          <c:val>
            <c:numRef>
              <c:f>'Kategoria dostępności'!$B$5</c:f>
              <c:numCache>
                <c:formatCode>General</c:formatCode>
                <c:ptCount val="1"/>
                <c:pt idx="0">
                  <c:v>53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5-92B0-4C66-AF9D-8C62E9A09CB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88787007"/>
        <c:axId val="1288791583"/>
        <c:axId val="0"/>
      </c:bar3DChart>
      <c:catAx>
        <c:axId val="12887870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88791583"/>
        <c:crosses val="autoZero"/>
        <c:auto val="1"/>
        <c:lblAlgn val="ctr"/>
        <c:lblOffset val="100"/>
        <c:noMultiLvlLbl val="0"/>
      </c:catAx>
      <c:valAx>
        <c:axId val="12887915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887870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Liczba nowych wskazań - wskazania rzadkie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'Wskazania rzadkie'!$A$3</c:f>
              <c:strCache>
                <c:ptCount val="1"/>
                <c:pt idx="0">
                  <c:v>Wskazanie rzadkie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0"/>
                  <c:y val="6.2639821029082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107-4CEE-BB42-EF99D6564AB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'Wskazania rzadkie'!$B$2</c:f>
              <c:numCache>
                <c:formatCode>General</c:formatCode>
                <c:ptCount val="1"/>
                <c:pt idx="0">
                  <c:v>2021</c:v>
                </c:pt>
              </c:numCache>
              <c:extLst/>
            </c:numRef>
          </c:cat>
          <c:val>
            <c:numRef>
              <c:f>'Wskazania rzadkie'!$B$3</c:f>
              <c:numCache>
                <c:formatCode>General</c:formatCode>
                <c:ptCount val="1"/>
                <c:pt idx="0">
                  <c:v>29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7107-4CEE-BB42-EF99D6564ABF}"/>
            </c:ext>
          </c:extLst>
        </c:ser>
        <c:ser>
          <c:idx val="1"/>
          <c:order val="1"/>
          <c:tx>
            <c:strRef>
              <c:f>'Wskazania rzadkie'!$A$4</c:f>
              <c:strCache>
                <c:ptCount val="1"/>
                <c:pt idx="0">
                  <c:v>Pozostałe</c:v>
                </c:pt>
              </c:strCache>
              <c:extLst xmlns:c15="http://schemas.microsoft.com/office/drawing/2012/chart"/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2.3446658851113502E-3"/>
                  <c:y val="7.15883668903802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5="http://schemas.microsoft.com/office/drawing/2012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107-4CEE-BB42-EF99D6564AB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'Wskazania rzadkie'!$B$2</c:f>
              <c:numCache>
                <c:formatCode>General</c:formatCode>
                <c:ptCount val="1"/>
                <c:pt idx="0">
                  <c:v>2021</c:v>
                </c:pt>
              </c:numCache>
              <c:extLst/>
            </c:numRef>
          </c:cat>
          <c:val>
            <c:numRef>
              <c:f>'Wskazania rzadkie'!$B$4</c:f>
              <c:numCache>
                <c:formatCode>General</c:formatCode>
                <c:ptCount val="1"/>
                <c:pt idx="0">
                  <c:v>39</c:v>
                </c:pt>
              </c:numCache>
              <c:extLst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3-7107-4CEE-BB42-EF99D6564AB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03837167"/>
        <c:axId val="703834255"/>
        <c:axId val="0"/>
        <c:extLst/>
      </c:bar3DChart>
      <c:catAx>
        <c:axId val="7038371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3834255"/>
        <c:crosses val="autoZero"/>
        <c:auto val="1"/>
        <c:lblAlgn val="ctr"/>
        <c:lblOffset val="100"/>
        <c:noMultiLvlLbl val="0"/>
      </c:catAx>
      <c:valAx>
        <c:axId val="7038342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38371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Wskazania nieonkologiczne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634903833742097"/>
          <c:y val="0.16484444444444443"/>
          <c:w val="0.80429941339299793"/>
          <c:h val="0.73205214348206471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'nieonko_2016_-_2021'!$A$3:$A$20</c:f>
              <c:strCache>
                <c:ptCount val="18"/>
                <c:pt idx="0">
                  <c:v>Neurologia</c:v>
                </c:pt>
                <c:pt idx="1">
                  <c:v>Nefrologia </c:v>
                </c:pt>
                <c:pt idx="2">
                  <c:v>Urologia</c:v>
                </c:pt>
                <c:pt idx="3">
                  <c:v>Hepatologia</c:v>
                </c:pt>
                <c:pt idx="4">
                  <c:v>Angiologia</c:v>
                </c:pt>
                <c:pt idx="5">
                  <c:v>Okulistyka</c:v>
                </c:pt>
                <c:pt idx="6">
                  <c:v>Endokrynologia</c:v>
                </c:pt>
                <c:pt idx="7">
                  <c:v>Hematologia</c:v>
                </c:pt>
                <c:pt idx="8">
                  <c:v>Pulmonologia</c:v>
                </c:pt>
                <c:pt idx="9">
                  <c:v>Kardiologia</c:v>
                </c:pt>
                <c:pt idx="10">
                  <c:v>Dermatologia</c:v>
                </c:pt>
                <c:pt idx="11">
                  <c:v>Reumatologia</c:v>
                </c:pt>
                <c:pt idx="12">
                  <c:v>Choroby metaboliczne</c:v>
                </c:pt>
                <c:pt idx="13">
                  <c:v>Gastroenterologia</c:v>
                </c:pt>
                <c:pt idx="14">
                  <c:v>Psychiatria</c:v>
                </c:pt>
                <c:pt idx="15">
                  <c:v>Immunologia</c:v>
                </c:pt>
                <c:pt idx="16">
                  <c:v>Diabetologia</c:v>
                </c:pt>
                <c:pt idx="17">
                  <c:v>Alergologia</c:v>
                </c:pt>
              </c:strCache>
              <c:extLst/>
            </c:strRef>
          </c:cat>
          <c:val>
            <c:numRef>
              <c:f>'nieonko_2016_-_2021'!$B$3:$B$20</c:f>
              <c:numCache>
                <c:formatCode>General</c:formatCode>
                <c:ptCount val="18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7</c:v>
                </c:pt>
                <c:pt idx="6">
                  <c:v>1</c:v>
                </c:pt>
                <c:pt idx="7">
                  <c:v>6</c:v>
                </c:pt>
                <c:pt idx="8">
                  <c:v>1</c:v>
                </c:pt>
                <c:pt idx="9">
                  <c:v>1</c:v>
                </c:pt>
                <c:pt idx="10">
                  <c:v>3</c:v>
                </c:pt>
                <c:pt idx="11">
                  <c:v>1</c:v>
                </c:pt>
                <c:pt idx="12">
                  <c:v>2</c:v>
                </c:pt>
                <c:pt idx="13">
                  <c:v>2</c:v>
                </c:pt>
                <c:pt idx="14">
                  <c:v>1</c:v>
                </c:pt>
                <c:pt idx="15">
                  <c:v>2</c:v>
                </c:pt>
                <c:pt idx="16">
                  <c:v>1</c:v>
                </c:pt>
                <c:pt idx="17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0C9D-4235-9C27-46CC18453E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1296495"/>
        <c:axId val="241294831"/>
        <c:axId val="0"/>
      </c:bar3DChart>
      <c:valAx>
        <c:axId val="2412948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1296495"/>
        <c:crosses val="autoZero"/>
        <c:crossBetween val="between"/>
      </c:valAx>
      <c:catAx>
        <c:axId val="2412964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129483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Wskazania onkologiczne w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'onko_2012_-_2021_1'!$B$2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'onko_2012_-_2021_1'!$A$3:$A$9</c:f>
              <c:strCache>
                <c:ptCount val="7"/>
                <c:pt idx="0">
                  <c:v>Inne</c:v>
                </c:pt>
                <c:pt idx="1">
                  <c:v>Hematoonkologia</c:v>
                </c:pt>
                <c:pt idx="2">
                  <c:v>Nowotwory układu oddechowego</c:v>
                </c:pt>
                <c:pt idx="3">
                  <c:v>Nowotwory skóry</c:v>
                </c:pt>
                <c:pt idx="4">
                  <c:v>Nowotwory ginekologiczne</c:v>
                </c:pt>
                <c:pt idx="5">
                  <c:v>Nowotwory układu pokarmowego</c:v>
                </c:pt>
                <c:pt idx="6">
                  <c:v>Nowotwory układu endokrynnego</c:v>
                </c:pt>
              </c:strCache>
              <c:extLst/>
            </c:strRef>
          </c:cat>
          <c:val>
            <c:numRef>
              <c:f>'onko_2012_-_2021_1'!$B$3:$B$9</c:f>
              <c:numCache>
                <c:formatCode>General</c:formatCode>
                <c:ptCount val="7"/>
                <c:pt idx="0">
                  <c:v>1</c:v>
                </c:pt>
                <c:pt idx="1">
                  <c:v>11</c:v>
                </c:pt>
                <c:pt idx="2">
                  <c:v>7</c:v>
                </c:pt>
                <c:pt idx="3">
                  <c:v>6</c:v>
                </c:pt>
                <c:pt idx="4">
                  <c:v>4</c:v>
                </c:pt>
                <c:pt idx="5">
                  <c:v>2</c:v>
                </c:pt>
                <c:pt idx="6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02C9-45F2-BAAC-BF437E2C31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51046271"/>
        <c:axId val="751054175"/>
        <c:axId val="0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'onko_2012_-_2021_1'!$C$2</c15:sqref>
                        </c15:formulaRef>
                      </c:ext>
                    </c:extLst>
                    <c:strCache>
                      <c:ptCount val="1"/>
                      <c:pt idx="0">
                        <c:v>2020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'onko_2012_-_2021_1'!$A$3:$A$9</c15:sqref>
                        </c15:formulaRef>
                      </c:ext>
                    </c:extLst>
                    <c:strCache>
                      <c:ptCount val="7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układu oddechowego</c:v>
                      </c:pt>
                      <c:pt idx="3">
                        <c:v>Nowotwory skóry</c:v>
                      </c:pt>
                      <c:pt idx="4">
                        <c:v>Nowotwory ginekologiczne</c:v>
                      </c:pt>
                      <c:pt idx="5">
                        <c:v>Nowotwory układu pokarmowego</c:v>
                      </c:pt>
                      <c:pt idx="6">
                        <c:v>Nowotwory układu endokrynnego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'onko_2012_-_2021_1'!$C$3:$C$9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</c:v>
                      </c:pt>
                      <c:pt idx="1">
                        <c:v>6</c:v>
                      </c:pt>
                      <c:pt idx="2">
                        <c:v>4</c:v>
                      </c:pt>
                      <c:pt idx="3">
                        <c:v>2</c:v>
                      </c:pt>
                      <c:pt idx="4">
                        <c:v>6</c:v>
                      </c:pt>
                      <c:pt idx="5">
                        <c:v>1</c:v>
                      </c:pt>
                      <c:pt idx="6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02C9-45F2-BAAC-BF437E2C318E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'onko_2012_-_2021_1'!$D$2</c15:sqref>
                        </c15:formulaRef>
                      </c:ext>
                    </c:extLst>
                    <c:strCache>
                      <c:ptCount val="1"/>
                      <c:pt idx="0">
                        <c:v>2019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'onko_2012_-_2021_1'!$A$3:$A$9</c15:sqref>
                        </c15:formulaRef>
                      </c:ext>
                    </c:extLst>
                    <c:strCache>
                      <c:ptCount val="7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układu oddechowego</c:v>
                      </c:pt>
                      <c:pt idx="3">
                        <c:v>Nowotwory skóry</c:v>
                      </c:pt>
                      <c:pt idx="4">
                        <c:v>Nowotwory ginekologiczne</c:v>
                      </c:pt>
                      <c:pt idx="5">
                        <c:v>Nowotwory układu pokarmowego</c:v>
                      </c:pt>
                      <c:pt idx="6">
                        <c:v>Nowotwory układu endokrynnego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'onko_2012_-_2021_1'!$D$3:$D$9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8</c:v>
                      </c:pt>
                      <c:pt idx="2">
                        <c:v>3</c:v>
                      </c:pt>
                      <c:pt idx="3">
                        <c:v>0</c:v>
                      </c:pt>
                      <c:pt idx="4">
                        <c:v>4</c:v>
                      </c:pt>
                      <c:pt idx="5">
                        <c:v>1</c:v>
                      </c:pt>
                      <c:pt idx="6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02C9-45F2-BAAC-BF437E2C318E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'onko_2012_-_2021_1'!$E$2</c15:sqref>
                        </c15:formulaRef>
                      </c:ext>
                    </c:extLst>
                    <c:strCache>
                      <c:ptCount val="1"/>
                      <c:pt idx="0">
                        <c:v>2018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'onko_2012_-_2021_1'!$A$3:$A$9</c15:sqref>
                        </c15:formulaRef>
                      </c:ext>
                    </c:extLst>
                    <c:strCache>
                      <c:ptCount val="7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układu oddechowego</c:v>
                      </c:pt>
                      <c:pt idx="3">
                        <c:v>Nowotwory skóry</c:v>
                      </c:pt>
                      <c:pt idx="4">
                        <c:v>Nowotwory ginekologiczne</c:v>
                      </c:pt>
                      <c:pt idx="5">
                        <c:v>Nowotwory układu pokarmowego</c:v>
                      </c:pt>
                      <c:pt idx="6">
                        <c:v>Nowotwory układu endokrynnego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'onko_2012_-_2021_1'!$E$3:$E$9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02C9-45F2-BAAC-BF437E2C318E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v>2017</c:v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'onko_2012_-_2021_1'!$A$3:$A$9</c15:sqref>
                        </c15:formulaRef>
                      </c:ext>
                    </c:extLst>
                    <c:strCache>
                      <c:ptCount val="7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układu oddechowego</c:v>
                      </c:pt>
                      <c:pt idx="3">
                        <c:v>Nowotwory skóry</c:v>
                      </c:pt>
                      <c:pt idx="4">
                        <c:v>Nowotwory ginekologiczne</c:v>
                      </c:pt>
                      <c:pt idx="5">
                        <c:v>Nowotwory układu pokarmowego</c:v>
                      </c:pt>
                      <c:pt idx="6">
                        <c:v>Nowotwory układu endokrynnego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'onko_2012_-_2021_1'!$F$3:$F$9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1</c:v>
                      </c:pt>
                      <c:pt idx="1">
                        <c:v>4</c:v>
                      </c:pt>
                      <c:pt idx="2">
                        <c:v>1</c:v>
                      </c:pt>
                      <c:pt idx="3">
                        <c:v>2</c:v>
                      </c:pt>
                      <c:pt idx="4">
                        <c:v>0</c:v>
                      </c:pt>
                      <c:pt idx="5">
                        <c:v>4</c:v>
                      </c:pt>
                      <c:pt idx="6">
                        <c:v>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02C9-45F2-BAAC-BF437E2C318E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'onko_2012_-_2021_1'!$G$2</c15:sqref>
                        </c15:formulaRef>
                      </c:ext>
                    </c:extLst>
                    <c:strCache>
                      <c:ptCount val="1"/>
                      <c:pt idx="0">
                        <c:v>2016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'onko_2012_-_2021_1'!$A$3:$A$9</c15:sqref>
                        </c15:formulaRef>
                      </c:ext>
                    </c:extLst>
                    <c:strCache>
                      <c:ptCount val="7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układu oddechowego</c:v>
                      </c:pt>
                      <c:pt idx="3">
                        <c:v>Nowotwory skóry</c:v>
                      </c:pt>
                      <c:pt idx="4">
                        <c:v>Nowotwory ginekologiczne</c:v>
                      </c:pt>
                      <c:pt idx="5">
                        <c:v>Nowotwory układu pokarmowego</c:v>
                      </c:pt>
                      <c:pt idx="6">
                        <c:v>Nowotwory układu endokrynnego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'onko_2012_-_2021_1'!$G$3:$G$9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3</c:v>
                      </c:pt>
                      <c:pt idx="2">
                        <c:v>1</c:v>
                      </c:pt>
                      <c:pt idx="3">
                        <c:v>2</c:v>
                      </c:pt>
                      <c:pt idx="4">
                        <c:v>2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02C9-45F2-BAAC-BF437E2C318E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'onko_2012_-_2021_1'!$H$2</c15:sqref>
                        </c15:formulaRef>
                      </c:ext>
                    </c:extLst>
                    <c:strCache>
                      <c:ptCount val="1"/>
                      <c:pt idx="0">
                        <c:v>2015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'onko_2012_-_2021_1'!$A$3:$A$9</c15:sqref>
                        </c15:formulaRef>
                      </c:ext>
                    </c:extLst>
                    <c:strCache>
                      <c:ptCount val="7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układu oddechowego</c:v>
                      </c:pt>
                      <c:pt idx="3">
                        <c:v>Nowotwory skóry</c:v>
                      </c:pt>
                      <c:pt idx="4">
                        <c:v>Nowotwory ginekologiczne</c:v>
                      </c:pt>
                      <c:pt idx="5">
                        <c:v>Nowotwory układu pokarmowego</c:v>
                      </c:pt>
                      <c:pt idx="6">
                        <c:v>Nowotwory układu endokrynnego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'onko_2012_-_2021_1'!$H$3:$H$9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3</c:v>
                      </c:pt>
                      <c:pt idx="1">
                        <c:v>5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1</c:v>
                      </c:pt>
                      <c:pt idx="5">
                        <c:v>4</c:v>
                      </c:pt>
                      <c:pt idx="6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02C9-45F2-BAAC-BF437E2C318E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'onko_2012_-_2021_1'!$I$2</c15:sqref>
                        </c15:formulaRef>
                      </c:ext>
                    </c:extLst>
                    <c:strCache>
                      <c:ptCount val="1"/>
                      <c:pt idx="0">
                        <c:v>2014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'onko_2012_-_2021_1'!$A$3:$A$9</c15:sqref>
                        </c15:formulaRef>
                      </c:ext>
                    </c:extLst>
                    <c:strCache>
                      <c:ptCount val="7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układu oddechowego</c:v>
                      </c:pt>
                      <c:pt idx="3">
                        <c:v>Nowotwory skóry</c:v>
                      </c:pt>
                      <c:pt idx="4">
                        <c:v>Nowotwory ginekologiczne</c:v>
                      </c:pt>
                      <c:pt idx="5">
                        <c:v>Nowotwory układu pokarmowego</c:v>
                      </c:pt>
                      <c:pt idx="6">
                        <c:v>Nowotwory układu endokrynnego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'onko_2012_-_2021_1'!$I$3:$I$9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10</c:v>
                      </c:pt>
                      <c:pt idx="1">
                        <c:v>4</c:v>
                      </c:pt>
                      <c:pt idx="2">
                        <c:v>1</c:v>
                      </c:pt>
                      <c:pt idx="3">
                        <c:v>2</c:v>
                      </c:pt>
                      <c:pt idx="4">
                        <c:v>1</c:v>
                      </c:pt>
                      <c:pt idx="5">
                        <c:v>6</c:v>
                      </c:pt>
                      <c:pt idx="6">
                        <c:v>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02C9-45F2-BAAC-BF437E2C318E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'onko_2012_-_2021_1'!$J$2</c15:sqref>
                        </c15:formulaRef>
                      </c:ext>
                    </c:extLst>
                    <c:strCache>
                      <c:ptCount val="1"/>
                      <c:pt idx="0">
                        <c:v>2013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'onko_2012_-_2021_1'!$A$3:$A$9</c15:sqref>
                        </c15:formulaRef>
                      </c:ext>
                    </c:extLst>
                    <c:strCache>
                      <c:ptCount val="7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układu oddechowego</c:v>
                      </c:pt>
                      <c:pt idx="3">
                        <c:v>Nowotwory skóry</c:v>
                      </c:pt>
                      <c:pt idx="4">
                        <c:v>Nowotwory ginekologiczne</c:v>
                      </c:pt>
                      <c:pt idx="5">
                        <c:v>Nowotwory układu pokarmowego</c:v>
                      </c:pt>
                      <c:pt idx="6">
                        <c:v>Nowotwory układu endokrynnego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'onko_2012_-_2021_1'!$J$3:$J$9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2</c:v>
                      </c:pt>
                      <c:pt idx="2">
                        <c:v>1</c:v>
                      </c:pt>
                      <c:pt idx="3">
                        <c:v>0</c:v>
                      </c:pt>
                      <c:pt idx="4">
                        <c:v>1</c:v>
                      </c:pt>
                      <c:pt idx="5">
                        <c:v>0</c:v>
                      </c:pt>
                      <c:pt idx="6">
                        <c:v>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02C9-45F2-BAAC-BF437E2C318E}"/>
                  </c:ext>
                </c:extLst>
              </c15:ser>
            </c15:filteredBarSeries>
            <c15:filteredB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'onko_2012_-_2021_1'!$K$2</c15:sqref>
                        </c15:formulaRef>
                      </c:ext>
                    </c:extLst>
                    <c:strCache>
                      <c:ptCount val="1"/>
                      <c:pt idx="0">
                        <c:v>2012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'onko_2012_-_2021_1'!$A$3:$A$9</c15:sqref>
                        </c15:formulaRef>
                      </c:ext>
                    </c:extLst>
                    <c:strCache>
                      <c:ptCount val="7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układu oddechowego</c:v>
                      </c:pt>
                      <c:pt idx="3">
                        <c:v>Nowotwory skóry</c:v>
                      </c:pt>
                      <c:pt idx="4">
                        <c:v>Nowotwory ginekologiczne</c:v>
                      </c:pt>
                      <c:pt idx="5">
                        <c:v>Nowotwory układu pokarmowego</c:v>
                      </c:pt>
                      <c:pt idx="6">
                        <c:v>Nowotwory układu endokrynnego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'onko_2012_-_2021_1'!$K$3:$K$9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3</c:v>
                      </c:pt>
                      <c:pt idx="1">
                        <c:v>0</c:v>
                      </c:pt>
                      <c:pt idx="2">
                        <c:v>2</c:v>
                      </c:pt>
                      <c:pt idx="3">
                        <c:v>0</c:v>
                      </c:pt>
                      <c:pt idx="4">
                        <c:v>2</c:v>
                      </c:pt>
                      <c:pt idx="5">
                        <c:v>0</c:v>
                      </c:pt>
                      <c:pt idx="6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02C9-45F2-BAAC-BF437E2C318E}"/>
                  </c:ext>
                </c:extLst>
              </c15:ser>
            </c15:filteredBarSeries>
          </c:ext>
        </c:extLst>
      </c:bar3DChart>
      <c:valAx>
        <c:axId val="7510541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1046271"/>
        <c:crosses val="autoZero"/>
        <c:crossBetween val="between"/>
        <c:majorUnit val="1"/>
      </c:valAx>
      <c:catAx>
        <c:axId val="751046271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105417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4651</Words>
  <Characters>27907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Oczkowski Mateusz</dc:creator>
  <dc:description/>
  <cp:lastModifiedBy>Królak-Buzakowska Joanna</cp:lastModifiedBy>
  <cp:revision>7</cp:revision>
  <dcterms:created xsi:type="dcterms:W3CDTF">2021-12-20T12:51:00Z</dcterms:created>
  <dcterms:modified xsi:type="dcterms:W3CDTF">2021-12-20T13:51:00Z</dcterms:modified>
</cp:coreProperties>
</file>