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E964A" w14:textId="77777777" w:rsidR="006312F0" w:rsidRDefault="006312F0" w:rsidP="00040340">
      <w:pPr>
        <w:pStyle w:val="Tytu"/>
        <w:jc w:val="center"/>
      </w:pPr>
    </w:p>
    <w:p w14:paraId="612859AA" w14:textId="77777777" w:rsidR="00805576" w:rsidRPr="00040340" w:rsidRDefault="00805576" w:rsidP="00040340">
      <w:pPr>
        <w:pStyle w:val="Tytu"/>
        <w:jc w:val="center"/>
      </w:pPr>
      <w:r w:rsidRPr="00040340">
        <w:t>WYTYCZNE DOTYCZĄCE PRAKTYKI</w:t>
      </w:r>
    </w:p>
    <w:p w14:paraId="6404C538" w14:textId="77777777" w:rsidR="00040340" w:rsidRPr="00040340" w:rsidRDefault="00040340" w:rsidP="00040340">
      <w:pPr>
        <w:pStyle w:val="Tytu"/>
        <w:jc w:val="center"/>
      </w:pPr>
      <w:r>
        <w:t>w</w:t>
      </w:r>
      <w:r w:rsidRPr="00040340">
        <w:t>ydane przez Prezesa Europejskiego Trybunału Praw Człowieka</w:t>
      </w:r>
      <w:r w:rsidR="00BC1A97">
        <w:t xml:space="preserve"> </w:t>
      </w:r>
      <w:r w:rsidR="00BC1A97">
        <w:br/>
        <w:t>(wyciąg)</w:t>
      </w:r>
    </w:p>
    <w:p w14:paraId="260ED5DA" w14:textId="77777777" w:rsidR="00040340" w:rsidRDefault="00040340" w:rsidP="00040340">
      <w:pPr>
        <w:pStyle w:val="Cytat"/>
        <w:tabs>
          <w:tab w:val="left" w:pos="420"/>
        </w:tabs>
        <w:spacing w:before="240" w:after="200"/>
        <w:jc w:val="center"/>
        <w:rPr>
          <w:i w:val="0"/>
          <w:sz w:val="32"/>
        </w:rPr>
      </w:pPr>
      <w:r w:rsidRPr="00040340">
        <w:rPr>
          <w:i w:val="0"/>
          <w:sz w:val="32"/>
        </w:rPr>
        <w:t xml:space="preserve">Stan na </w:t>
      </w:r>
      <w:r w:rsidR="00EC052B">
        <w:rPr>
          <w:i w:val="0"/>
          <w:sz w:val="32"/>
        </w:rPr>
        <w:t>01</w:t>
      </w:r>
      <w:r w:rsidRPr="00040340">
        <w:rPr>
          <w:i w:val="0"/>
          <w:sz w:val="32"/>
        </w:rPr>
        <w:t>.</w:t>
      </w:r>
      <w:r w:rsidR="00510B12">
        <w:rPr>
          <w:i w:val="0"/>
          <w:sz w:val="32"/>
        </w:rPr>
        <w:t>0</w:t>
      </w:r>
      <w:r w:rsidR="00EC052B">
        <w:rPr>
          <w:i w:val="0"/>
          <w:sz w:val="32"/>
        </w:rPr>
        <w:t>2</w:t>
      </w:r>
      <w:r w:rsidRPr="00040340">
        <w:rPr>
          <w:i w:val="0"/>
          <w:sz w:val="32"/>
        </w:rPr>
        <w:t>.20</w:t>
      </w:r>
      <w:r w:rsidR="00EC052B">
        <w:rPr>
          <w:i w:val="0"/>
          <w:sz w:val="32"/>
        </w:rPr>
        <w:t>22</w:t>
      </w:r>
      <w:r w:rsidRPr="00040340">
        <w:rPr>
          <w:i w:val="0"/>
          <w:sz w:val="32"/>
        </w:rPr>
        <w:t xml:space="preserve"> r.</w:t>
      </w:r>
    </w:p>
    <w:p w14:paraId="222EE43D" w14:textId="77777777" w:rsidR="006312F0" w:rsidRDefault="006312F0" w:rsidP="006312F0"/>
    <w:p w14:paraId="7BF6BC0B" w14:textId="77777777" w:rsidR="006312F0" w:rsidRPr="006312F0" w:rsidRDefault="006312F0" w:rsidP="006312F0"/>
    <w:p w14:paraId="4398E190" w14:textId="77777777" w:rsidR="00805576" w:rsidRPr="006A45ED" w:rsidRDefault="00805576" w:rsidP="00805576">
      <w:pPr>
        <w:pStyle w:val="Cytat"/>
        <w:tabs>
          <w:tab w:val="left" w:pos="420"/>
        </w:tabs>
        <w:spacing w:before="240" w:after="200"/>
        <w:rPr>
          <w:b/>
          <w:i w:val="0"/>
          <w:color w:val="0070C0"/>
          <w:sz w:val="28"/>
          <w:szCs w:val="28"/>
          <w:u w:val="single"/>
        </w:rPr>
      </w:pPr>
      <w:r w:rsidRPr="006A45ED">
        <w:rPr>
          <w:b/>
          <w:i w:val="0"/>
          <w:color w:val="0070C0"/>
          <w:sz w:val="28"/>
          <w:szCs w:val="28"/>
          <w:u w:val="single"/>
        </w:rPr>
        <w:t>Wnioski o środki tymczasowe</w:t>
      </w:r>
      <w:r w:rsidRPr="006A45ED">
        <w:rPr>
          <w:rStyle w:val="Odwoanieprzypisudolnego"/>
          <w:b/>
          <w:i w:val="0"/>
          <w:color w:val="0070C0"/>
          <w:sz w:val="28"/>
          <w:szCs w:val="28"/>
          <w:u w:val="single"/>
        </w:rPr>
        <w:footnoteReference w:id="2"/>
      </w:r>
    </w:p>
    <w:p w14:paraId="5B123CFC" w14:textId="77777777" w:rsidR="00805576" w:rsidRPr="00E160C8" w:rsidRDefault="00805576" w:rsidP="00805576">
      <w:pPr>
        <w:pStyle w:val="Cytat"/>
        <w:tabs>
          <w:tab w:val="left" w:pos="420"/>
        </w:tabs>
        <w:rPr>
          <w:b/>
          <w:i w:val="0"/>
        </w:rPr>
      </w:pPr>
      <w:r w:rsidRPr="00E160C8">
        <w:rPr>
          <w:b/>
          <w:i w:val="0"/>
        </w:rPr>
        <w:t>(Reguła 39 Regulaminu Trybunału)</w:t>
      </w:r>
    </w:p>
    <w:p w14:paraId="65BA6A0F" w14:textId="3CD3B17E" w:rsidR="00805576" w:rsidRPr="00E62059" w:rsidRDefault="00805576" w:rsidP="00805576">
      <w:pPr>
        <w:tabs>
          <w:tab w:val="left" w:pos="420"/>
        </w:tabs>
        <w:spacing w:before="60" w:after="0" w:line="240" w:lineRule="auto"/>
      </w:pPr>
      <w:r>
        <w:t xml:space="preserve">Zgodnie z </w:t>
      </w:r>
      <w:r w:rsidR="00EC052B">
        <w:t xml:space="preserve">Regułą </w:t>
      </w:r>
      <w:r>
        <w:t xml:space="preserve">39 Regulaminu Trybunału, Trybunał </w:t>
      </w:r>
      <w:r w:rsidRPr="00E62059">
        <w:t>może wydać środk</w:t>
      </w:r>
      <w:r>
        <w:t>i</w:t>
      </w:r>
      <w:r w:rsidRPr="00E62059">
        <w:t xml:space="preserve"> tymczasow</w:t>
      </w:r>
      <w:r>
        <w:t>e</w:t>
      </w:r>
      <w:r w:rsidRPr="00E62059">
        <w:t>, któr</w:t>
      </w:r>
      <w:r>
        <w:t>e</w:t>
      </w:r>
      <w:r w:rsidRPr="00E62059">
        <w:t xml:space="preserve"> wiąż</w:t>
      </w:r>
      <w:r>
        <w:t>ą</w:t>
      </w:r>
      <w:r w:rsidRPr="00E62059">
        <w:t xml:space="preserve"> zainteresowane Państwo. Środki tymczasowe stosuje się tylko w wyjątkowych przypadkach.</w:t>
      </w:r>
    </w:p>
    <w:p w14:paraId="3B83AB79" w14:textId="19A29DE4" w:rsidR="00805576" w:rsidRPr="00E62059" w:rsidRDefault="00805576" w:rsidP="00805576">
      <w:pPr>
        <w:tabs>
          <w:tab w:val="left" w:pos="420"/>
        </w:tabs>
        <w:spacing w:before="60" w:after="0" w:line="240" w:lineRule="auto"/>
      </w:pPr>
      <w:r w:rsidRPr="00E62059">
        <w:t xml:space="preserve">Trybunał </w:t>
      </w:r>
      <w:r>
        <w:t xml:space="preserve">nałoży </w:t>
      </w:r>
      <w:r w:rsidRPr="00E62059">
        <w:t xml:space="preserve">środek tymczasowy </w:t>
      </w:r>
      <w:r>
        <w:t xml:space="preserve">na dane </w:t>
      </w:r>
      <w:r w:rsidRPr="00E62059">
        <w:t>Państw</w:t>
      </w:r>
      <w:r>
        <w:t>o-Stronę</w:t>
      </w:r>
      <w:r w:rsidR="00EC052B">
        <w:t xml:space="preserve"> jedynie</w:t>
      </w:r>
      <w:r w:rsidR="002A3335">
        <w:t xml:space="preserve"> wówczas</w:t>
      </w:r>
      <w:r w:rsidRPr="00E62059">
        <w:t>, gdy po ocenie wszystkich właściwych informacji uzna, że skarżącemu zagraża realna, poważna, nieodwracalna szkoda w przypadku niezastosowania tego środka.</w:t>
      </w:r>
    </w:p>
    <w:p w14:paraId="45561B9F" w14:textId="204D0325" w:rsidR="00805576" w:rsidRPr="00E62059" w:rsidRDefault="00805576" w:rsidP="00805576">
      <w:pPr>
        <w:tabs>
          <w:tab w:val="left" w:pos="420"/>
        </w:tabs>
        <w:spacing w:before="60" w:after="0" w:line="240" w:lineRule="auto"/>
      </w:pPr>
      <w:r w:rsidRPr="00E62059">
        <w:t>Skarżący lub ich prawni przedstawiciele</w:t>
      </w:r>
      <w:r>
        <w:rPr>
          <w:rStyle w:val="Odwoanieprzypisudolnego"/>
        </w:rPr>
        <w:footnoteReference w:id="3"/>
      </w:r>
      <w:r w:rsidRPr="00E62059">
        <w:t>, którzy występują z wnioskiem o zastosowanie</w:t>
      </w:r>
      <w:r>
        <w:t xml:space="preserve"> środka tymczasowego zgodnie z </w:t>
      </w:r>
      <w:r w:rsidR="002A3CCA">
        <w:t>R</w:t>
      </w:r>
      <w:r w:rsidR="002A3CCA" w:rsidRPr="00E62059">
        <w:t xml:space="preserve">egułą </w:t>
      </w:r>
      <w:r w:rsidRPr="00E62059">
        <w:t>39 Regulaminu Trybu</w:t>
      </w:r>
      <w:r>
        <w:t>nału</w:t>
      </w:r>
      <w:r w:rsidR="002A3CCA">
        <w:t>,</w:t>
      </w:r>
      <w:r>
        <w:t xml:space="preserve"> powinni działać zgodnie z </w:t>
      </w:r>
      <w:r w:rsidRPr="00E62059">
        <w:t>poniżej wskazanymi wymogami.</w:t>
      </w:r>
    </w:p>
    <w:p w14:paraId="136E745D" w14:textId="77777777" w:rsidR="00805576" w:rsidRPr="00E62059" w:rsidRDefault="00805576" w:rsidP="00805576">
      <w:pPr>
        <w:pStyle w:val="Nagwek1"/>
        <w:numPr>
          <w:ilvl w:val="0"/>
          <w:numId w:val="2"/>
        </w:numPr>
        <w:tabs>
          <w:tab w:val="left" w:pos="420"/>
        </w:tabs>
        <w:spacing w:line="240" w:lineRule="auto"/>
        <w:ind w:left="284" w:hanging="284"/>
      </w:pPr>
      <w:r>
        <w:t>Załączane dane</w:t>
      </w:r>
    </w:p>
    <w:p w14:paraId="0F72BFD9" w14:textId="1510FDEF" w:rsidR="00805576" w:rsidRPr="00E62059" w:rsidRDefault="00805576" w:rsidP="00805576">
      <w:pPr>
        <w:tabs>
          <w:tab w:val="left" w:pos="420"/>
        </w:tabs>
        <w:spacing w:before="60" w:after="0" w:line="240" w:lineRule="auto"/>
      </w:pPr>
      <w:r w:rsidRPr="00E62059">
        <w:t>Każdy wniosek składany do Trybunału musi</w:t>
      </w:r>
      <w:r>
        <w:t xml:space="preserve"> zawierać </w:t>
      </w:r>
      <w:r w:rsidRPr="00E160C8">
        <w:rPr>
          <w:u w:val="single"/>
        </w:rPr>
        <w:t>uzasadnienie</w:t>
      </w:r>
      <w:r w:rsidRPr="00E62059">
        <w:t xml:space="preserve">. Skarżący </w:t>
      </w:r>
      <w:r>
        <w:t>powinien w</w:t>
      </w:r>
      <w:r w:rsidR="00D77A76">
        <w:t> </w:t>
      </w:r>
      <w:r>
        <w:t xml:space="preserve">szczególności określić dokładnie </w:t>
      </w:r>
      <w:r w:rsidRPr="00E62059">
        <w:t xml:space="preserve">podstawy, na których jego obawy są oparte, charakter podnoszonych zagrożeń oraz </w:t>
      </w:r>
      <w:r>
        <w:t xml:space="preserve">przepisy </w:t>
      </w:r>
      <w:r w:rsidRPr="00E62059">
        <w:t>Konwencji, których naruszenie zarzuca.</w:t>
      </w:r>
    </w:p>
    <w:p w14:paraId="403693D1" w14:textId="77777777" w:rsidR="00805576" w:rsidRPr="00E62059" w:rsidRDefault="00805576" w:rsidP="00805576">
      <w:pPr>
        <w:tabs>
          <w:tab w:val="left" w:pos="420"/>
        </w:tabs>
        <w:spacing w:before="60" w:after="0" w:line="240" w:lineRule="auto"/>
      </w:pPr>
      <w:r w:rsidRPr="00E62059">
        <w:t xml:space="preserve">Samo odesłanie do argumentacji zawartej w innych dokumentach lub w postępowaniu krajowym nie jest wystarczające. </w:t>
      </w:r>
      <w:r>
        <w:t xml:space="preserve">Konieczne </w:t>
      </w:r>
      <w:r w:rsidRPr="00E62059">
        <w:t xml:space="preserve">jest, aby do wniosku załączyć wszystkie niezbędne potwierdzające dokumenty, </w:t>
      </w:r>
      <w:r w:rsidRPr="00E160C8">
        <w:rPr>
          <w:u w:val="single"/>
        </w:rPr>
        <w:t>w szczególności właściwe orzeczenia krajowego sądu, trybunału lub inne decyzje</w:t>
      </w:r>
      <w:r w:rsidRPr="00E62059">
        <w:t xml:space="preserve"> wraz z pozostałą dokumentacją uzasadniającą twierdzenia skarżącego.</w:t>
      </w:r>
    </w:p>
    <w:p w14:paraId="08D1844F" w14:textId="77777777" w:rsidR="00805576" w:rsidRPr="00E62059" w:rsidRDefault="00805576" w:rsidP="00805576">
      <w:pPr>
        <w:tabs>
          <w:tab w:val="left" w:pos="420"/>
        </w:tabs>
        <w:spacing w:before="60" w:after="0" w:line="240" w:lineRule="auto"/>
      </w:pPr>
      <w:r w:rsidRPr="00E62059">
        <w:t xml:space="preserve">W przypadku, gdy wniosek o zastosowanie środka tymczasowego jest niekompletny, Trybunał nie jest zobowiązany kontaktować się </w:t>
      </w:r>
      <w:r>
        <w:t>ze skarżącymi,</w:t>
      </w:r>
      <w:r w:rsidRPr="00E62059">
        <w:t xml:space="preserve"> a wnioski niezawierające informacji niezbęd</w:t>
      </w:r>
      <w:r>
        <w:t>nych do podjęcia decyzji nie s</w:t>
      </w:r>
      <w:r w:rsidRPr="00E62059">
        <w:t>ą co do zasady przedkładane do decyzji.</w:t>
      </w:r>
    </w:p>
    <w:p w14:paraId="68CD73D5" w14:textId="77777777" w:rsidR="00805576" w:rsidRPr="00E62059" w:rsidRDefault="00805576" w:rsidP="00805576">
      <w:pPr>
        <w:tabs>
          <w:tab w:val="left" w:pos="420"/>
        </w:tabs>
        <w:spacing w:before="60" w:after="0" w:line="240" w:lineRule="auto"/>
      </w:pPr>
      <w:r w:rsidRPr="00E62059">
        <w:lastRenderedPageBreak/>
        <w:t xml:space="preserve">Jeżeli sprawa jest </w:t>
      </w:r>
      <w:r w:rsidR="002A3CCA">
        <w:t xml:space="preserve">już </w:t>
      </w:r>
      <w:r w:rsidRPr="00E62059">
        <w:t>zawisła przed Trybunałem, należy wskazać sygnaturę przypisaną skardze.</w:t>
      </w:r>
    </w:p>
    <w:p w14:paraId="2CE1A7DE" w14:textId="457E6A26" w:rsidR="00805576" w:rsidRPr="00E62059" w:rsidRDefault="00805576" w:rsidP="00805576">
      <w:pPr>
        <w:tabs>
          <w:tab w:val="left" w:pos="420"/>
        </w:tabs>
        <w:spacing w:before="60" w:after="0" w:line="240" w:lineRule="auto"/>
      </w:pPr>
      <w:r w:rsidRPr="00E62059">
        <w:t>W sprawach dotyczą</w:t>
      </w:r>
      <w:r w:rsidR="002A3CCA">
        <w:t>cych ekstradycji lub deportacji</w:t>
      </w:r>
      <w:r w:rsidRPr="00E62059">
        <w:t xml:space="preserve"> należy szczegółowo wskazać dane dotyczące oczekiwanej </w:t>
      </w:r>
      <w:r w:rsidRPr="002A3CCA">
        <w:rPr>
          <w:u w:val="single"/>
        </w:rPr>
        <w:t>daty i czasu</w:t>
      </w:r>
      <w:r w:rsidRPr="00E62059">
        <w:t xml:space="preserve"> wydania lub wydalenia, adresu skarżącego lub miejsca pozbawienia wolności oraz urzędową sygnaturę jego sprawy. Należy najszybciej jak to możliwe zawiadamiać Trybunał o każdej zmianie tych danych (daty i czasu w</w:t>
      </w:r>
      <w:r>
        <w:t>ydania lub wydalenia, adresu itd</w:t>
      </w:r>
      <w:r w:rsidRPr="00E62059">
        <w:t>.).</w:t>
      </w:r>
    </w:p>
    <w:p w14:paraId="67F1C24B" w14:textId="77777777" w:rsidR="00805576" w:rsidRPr="00E62059" w:rsidRDefault="00805576" w:rsidP="00805576">
      <w:pPr>
        <w:tabs>
          <w:tab w:val="left" w:pos="420"/>
        </w:tabs>
        <w:spacing w:before="60" w:after="0" w:line="240" w:lineRule="auto"/>
      </w:pPr>
      <w:r w:rsidRPr="00E62059">
        <w:t>Trybunał może orzec o podjęciu decyzji w sprawie dopuszczalności danej sprawy równocześnie z rozpatrzeniem wniosku o zastosowanie środków tymczasowych.</w:t>
      </w:r>
    </w:p>
    <w:p w14:paraId="40B79E7F" w14:textId="77777777" w:rsidR="00805576" w:rsidRPr="00E62059" w:rsidRDefault="00805576" w:rsidP="00805576">
      <w:pPr>
        <w:pStyle w:val="Nagwek1"/>
        <w:numPr>
          <w:ilvl w:val="0"/>
          <w:numId w:val="2"/>
        </w:numPr>
        <w:tabs>
          <w:tab w:val="left" w:pos="420"/>
        </w:tabs>
        <w:spacing w:line="240" w:lineRule="auto"/>
        <w:ind w:left="284" w:hanging="284"/>
      </w:pPr>
      <w:r w:rsidRPr="00E62059">
        <w:t xml:space="preserve">Składanie wniosków </w:t>
      </w:r>
      <w:r>
        <w:t>faksem lub pocztą</w:t>
      </w:r>
      <w:r>
        <w:rPr>
          <w:rStyle w:val="Odwoanieprzypisudolnego"/>
        </w:rPr>
        <w:footnoteReference w:id="4"/>
      </w:r>
    </w:p>
    <w:p w14:paraId="5F485383" w14:textId="1DBB0721" w:rsidR="00805576" w:rsidRPr="00E62059" w:rsidRDefault="00805576" w:rsidP="00805576">
      <w:pPr>
        <w:tabs>
          <w:tab w:val="left" w:pos="420"/>
        </w:tabs>
        <w:spacing w:beforeLines="60" w:before="144" w:after="0" w:line="240" w:lineRule="auto"/>
      </w:pPr>
      <w:r w:rsidRPr="00E62059">
        <w:t xml:space="preserve">Wnioski o zastosowanie środków tymczasowych na podstawie </w:t>
      </w:r>
      <w:r w:rsidR="002A3CCA">
        <w:t>R</w:t>
      </w:r>
      <w:r w:rsidR="002A3CCA" w:rsidRPr="00E62059">
        <w:t xml:space="preserve">eguły </w:t>
      </w:r>
      <w:r w:rsidRPr="00E62059">
        <w:t xml:space="preserve">39 należy przesyłać </w:t>
      </w:r>
      <w:r w:rsidRPr="00E62059">
        <w:rPr>
          <w:u w:val="single"/>
        </w:rPr>
        <w:t>telefaksem lub pocztą.</w:t>
      </w:r>
      <w:r w:rsidRPr="00E62059">
        <w:t xml:space="preserve"> </w:t>
      </w:r>
      <w:r w:rsidRPr="00E62059">
        <w:rPr>
          <w:u w:val="single"/>
        </w:rPr>
        <w:t>Trybunał nie będzie rozpatrywał wniosków wysłanych pocztą elektroniczną</w:t>
      </w:r>
      <w:r w:rsidRPr="00E62059">
        <w:t>. Wniosek powinien zostać sporządzon</w:t>
      </w:r>
      <w:r>
        <w:t>y, jeśli to możliwe, w jednym z </w:t>
      </w:r>
      <w:r w:rsidRPr="00E62059">
        <w:t>urzędowych języków Układających się Stron. Wszystkie wnioski powinny być oznaczone pogrubioną czcionką na pierwszej stronie wniosku w następujący sposób:</w:t>
      </w:r>
    </w:p>
    <w:p w14:paraId="74B8BF93" w14:textId="2B0D2FDE" w:rsidR="00805576" w:rsidRPr="00E62059" w:rsidRDefault="00805576" w:rsidP="00805576">
      <w:pPr>
        <w:tabs>
          <w:tab w:val="left" w:pos="420"/>
        </w:tabs>
        <w:spacing w:beforeLines="60" w:before="144" w:after="0" w:line="240" w:lineRule="auto"/>
        <w:ind w:left="993"/>
        <w:rPr>
          <w:b/>
        </w:rPr>
      </w:pPr>
      <w:r w:rsidRPr="00E62059">
        <w:rPr>
          <w:b/>
        </w:rPr>
        <w:t>"Reguła 39</w:t>
      </w:r>
      <w:r w:rsidR="002A3CCA">
        <w:rPr>
          <w:b/>
        </w:rPr>
        <w:t xml:space="preserve"> – </w:t>
      </w:r>
      <w:r w:rsidRPr="00E62059">
        <w:rPr>
          <w:b/>
        </w:rPr>
        <w:t>Pilne</w:t>
      </w:r>
    </w:p>
    <w:p w14:paraId="6E9A5553" w14:textId="77777777" w:rsidR="00805576" w:rsidRPr="00E62059" w:rsidRDefault="00805576" w:rsidP="00805576">
      <w:pPr>
        <w:tabs>
          <w:tab w:val="left" w:pos="420"/>
        </w:tabs>
        <w:spacing w:beforeLines="60" w:before="144" w:after="0" w:line="240" w:lineRule="auto"/>
        <w:ind w:left="993"/>
        <w:rPr>
          <w:b/>
        </w:rPr>
      </w:pPr>
      <w:r w:rsidRPr="00E62059">
        <w:rPr>
          <w:b/>
        </w:rPr>
        <w:t>Osoba do kontaktu (nazwisko i dane kontaktowe):...</w:t>
      </w:r>
    </w:p>
    <w:p w14:paraId="31C832C9" w14:textId="77777777" w:rsidR="00805576" w:rsidRPr="002E44B6" w:rsidRDefault="00805576" w:rsidP="00805576">
      <w:pPr>
        <w:tabs>
          <w:tab w:val="left" w:pos="420"/>
        </w:tabs>
        <w:spacing w:beforeLines="60" w:before="144" w:after="0" w:line="240" w:lineRule="auto"/>
        <w:ind w:left="993"/>
        <w:rPr>
          <w:b/>
          <w:i/>
        </w:rPr>
      </w:pPr>
      <w:r w:rsidRPr="002E44B6">
        <w:rPr>
          <w:b/>
          <w:i/>
        </w:rPr>
        <w:t>[W sprawach ekstradycji lub deportacji]</w:t>
      </w:r>
    </w:p>
    <w:p w14:paraId="68511691" w14:textId="33F217F0" w:rsidR="00805576" w:rsidRPr="00E62059" w:rsidRDefault="00805576" w:rsidP="00805576">
      <w:pPr>
        <w:tabs>
          <w:tab w:val="left" w:pos="420"/>
        </w:tabs>
        <w:spacing w:beforeLines="60" w:before="144" w:after="0" w:line="240" w:lineRule="auto"/>
        <w:ind w:left="993"/>
        <w:rPr>
          <w:b/>
        </w:rPr>
      </w:pPr>
      <w:r w:rsidRPr="00E62059">
        <w:rPr>
          <w:b/>
        </w:rPr>
        <w:t>Data i czas wydania lub wydalenia oraz</w:t>
      </w:r>
      <w:r w:rsidR="00090EE5">
        <w:rPr>
          <w:b/>
        </w:rPr>
        <w:t xml:space="preserve"> miejsce przeznaczenia</w:t>
      </w:r>
      <w:r w:rsidRPr="00E62059">
        <w:rPr>
          <w:b/>
        </w:rPr>
        <w:t>:...</w:t>
      </w:r>
      <w:r w:rsidR="00090EE5">
        <w:rPr>
          <w:b/>
        </w:rPr>
        <w:t>”</w:t>
      </w:r>
      <w:r w:rsidRPr="00E62059">
        <w:rPr>
          <w:b/>
        </w:rPr>
        <w:t xml:space="preserve"> </w:t>
      </w:r>
    </w:p>
    <w:p w14:paraId="09DBB8CF" w14:textId="77777777" w:rsidR="00805576" w:rsidRPr="00E62059" w:rsidRDefault="00805576" w:rsidP="00805576">
      <w:pPr>
        <w:pStyle w:val="Nagwek1"/>
        <w:numPr>
          <w:ilvl w:val="0"/>
          <w:numId w:val="2"/>
        </w:numPr>
        <w:tabs>
          <w:tab w:val="left" w:pos="420"/>
        </w:tabs>
        <w:spacing w:beforeLines="60" w:before="144" w:line="240" w:lineRule="auto"/>
        <w:ind w:left="284" w:hanging="284"/>
      </w:pPr>
      <w:r w:rsidRPr="00E62059">
        <w:t>Składanie wniosków w odpowiednim czasie</w:t>
      </w:r>
    </w:p>
    <w:p w14:paraId="4D4D818A" w14:textId="51F205E6" w:rsidR="00805576" w:rsidRPr="00E62059" w:rsidRDefault="00805576" w:rsidP="00805576">
      <w:pPr>
        <w:tabs>
          <w:tab w:val="left" w:pos="420"/>
        </w:tabs>
        <w:spacing w:beforeLines="60" w:before="144" w:after="0" w:line="240" w:lineRule="auto"/>
      </w:pPr>
      <w:r w:rsidRPr="00E62059">
        <w:t xml:space="preserve">Wnioski o zastosowanie środków tymczasowych powinny być </w:t>
      </w:r>
      <w:r>
        <w:t xml:space="preserve"> przedkładane </w:t>
      </w:r>
      <w:r w:rsidRPr="00E62059">
        <w:rPr>
          <w:u w:val="single"/>
        </w:rPr>
        <w:t>tak szybko</w:t>
      </w:r>
      <w:r>
        <w:rPr>
          <w:u w:val="single"/>
        </w:rPr>
        <w:t>,</w:t>
      </w:r>
      <w:r w:rsidRPr="00E62059">
        <w:rPr>
          <w:u w:val="single"/>
        </w:rPr>
        <w:t xml:space="preserve"> jak to możliwe</w:t>
      </w:r>
      <w:r w:rsidRPr="00E62059">
        <w:t xml:space="preserve"> po wydaniu ostatecznej decyzji</w:t>
      </w:r>
      <w:r w:rsidR="00090EE5" w:rsidRPr="00090EE5">
        <w:t xml:space="preserve"> </w:t>
      </w:r>
      <w:r w:rsidR="00090EE5" w:rsidRPr="00E62059">
        <w:t>krajowej</w:t>
      </w:r>
      <w:r w:rsidRPr="00E62059">
        <w:t xml:space="preserve">, aby zapewnić Trybunałowi i jego Kancelarii wystarczający czas do zbadanie sprawy. Trybunał może nie być w stanie rozpatrzeć wniosków w sprawach o wydalenie lub ekstradycję, otrzymanych na mniej niż jeden dzień roboczy przed planowanym terminem </w:t>
      </w:r>
      <w:r w:rsidR="00090EE5">
        <w:t xml:space="preserve">wydania lub </w:t>
      </w:r>
      <w:r w:rsidRPr="00E62059">
        <w:t>wydalenia</w:t>
      </w:r>
      <w:r>
        <w:rPr>
          <w:rStyle w:val="Odwoanieprzypisudolnego"/>
        </w:rPr>
        <w:footnoteReference w:id="5"/>
      </w:r>
      <w:r w:rsidR="00090EE5">
        <w:t>.</w:t>
      </w:r>
    </w:p>
    <w:p w14:paraId="316F68A5" w14:textId="6AD08C5D" w:rsidR="00805576" w:rsidRPr="00E62059" w:rsidRDefault="00805576" w:rsidP="00805576">
      <w:pPr>
        <w:tabs>
          <w:tab w:val="left" w:pos="420"/>
        </w:tabs>
        <w:spacing w:beforeLines="60" w:before="144" w:after="0" w:line="240" w:lineRule="auto"/>
      </w:pPr>
      <w:r w:rsidRPr="00E62059">
        <w:t xml:space="preserve">Gdy zbliża się wydanie ostatecznej krajowej decyzji oraz istnieje ryzyko natychmiastowego jej wykonania, w szczególności w sprawach ekstradycji lub deportacji, skarżący i ich przedstawiciele powinni złożyć wniosek o zastosowanie środków tymczasowych bez oczekiwania na tę decyzję, wyraźnie wskazując datę, w której zostanie ona podjęta oraz zastrzeżenie, że składany wniosek </w:t>
      </w:r>
      <w:r w:rsidR="002A3335">
        <w:t>jest uzależniony od tego, czy ostateczna decyzja krajowa będzie negatywna.</w:t>
      </w:r>
    </w:p>
    <w:p w14:paraId="1A0E4FCB" w14:textId="77777777" w:rsidR="00805576" w:rsidRPr="00E62059" w:rsidRDefault="00805576" w:rsidP="00805576">
      <w:pPr>
        <w:pStyle w:val="Nagwek1"/>
        <w:numPr>
          <w:ilvl w:val="0"/>
          <w:numId w:val="2"/>
        </w:numPr>
        <w:tabs>
          <w:tab w:val="left" w:pos="420"/>
        </w:tabs>
        <w:spacing w:beforeLines="60" w:before="144" w:line="240" w:lineRule="auto"/>
        <w:ind w:left="284" w:hanging="284"/>
      </w:pPr>
      <w:r>
        <w:t xml:space="preserve"> </w:t>
      </w:r>
      <w:r w:rsidRPr="00E62059">
        <w:t>Środki krajowe o skutku zawieszającym</w:t>
      </w:r>
    </w:p>
    <w:p w14:paraId="3217EE05" w14:textId="0C73747D" w:rsidR="00805576" w:rsidRPr="00E62059" w:rsidRDefault="00805576" w:rsidP="00805576">
      <w:pPr>
        <w:tabs>
          <w:tab w:val="left" w:pos="420"/>
        </w:tabs>
        <w:spacing w:beforeLines="60" w:before="144" w:after="0" w:line="240" w:lineRule="auto"/>
      </w:pPr>
      <w:r w:rsidRPr="00E62059">
        <w:t>Trybunał nie jest sądem odwoławczym względem sądów kra</w:t>
      </w:r>
      <w:r>
        <w:t>jowych</w:t>
      </w:r>
      <w:r w:rsidR="00090EE5">
        <w:t>,</w:t>
      </w:r>
      <w:r>
        <w:t xml:space="preserve"> a skarżący w sprawach o </w:t>
      </w:r>
      <w:r w:rsidRPr="00E62059">
        <w:t>ekstradycję i wydalenie</w:t>
      </w:r>
      <w:r w:rsidR="00090EE5">
        <w:t>,</w:t>
      </w:r>
      <w:r w:rsidRPr="00E62059">
        <w:t xml:space="preserve"> zanim wyst</w:t>
      </w:r>
      <w:r>
        <w:t>ąpią do Trybunału z wnioskiem o </w:t>
      </w:r>
      <w:r w:rsidRPr="00E62059">
        <w:t>zastosowanie środków tymczasowych</w:t>
      </w:r>
      <w:r>
        <w:t xml:space="preserve">, </w:t>
      </w:r>
      <w:r w:rsidRPr="00E62059">
        <w:t xml:space="preserve">powinni korzystać z krajowych możliwości, które mogą </w:t>
      </w:r>
      <w:r>
        <w:t>do</w:t>
      </w:r>
      <w:r w:rsidRPr="00E62059">
        <w:t>prowadzić do</w:t>
      </w:r>
      <w:r w:rsidR="00D77A76">
        <w:t> </w:t>
      </w:r>
      <w:r w:rsidRPr="00E62059">
        <w:t xml:space="preserve">zawieszenia </w:t>
      </w:r>
      <w:r w:rsidR="00090EE5">
        <w:t xml:space="preserve">wydania lub </w:t>
      </w:r>
      <w:r w:rsidRPr="00E62059">
        <w:t xml:space="preserve">wydalenia. Jeżeli wnioskujący ma otwartą możliwość skorzystania </w:t>
      </w:r>
      <w:r w:rsidRPr="00E62059">
        <w:lastRenderedPageBreak/>
        <w:t>ze środków krajowych o skutku zawieszającym,</w:t>
      </w:r>
      <w:r>
        <w:t xml:space="preserve"> Trybunał nie stosuje </w:t>
      </w:r>
      <w:r w:rsidR="00090EE5">
        <w:t xml:space="preserve">Reguły </w:t>
      </w:r>
      <w:r>
        <w:t>39</w:t>
      </w:r>
      <w:r w:rsidRPr="00E62059">
        <w:t xml:space="preserve"> w celu zapobieżenia </w:t>
      </w:r>
      <w:r w:rsidR="005A7092">
        <w:t xml:space="preserve">wydaniu lub </w:t>
      </w:r>
      <w:r w:rsidRPr="00E62059">
        <w:t>wydaleniu.</w:t>
      </w:r>
    </w:p>
    <w:p w14:paraId="5B131666" w14:textId="77777777" w:rsidR="00805576" w:rsidRPr="00E62059" w:rsidRDefault="00805576" w:rsidP="00805576">
      <w:pPr>
        <w:pStyle w:val="Nagwek1"/>
        <w:numPr>
          <w:ilvl w:val="0"/>
          <w:numId w:val="2"/>
        </w:numPr>
        <w:tabs>
          <w:tab w:val="left" w:pos="420"/>
        </w:tabs>
        <w:spacing w:beforeLines="60" w:before="144" w:line="240" w:lineRule="auto"/>
        <w:ind w:left="284" w:hanging="284"/>
      </w:pPr>
      <w:r w:rsidRPr="00E62059">
        <w:t>Kontynuacja</w:t>
      </w:r>
    </w:p>
    <w:p w14:paraId="064F2611" w14:textId="281A5899" w:rsidR="00805576" w:rsidRPr="00E62059" w:rsidRDefault="00805576" w:rsidP="00805576">
      <w:pPr>
        <w:tabs>
          <w:tab w:val="left" w:pos="420"/>
        </w:tabs>
        <w:spacing w:beforeLines="60" w:before="144" w:after="0" w:line="240" w:lineRule="auto"/>
      </w:pPr>
      <w:r w:rsidRPr="00E62059">
        <w:t>Skarżący, którzy wystąpili z wnioskiem o zastosowani</w:t>
      </w:r>
      <w:r>
        <w:t>e środka tymczasowego zgodnie z </w:t>
      </w:r>
      <w:r w:rsidR="005A7092">
        <w:t>R</w:t>
      </w:r>
      <w:r w:rsidR="005A7092" w:rsidRPr="00E62059">
        <w:t xml:space="preserve">egułą </w:t>
      </w:r>
      <w:r w:rsidRPr="00E62059">
        <w:t xml:space="preserve">39, muszą zapewnić, że będą odpowiadać </w:t>
      </w:r>
      <w:r>
        <w:t>na korespondencję otrzymywaną z </w:t>
      </w:r>
      <w:r w:rsidRPr="00E62059">
        <w:t>Kancelarii Trybunału. W szczególności, w przypadku odmowy zastosowania środka tymczasowego, skarżący powinni informować Trybunał, czy życzą sobie dalszego rozpatrywania skargi. Jeżeli zastosowano środek tymczasowy, skarżący mają obowiązek regularnego i niezwłocznego informowania Trybunału o stanie jakiegokolwiek toczącego się postępowania krajowego. Niewywiązanie się z tego obowiązku może doprowadzić do skreślenia sprawy z listy spraw Trybunału.</w:t>
      </w:r>
    </w:p>
    <w:p w14:paraId="257419F1" w14:textId="77777777" w:rsidR="00805576" w:rsidRDefault="00805576" w:rsidP="00805576">
      <w:pPr>
        <w:spacing w:beforeLines="60" w:before="144" w:after="0" w:line="240" w:lineRule="auto"/>
        <w:jc w:val="left"/>
      </w:pPr>
      <w:r>
        <w:br w:type="page"/>
      </w:r>
    </w:p>
    <w:p w14:paraId="7213FC21" w14:textId="77777777" w:rsidR="00805576" w:rsidRPr="006A45ED" w:rsidRDefault="00805576" w:rsidP="00805576">
      <w:pPr>
        <w:pStyle w:val="Cytat"/>
        <w:tabs>
          <w:tab w:val="left" w:pos="420"/>
        </w:tabs>
        <w:spacing w:before="240" w:after="240"/>
        <w:rPr>
          <w:b/>
          <w:i w:val="0"/>
          <w:color w:val="0070C0"/>
          <w:sz w:val="28"/>
          <w:szCs w:val="28"/>
          <w:u w:val="single"/>
          <w:vertAlign w:val="superscript"/>
        </w:rPr>
      </w:pPr>
      <w:r w:rsidRPr="006A45ED">
        <w:rPr>
          <w:b/>
          <w:i w:val="0"/>
          <w:color w:val="0070C0"/>
          <w:sz w:val="28"/>
          <w:szCs w:val="28"/>
          <w:u w:val="single"/>
        </w:rPr>
        <w:lastRenderedPageBreak/>
        <w:t>Wszczęcie postępowania</w:t>
      </w:r>
      <w:r w:rsidRPr="006A45ED">
        <w:rPr>
          <w:i w:val="0"/>
          <w:color w:val="0070C0"/>
          <w:u w:val="single"/>
          <w:vertAlign w:val="superscript"/>
        </w:rPr>
        <w:footnoteReference w:id="6"/>
      </w:r>
    </w:p>
    <w:p w14:paraId="03BC6611" w14:textId="77777777" w:rsidR="00805576" w:rsidRPr="002E44B6" w:rsidRDefault="00805576" w:rsidP="00805576">
      <w:pPr>
        <w:pStyle w:val="Cytat"/>
        <w:tabs>
          <w:tab w:val="left" w:pos="420"/>
        </w:tabs>
        <w:spacing w:beforeLines="60" w:before="144"/>
        <w:rPr>
          <w:b/>
          <w:i w:val="0"/>
        </w:rPr>
      </w:pPr>
      <w:r>
        <w:rPr>
          <w:b/>
          <w:i w:val="0"/>
        </w:rPr>
        <w:t>(</w:t>
      </w:r>
      <w:r w:rsidRPr="002E44B6">
        <w:rPr>
          <w:b/>
          <w:i w:val="0"/>
        </w:rPr>
        <w:t xml:space="preserve">Skargi indywidualne wniesione zgodnie z </w:t>
      </w:r>
      <w:r>
        <w:rPr>
          <w:b/>
          <w:i w:val="0"/>
        </w:rPr>
        <w:t>a</w:t>
      </w:r>
      <w:r w:rsidRPr="002E44B6">
        <w:rPr>
          <w:b/>
          <w:i w:val="0"/>
        </w:rPr>
        <w:t>rtykułem 34 Konwencji</w:t>
      </w:r>
      <w:r>
        <w:rPr>
          <w:b/>
          <w:i w:val="0"/>
        </w:rPr>
        <w:t>)</w:t>
      </w:r>
    </w:p>
    <w:p w14:paraId="6DA45930" w14:textId="77777777" w:rsidR="00805576" w:rsidRPr="00E62059" w:rsidRDefault="00805576" w:rsidP="00805576">
      <w:pPr>
        <w:pStyle w:val="Nagwek1"/>
        <w:numPr>
          <w:ilvl w:val="0"/>
          <w:numId w:val="3"/>
        </w:numPr>
        <w:tabs>
          <w:tab w:val="left" w:pos="420"/>
        </w:tabs>
        <w:spacing w:beforeLines="60" w:before="144" w:line="240" w:lineRule="auto"/>
        <w:ind w:left="284" w:hanging="284"/>
      </w:pPr>
      <w:r w:rsidRPr="00E62059">
        <w:t>Kwestie ogólne</w:t>
      </w:r>
    </w:p>
    <w:p w14:paraId="54FE7D6C" w14:textId="5BC55F02" w:rsidR="00805576" w:rsidRPr="001E2DD4" w:rsidRDefault="00805576" w:rsidP="00805576">
      <w:pPr>
        <w:pStyle w:val="Akapitzlist"/>
        <w:numPr>
          <w:ilvl w:val="0"/>
          <w:numId w:val="4"/>
        </w:numPr>
        <w:spacing w:before="60" w:after="0" w:line="240" w:lineRule="auto"/>
        <w:contextualSpacing w:val="0"/>
      </w:pPr>
      <w:r w:rsidRPr="001E2DD4">
        <w:t xml:space="preserve">Skargę na podstawie </w:t>
      </w:r>
      <w:r>
        <w:t>a</w:t>
      </w:r>
      <w:r w:rsidRPr="001E2DD4">
        <w:t xml:space="preserve">rtykułu 34 Konwencji wnosi się na piśmie. Żadna skarga nie może być wniesiona telefonicznie. Z zastrzeżeniem postanowień </w:t>
      </w:r>
      <w:r w:rsidR="005A7092">
        <w:t>R</w:t>
      </w:r>
      <w:r w:rsidR="005A7092" w:rsidRPr="001E2DD4">
        <w:t xml:space="preserve">eguły </w:t>
      </w:r>
      <w:r w:rsidRPr="001E2DD4">
        <w:t>47 Regulaminu Trybunału, tylko kompletnie wypełniony formularz przer</w:t>
      </w:r>
      <w:r w:rsidR="005A7092">
        <w:t>ywa</w:t>
      </w:r>
      <w:r w:rsidRPr="001E2DD4">
        <w:t xml:space="preserve"> bieg </w:t>
      </w:r>
      <w:r w:rsidR="005A7092">
        <w:t>cztero</w:t>
      </w:r>
      <w:r w:rsidRPr="001E2DD4">
        <w:t xml:space="preserve">miesięcznego terminu do wniesienia skargi, ustanowionego w </w:t>
      </w:r>
      <w:r>
        <w:t>a</w:t>
      </w:r>
      <w:r w:rsidRPr="001E2DD4">
        <w:t xml:space="preserve">rtykule 35 </w:t>
      </w:r>
      <w:r w:rsidR="005A7092">
        <w:t>ustęp</w:t>
      </w:r>
      <w:r w:rsidRPr="001E2DD4">
        <w:t xml:space="preserve"> 1 Konwencji. Formularz skargi jest dostępny na stronie internetowej Trybunału</w:t>
      </w:r>
      <w:r w:rsidRPr="005D08AC">
        <w:rPr>
          <w:vertAlign w:val="superscript"/>
        </w:rPr>
        <w:footnoteReference w:id="7"/>
      </w:r>
      <w:r w:rsidRPr="001E2DD4">
        <w:t>. Skarżących zachęca się do</w:t>
      </w:r>
      <w:r w:rsidR="00D77A76">
        <w:t> </w:t>
      </w:r>
      <w:r w:rsidRPr="001E2DD4">
        <w:t>pobrania i wydrukowania formularza skargi zamiast kontaktowania się z Trybunałem w</w:t>
      </w:r>
      <w:r w:rsidR="00D77A76">
        <w:t> </w:t>
      </w:r>
      <w:r w:rsidRPr="001E2DD4">
        <w:t xml:space="preserve">celu otrzymania kopii papierowej formularza pocztą. W ten sposób skarżący zaoszczędzą czas i będą w korzystniejszej sytuacji </w:t>
      </w:r>
      <w:r w:rsidR="002E441F">
        <w:t>w odniesieniu do zachowania czter</w:t>
      </w:r>
      <w:r w:rsidRPr="001E2DD4">
        <w:t>omiesięcznego terminu. Pomoc w zakresie wypełniania poszczególnych pół jest dostępna online.</w:t>
      </w:r>
    </w:p>
    <w:p w14:paraId="421E8328" w14:textId="77777777" w:rsidR="00805576" w:rsidRPr="00E62059" w:rsidRDefault="00805576" w:rsidP="00805576">
      <w:pPr>
        <w:pStyle w:val="Akapitzlist"/>
        <w:numPr>
          <w:ilvl w:val="0"/>
          <w:numId w:val="4"/>
        </w:numPr>
        <w:spacing w:before="60" w:after="0" w:line="240" w:lineRule="auto"/>
        <w:contextualSpacing w:val="0"/>
      </w:pPr>
      <w:r w:rsidRPr="00E62059">
        <w:t xml:space="preserve">Skargę należy przesłać na następujący adres: </w:t>
      </w:r>
    </w:p>
    <w:p w14:paraId="279A7717" w14:textId="77777777" w:rsidR="00805576" w:rsidRPr="00E62059" w:rsidRDefault="00805576" w:rsidP="00805576">
      <w:pPr>
        <w:tabs>
          <w:tab w:val="left" w:pos="420"/>
        </w:tabs>
        <w:spacing w:before="60" w:after="0" w:line="240" w:lineRule="auto"/>
        <w:ind w:left="993"/>
        <w:rPr>
          <w:lang w:val="en-US"/>
        </w:rPr>
      </w:pPr>
      <w:r w:rsidRPr="00E62059">
        <w:rPr>
          <w:lang w:val="en-US"/>
        </w:rPr>
        <w:t>The Registrar</w:t>
      </w:r>
    </w:p>
    <w:p w14:paraId="6BD773DC" w14:textId="77777777" w:rsidR="00805576" w:rsidRPr="00E62059" w:rsidRDefault="00805576" w:rsidP="00805576">
      <w:pPr>
        <w:tabs>
          <w:tab w:val="left" w:pos="420"/>
        </w:tabs>
        <w:spacing w:before="60" w:after="0" w:line="240" w:lineRule="auto"/>
        <w:ind w:left="993"/>
        <w:rPr>
          <w:lang w:val="en-US"/>
        </w:rPr>
      </w:pPr>
      <w:r w:rsidRPr="00E62059">
        <w:rPr>
          <w:lang w:val="en-US"/>
        </w:rPr>
        <w:t>European Court of Human Rights</w:t>
      </w:r>
    </w:p>
    <w:p w14:paraId="4384BC34" w14:textId="77777777" w:rsidR="00805576" w:rsidRPr="00E62059" w:rsidRDefault="00805576" w:rsidP="00805576">
      <w:pPr>
        <w:tabs>
          <w:tab w:val="left" w:pos="420"/>
        </w:tabs>
        <w:spacing w:before="60" w:after="0" w:line="240" w:lineRule="auto"/>
        <w:ind w:left="993"/>
        <w:rPr>
          <w:lang w:val="en-US"/>
        </w:rPr>
      </w:pPr>
      <w:r w:rsidRPr="00E62059">
        <w:rPr>
          <w:lang w:val="en-US"/>
        </w:rPr>
        <w:t>Council of Europe</w:t>
      </w:r>
    </w:p>
    <w:p w14:paraId="5634E557" w14:textId="74D2471A" w:rsidR="00805576" w:rsidRDefault="00805576" w:rsidP="00805576">
      <w:pPr>
        <w:tabs>
          <w:tab w:val="left" w:pos="420"/>
        </w:tabs>
        <w:spacing w:before="60" w:after="0" w:line="240" w:lineRule="auto"/>
        <w:ind w:left="993"/>
        <w:rPr>
          <w:lang w:val="en-US"/>
        </w:rPr>
      </w:pPr>
      <w:r w:rsidRPr="00F459A9">
        <w:rPr>
          <w:lang w:val="en-US"/>
        </w:rPr>
        <w:t>F - 67075 STRASBOURG CEDEX</w:t>
      </w:r>
    </w:p>
    <w:p w14:paraId="464F1B43" w14:textId="77777777" w:rsidR="00805576" w:rsidRPr="00F459A9" w:rsidRDefault="002E441F" w:rsidP="00805576">
      <w:pPr>
        <w:tabs>
          <w:tab w:val="left" w:pos="420"/>
        </w:tabs>
        <w:spacing w:before="60" w:after="0" w:line="240" w:lineRule="auto"/>
        <w:ind w:left="993"/>
        <w:rPr>
          <w:lang w:val="en-US"/>
        </w:rPr>
      </w:pPr>
      <w:r>
        <w:rPr>
          <w:lang w:val="en-US"/>
        </w:rPr>
        <w:t>FRANCE</w:t>
      </w:r>
    </w:p>
    <w:p w14:paraId="63D5BF51" w14:textId="5F7B37BB" w:rsidR="00805576" w:rsidRPr="00E62059" w:rsidRDefault="00805576" w:rsidP="00805576">
      <w:pPr>
        <w:pStyle w:val="Akapitzlist"/>
        <w:numPr>
          <w:ilvl w:val="0"/>
          <w:numId w:val="4"/>
        </w:numPr>
        <w:spacing w:before="60" w:after="0" w:line="240" w:lineRule="auto"/>
        <w:contextualSpacing w:val="0"/>
      </w:pPr>
      <w:r w:rsidRPr="00E62059">
        <w:t xml:space="preserve">Skargi wysłane faksem nie przerywają biegu </w:t>
      </w:r>
      <w:r w:rsidR="002E441F">
        <w:t>czter</w:t>
      </w:r>
      <w:r w:rsidRPr="00E62059">
        <w:t>omiesięcznego terminu określonego w</w:t>
      </w:r>
      <w:r w:rsidR="00D77A76">
        <w:t> </w:t>
      </w:r>
      <w:r>
        <w:t>a</w:t>
      </w:r>
      <w:r w:rsidRPr="00E62059">
        <w:t>rtykule 35 ust</w:t>
      </w:r>
      <w:r w:rsidR="002E441F">
        <w:t>ęp</w:t>
      </w:r>
      <w:r w:rsidRPr="00E62059">
        <w:t xml:space="preserve"> 1 Konwencji. Skarżący muszą również wysłać podpisany oryginał</w:t>
      </w:r>
      <w:r>
        <w:t xml:space="preserve"> </w:t>
      </w:r>
      <w:r w:rsidRPr="00E62059">
        <w:t xml:space="preserve">pocztą w tym samym, </w:t>
      </w:r>
      <w:r w:rsidR="002E441F">
        <w:t>cztero</w:t>
      </w:r>
      <w:r w:rsidRPr="00E62059">
        <w:t>miesięcznym terminie.</w:t>
      </w:r>
    </w:p>
    <w:p w14:paraId="1A19686F" w14:textId="7F0B1BFD" w:rsidR="00805576" w:rsidRPr="00E62059" w:rsidRDefault="00805576" w:rsidP="00805576">
      <w:pPr>
        <w:pStyle w:val="Akapitzlist"/>
        <w:numPr>
          <w:ilvl w:val="0"/>
          <w:numId w:val="4"/>
        </w:numPr>
        <w:spacing w:before="60" w:after="0" w:line="240" w:lineRule="auto"/>
        <w:contextualSpacing w:val="0"/>
      </w:pPr>
      <w:r>
        <w:t xml:space="preserve">Skarżący powinien zachować należytą staranność </w:t>
      </w:r>
      <w:r w:rsidRPr="00E62059">
        <w:t>w korespondencji z Kancelarią Trybunału.</w:t>
      </w:r>
      <w:r>
        <w:t xml:space="preserve"> </w:t>
      </w:r>
      <w:r w:rsidRPr="00E62059">
        <w:t>Zwłoka w odpowiedzi lub nieudzielenie odpowiedzi może zostać uznane za</w:t>
      </w:r>
      <w:r w:rsidR="00D77A76">
        <w:t> </w:t>
      </w:r>
      <w:r w:rsidRPr="00E62059">
        <w:t>okolicznoś</w:t>
      </w:r>
      <w:r>
        <w:t>ć świadczącą o tym, że skarżący</w:t>
      </w:r>
      <w:r w:rsidRPr="00E62059">
        <w:t xml:space="preserve"> nie</w:t>
      </w:r>
      <w:r>
        <w:t xml:space="preserve"> jest już zainteresowany</w:t>
      </w:r>
      <w:r w:rsidRPr="00E62059">
        <w:t xml:space="preserve"> popieraniem skargi.</w:t>
      </w:r>
    </w:p>
    <w:p w14:paraId="5BC83447" w14:textId="77777777" w:rsidR="00805576" w:rsidRPr="001E2DD4" w:rsidRDefault="00805576" w:rsidP="00805576">
      <w:pPr>
        <w:pStyle w:val="Nagwek1"/>
        <w:numPr>
          <w:ilvl w:val="0"/>
          <w:numId w:val="3"/>
        </w:numPr>
        <w:tabs>
          <w:tab w:val="left" w:pos="420"/>
        </w:tabs>
        <w:spacing w:beforeLines="60" w:before="144" w:line="240" w:lineRule="auto"/>
        <w:ind w:left="284" w:hanging="284"/>
      </w:pPr>
      <w:r w:rsidRPr="001E2DD4">
        <w:t>Forma i treść</w:t>
      </w:r>
    </w:p>
    <w:p w14:paraId="2A8A6C59" w14:textId="4C1FBD76" w:rsidR="00805576" w:rsidRPr="00E62059" w:rsidRDefault="00805576" w:rsidP="00805576">
      <w:pPr>
        <w:pStyle w:val="Akapitzlist"/>
        <w:numPr>
          <w:ilvl w:val="0"/>
          <w:numId w:val="4"/>
        </w:numPr>
        <w:spacing w:before="60" w:after="0" w:line="240" w:lineRule="auto"/>
        <w:contextualSpacing w:val="0"/>
      </w:pPr>
      <w:r w:rsidRPr="00E62059">
        <w:t xml:space="preserve">Argumentacja </w:t>
      </w:r>
      <w:r>
        <w:t xml:space="preserve">zawarta </w:t>
      </w:r>
      <w:r w:rsidRPr="00E62059">
        <w:t>w formularzu</w:t>
      </w:r>
      <w:r>
        <w:t xml:space="preserve"> skargi</w:t>
      </w:r>
      <w:r w:rsidRPr="00E62059">
        <w:t xml:space="preserve"> dotycząca stanu faktycznego, zarzutów oraz spełnienia wymogu wyczerpania krajowych środków odwoławczych i zachowania terminu określonego w </w:t>
      </w:r>
      <w:r>
        <w:t>a</w:t>
      </w:r>
      <w:r w:rsidR="002E441F">
        <w:t>rtykule 35 ustęp 1</w:t>
      </w:r>
      <w:r w:rsidRPr="00E62059">
        <w:t xml:space="preserve"> Konwencji musi </w:t>
      </w:r>
      <w:r>
        <w:t xml:space="preserve">być </w:t>
      </w:r>
      <w:r w:rsidRPr="00E62059">
        <w:t xml:space="preserve">przedstawiona z poszanowaniem warunków określonych w </w:t>
      </w:r>
      <w:r w:rsidR="002E441F">
        <w:t>R</w:t>
      </w:r>
      <w:r w:rsidR="002E441F" w:rsidRPr="00E62059">
        <w:t xml:space="preserve">egule </w:t>
      </w:r>
      <w:r w:rsidRPr="00E62059">
        <w:t>47 Regulaminu Trybunału. Jakiekolwiek dodatkowe informacje</w:t>
      </w:r>
      <w:r w:rsidR="002E441F">
        <w:t>,</w:t>
      </w:r>
      <w:r>
        <w:t xml:space="preserve"> prezentowane jako odrębny dokument,</w:t>
      </w:r>
      <w:r w:rsidRPr="00E62059">
        <w:t xml:space="preserve"> nie m</w:t>
      </w:r>
      <w:r>
        <w:t xml:space="preserve">ogą przekraczać 20 stron (zob. </w:t>
      </w:r>
      <w:r w:rsidR="002E441F">
        <w:t>R</w:t>
      </w:r>
      <w:r w:rsidR="002E441F" w:rsidRPr="00E62059">
        <w:t xml:space="preserve">eguła </w:t>
      </w:r>
      <w:r w:rsidRPr="00E62059">
        <w:t xml:space="preserve">47 </w:t>
      </w:r>
      <w:r w:rsidR="002E441F">
        <w:t>§</w:t>
      </w:r>
      <w:r w:rsidRPr="00E62059">
        <w:t xml:space="preserve"> 2</w:t>
      </w:r>
      <w:r w:rsidR="002E441F">
        <w:t xml:space="preserve"> lit. b)</w:t>
      </w:r>
      <w:r w:rsidRPr="00E62059">
        <w:t xml:space="preserve"> oraz powinny:</w:t>
      </w:r>
    </w:p>
    <w:p w14:paraId="1B6B6308" w14:textId="77777777" w:rsidR="00805576" w:rsidRPr="00E62059" w:rsidRDefault="00805576" w:rsidP="00805576">
      <w:pPr>
        <w:pStyle w:val="Akapitzlist"/>
        <w:numPr>
          <w:ilvl w:val="0"/>
          <w:numId w:val="13"/>
        </w:numPr>
        <w:tabs>
          <w:tab w:val="left" w:pos="420"/>
        </w:tabs>
        <w:spacing w:before="60" w:after="0" w:line="240" w:lineRule="auto"/>
        <w:contextualSpacing w:val="0"/>
      </w:pPr>
      <w:r w:rsidRPr="00E62059">
        <w:t xml:space="preserve">być </w:t>
      </w:r>
      <w:r>
        <w:t xml:space="preserve">zawarte </w:t>
      </w:r>
      <w:r w:rsidRPr="00E62059">
        <w:t>na s</w:t>
      </w:r>
      <w:r>
        <w:t>tronie o formacie A4 z marginesem nie mniejszym</w:t>
      </w:r>
      <w:r w:rsidRPr="00E62059">
        <w:t xml:space="preserve"> niż 3.5 cm;</w:t>
      </w:r>
    </w:p>
    <w:p w14:paraId="01C2F570" w14:textId="713ABC9B" w:rsidR="00805576" w:rsidRPr="00E62059" w:rsidRDefault="00805576" w:rsidP="00805576">
      <w:pPr>
        <w:pStyle w:val="Akapitzlist"/>
        <w:numPr>
          <w:ilvl w:val="0"/>
          <w:numId w:val="13"/>
        </w:numPr>
        <w:tabs>
          <w:tab w:val="left" w:pos="420"/>
        </w:tabs>
        <w:spacing w:before="60" w:after="0" w:line="240" w:lineRule="auto"/>
        <w:contextualSpacing w:val="0"/>
      </w:pPr>
      <w:r w:rsidRPr="00E62059">
        <w:t>być w całości czytelne, a jeśli są sporządzone pismem maszynowym, tekst główny powinien być sporządzony czcionką o rozmiarze</w:t>
      </w:r>
      <w:r w:rsidR="00D77A76">
        <w:t xml:space="preserve"> co najmniej</w:t>
      </w:r>
      <w:r w:rsidRPr="00E62059">
        <w:t xml:space="preserve"> 12 pkt, a w przypisach 10</w:t>
      </w:r>
      <w:r w:rsidR="00D77A76">
        <w:t> </w:t>
      </w:r>
      <w:r w:rsidRPr="00E62059">
        <w:t>pkt, natomiast odstęp między wi</w:t>
      </w:r>
      <w:r>
        <w:t>erszami powinien wynosić półtorej</w:t>
      </w:r>
      <w:r w:rsidRPr="00E62059">
        <w:t xml:space="preserve"> linii;</w:t>
      </w:r>
    </w:p>
    <w:p w14:paraId="2F4E80C3" w14:textId="77777777" w:rsidR="00805576" w:rsidRPr="00E62059" w:rsidRDefault="00805576" w:rsidP="00805576">
      <w:pPr>
        <w:pStyle w:val="Akapitzlist"/>
        <w:numPr>
          <w:ilvl w:val="0"/>
          <w:numId w:val="13"/>
        </w:numPr>
        <w:tabs>
          <w:tab w:val="left" w:pos="420"/>
        </w:tabs>
        <w:spacing w:before="60" w:after="0" w:line="240" w:lineRule="auto"/>
        <w:contextualSpacing w:val="0"/>
      </w:pPr>
      <w:r w:rsidRPr="00E62059">
        <w:lastRenderedPageBreak/>
        <w:t>wskazywać wszelkie liczby w cyfrach;</w:t>
      </w:r>
    </w:p>
    <w:p w14:paraId="71AE7FB9" w14:textId="77777777" w:rsidR="00805576" w:rsidRPr="00E62059" w:rsidRDefault="00805576" w:rsidP="00805576">
      <w:pPr>
        <w:pStyle w:val="Akapitzlist"/>
        <w:numPr>
          <w:ilvl w:val="0"/>
          <w:numId w:val="13"/>
        </w:numPr>
        <w:tabs>
          <w:tab w:val="left" w:pos="420"/>
        </w:tabs>
        <w:spacing w:before="60" w:after="0" w:line="240" w:lineRule="auto"/>
        <w:contextualSpacing w:val="0"/>
      </w:pPr>
      <w:r w:rsidRPr="00E62059">
        <w:t>mieć ponumerowane kolejno strony;</w:t>
      </w:r>
    </w:p>
    <w:p w14:paraId="4E66C69B" w14:textId="77777777" w:rsidR="00805576" w:rsidRPr="00E62059" w:rsidRDefault="00805576" w:rsidP="00805576">
      <w:pPr>
        <w:pStyle w:val="Akapitzlist"/>
        <w:numPr>
          <w:ilvl w:val="0"/>
          <w:numId w:val="13"/>
        </w:numPr>
        <w:tabs>
          <w:tab w:val="left" w:pos="420"/>
        </w:tabs>
        <w:spacing w:before="60" w:after="0" w:line="240" w:lineRule="auto"/>
        <w:contextualSpacing w:val="0"/>
      </w:pPr>
      <w:r w:rsidRPr="00E62059">
        <w:t>być podzielone na ponumerowane akapity;</w:t>
      </w:r>
    </w:p>
    <w:p w14:paraId="57DDFF73" w14:textId="2C60D3C4" w:rsidR="00805576" w:rsidRPr="00E62059" w:rsidRDefault="00805576" w:rsidP="00805576">
      <w:pPr>
        <w:pStyle w:val="Akapitzlist"/>
        <w:numPr>
          <w:ilvl w:val="0"/>
          <w:numId w:val="13"/>
        </w:numPr>
        <w:tabs>
          <w:tab w:val="left" w:pos="420"/>
        </w:tabs>
        <w:spacing w:before="60" w:after="0" w:line="240" w:lineRule="auto"/>
        <w:contextualSpacing w:val="0"/>
      </w:pPr>
      <w:r w:rsidRPr="00E62059">
        <w:t xml:space="preserve">być podzielone na działy odpowiadające </w:t>
      </w:r>
      <w:r w:rsidR="009B3095">
        <w:t>„</w:t>
      </w:r>
      <w:r w:rsidR="007B2914">
        <w:t>Faktom</w:t>
      </w:r>
      <w:r w:rsidR="009B3095">
        <w:t>", „</w:t>
      </w:r>
      <w:r w:rsidRPr="00E62059">
        <w:t>Zarzuto</w:t>
      </w:r>
      <w:r w:rsidR="009B3095">
        <w:t>m lub stwierdzeniom naruszeń", „</w:t>
      </w:r>
      <w:r w:rsidRPr="00E62059">
        <w:t xml:space="preserve">Informacji o wyczerpaniu krajowych środków odwoławczych oraz zachowaniu terminu określonego w </w:t>
      </w:r>
      <w:r>
        <w:t>a</w:t>
      </w:r>
      <w:r w:rsidRPr="00E62059">
        <w:t xml:space="preserve">rtykule 35 </w:t>
      </w:r>
      <w:r w:rsidR="007B2914">
        <w:t>ustęp</w:t>
      </w:r>
      <w:r>
        <w:t xml:space="preserve"> 1</w:t>
      </w:r>
      <w:r w:rsidRPr="00E62059">
        <w:t>".</w:t>
      </w:r>
    </w:p>
    <w:p w14:paraId="7A9DC221" w14:textId="77777777" w:rsidR="00805576" w:rsidRPr="00E62059" w:rsidRDefault="00805576" w:rsidP="00805576">
      <w:pPr>
        <w:pStyle w:val="Akapitzlist"/>
        <w:numPr>
          <w:ilvl w:val="0"/>
          <w:numId w:val="4"/>
        </w:numPr>
        <w:spacing w:before="60" w:after="0" w:line="240" w:lineRule="auto"/>
        <w:contextualSpacing w:val="0"/>
      </w:pPr>
      <w:r w:rsidRPr="00E62059">
        <w:t xml:space="preserve">Wszystkie </w:t>
      </w:r>
      <w:r w:rsidR="007B2914">
        <w:t xml:space="preserve">mające zastosowanie </w:t>
      </w:r>
      <w:r w:rsidRPr="00E62059">
        <w:t>pola w formularzu skargi muszą być wypełnione przy użyciu słów. Należy unikać stosowania symboli, znaków i skrótów. Należy składać słowne wyjaśnienie, nawet gdy odpowiedź jest negatywna lub pytanie wydaje się nieistotne.</w:t>
      </w:r>
    </w:p>
    <w:p w14:paraId="112D66A6" w14:textId="54618210" w:rsidR="00805576" w:rsidRDefault="00805576" w:rsidP="00805576">
      <w:pPr>
        <w:pStyle w:val="Akapitzlist"/>
        <w:numPr>
          <w:ilvl w:val="0"/>
          <w:numId w:val="4"/>
        </w:numPr>
        <w:spacing w:before="60" w:after="0" w:line="240" w:lineRule="auto"/>
        <w:contextualSpacing w:val="0"/>
      </w:pPr>
      <w:r>
        <w:t xml:space="preserve">Skarżący musi podać stan faktyczny, </w:t>
      </w:r>
      <w:r w:rsidR="007B2914">
        <w:t xml:space="preserve">swoje zarzuty </w:t>
      </w:r>
      <w:r>
        <w:t xml:space="preserve">oraz wyjaśnienie </w:t>
      </w:r>
      <w:r w:rsidR="009B3095">
        <w:t xml:space="preserve">dotyczące </w:t>
      </w:r>
      <w:r>
        <w:t xml:space="preserve">zgodności </w:t>
      </w:r>
      <w:r w:rsidR="009B3095">
        <w:t>z</w:t>
      </w:r>
      <w:r w:rsidR="00D77A76">
        <w:t> </w:t>
      </w:r>
      <w:r w:rsidR="009B3095">
        <w:t>kryteriami</w:t>
      </w:r>
      <w:r>
        <w:t xml:space="preserve"> dopuszczalności w podanym polu formularzu skargi. Informacje powinny być wystarczające do stwierdzenia przez Trybunał charakteru i zakresu skargi</w:t>
      </w:r>
      <w:r w:rsidR="007B2914">
        <w:t>,</w:t>
      </w:r>
      <w:r>
        <w:t xml:space="preserve"> a kompletnie wypełniony formularz skargi powinien być wystarczający. Nie jest dopuszczalne załączanie stanu faktycznego, zarzutów i zgodności do formularza skargi z lub bez wskazania „zobacz załącznik”. Wypełnienie tych informacji w formularzu skargi pozwala Trybunałowi na</w:t>
      </w:r>
      <w:r w:rsidR="00D77A76">
        <w:t> </w:t>
      </w:r>
      <w:r>
        <w:t>szybsze rozpatrzenie i przypisanie nadchodzących spraw. Dodatkowe wyjaśnienia, jeśli</w:t>
      </w:r>
      <w:r w:rsidR="00D77A76">
        <w:t> </w:t>
      </w:r>
      <w:r>
        <w:t xml:space="preserve">są konieczne, mogą być dołączone w oddzielnych dokumentach nieprzekraczających 20 stron: te jednak mogą stanowić </w:t>
      </w:r>
      <w:r w:rsidR="007B2914">
        <w:t xml:space="preserve">jedynie </w:t>
      </w:r>
      <w:r>
        <w:t xml:space="preserve">rozwinięcie, ale nie mogą zastępować stanu faktycznego, zarzutów i zgodności z kryteriami dopuszczalności, które musi zawierać sam formularz skargi. Formularz skargi nie zostanie uznany </w:t>
      </w:r>
      <w:r w:rsidR="00E10483">
        <w:t>z</w:t>
      </w:r>
      <w:r>
        <w:t xml:space="preserve">a zgodny z </w:t>
      </w:r>
      <w:r w:rsidR="00E10483">
        <w:t xml:space="preserve">Regułą </w:t>
      </w:r>
      <w:r>
        <w:t>47</w:t>
      </w:r>
      <w:r w:rsidR="00E10483">
        <w:t>,</w:t>
      </w:r>
      <w:r>
        <w:t xml:space="preserve"> jeśli te</w:t>
      </w:r>
      <w:r w:rsidR="00D77A76">
        <w:t> </w:t>
      </w:r>
      <w:r>
        <w:t>informacje nie zostaną w nim zawarte.</w:t>
      </w:r>
    </w:p>
    <w:p w14:paraId="15C7AF1F" w14:textId="77777777" w:rsidR="00805576" w:rsidRPr="00E62059" w:rsidRDefault="00805576" w:rsidP="00805576">
      <w:pPr>
        <w:pStyle w:val="Akapitzlist"/>
        <w:numPr>
          <w:ilvl w:val="0"/>
          <w:numId w:val="4"/>
        </w:numPr>
        <w:spacing w:before="60" w:after="0" w:line="240" w:lineRule="auto"/>
        <w:contextualSpacing w:val="0"/>
      </w:pPr>
      <w:r>
        <w:t xml:space="preserve">Osoba prawna (włączając firmy, organizacje pozarządowe oraz stowarzyszenia), wnosząca skargę do Trybunału musi zrobić to poprzez przedstawiciela osoby prawnej, który jest wskazany w odpowiedniej sekcji formularza skargi i który podaje dane kontaktowe, wyjaśniając swoje umocowanie albo związek z osobą prawną. Dowód umocowania przedstawiciel musi przekazać w formularzu skargi, na przykład poprzez wyciąg z rejestru Izby Gospodarczej albo protokół organu zarządzającego. Co do zasady przedstawiciel osoby prawnej nie jest pełnomocnikiem upoważnionym do reprezentowania skarżącego przed Trybunałem. Może być tak, że przedstawiciel osoby prawnej jest jednocześnie prawnikiem lub przedstawiciel prawny występuje dodatkowo jako pełnomocnik skarżącego. Nie zwalnia to jednak z obowiązku zarówno wypełnienia obu części formularza skargi dotyczącego przedstawicielstwa, jak i dołączenia niezbędnej dokumentacji poświadczającej o powyższym umocowaniu przedstawiciela osoby prawnej. </w:t>
      </w:r>
    </w:p>
    <w:p w14:paraId="2895F04F" w14:textId="5B4BEDB4" w:rsidR="00805576" w:rsidRDefault="00805576" w:rsidP="00805576">
      <w:pPr>
        <w:pStyle w:val="Akapitzlist"/>
        <w:numPr>
          <w:ilvl w:val="0"/>
          <w:numId w:val="4"/>
        </w:numPr>
        <w:spacing w:before="60" w:after="0" w:line="240" w:lineRule="auto"/>
        <w:contextualSpacing w:val="0"/>
      </w:pPr>
      <w:r>
        <w:t>Skarżący nie ma obowiązku korzystania z  reprezentacji prawnej we wstępnej fazie p</w:t>
      </w:r>
      <w:r w:rsidR="00E10483">
        <w:t>ostępowania</w:t>
      </w:r>
      <w:r>
        <w:t>. W przypadku gdy skarżący lub skarżąca korzysta z pełnomocnika, część formularza skargi dotycząca pełnomocnictwa musi zostać wypełniona. Zarówno skarżący, jak i pełnomocnik muszą podpisać tę część formularza. Odrębne pełnomocnictwo nie jest dopuszczalne na tym etapie z uwagi na fakt, iż Trybunał wymaga zawarcia wszystkich niezbędnych informacji w formularzu skargi. W przypadku, gdy stwierdzono, że uzyskanie podpisu skarżącego w części dotyczącej pełnomocnictwa w formularzu skargi nie jest możliwe z powodu praktycznych trudności, niemożliwych do pokonania, powinno to</w:t>
      </w:r>
      <w:r w:rsidR="00D77A76">
        <w:t> </w:t>
      </w:r>
      <w:r>
        <w:t>zostać wyjaśnione Trybunałowi i poparte dowodami. W</w:t>
      </w:r>
      <w:r w:rsidR="007B0960">
        <w:t>ymóg</w:t>
      </w:r>
      <w:r>
        <w:t xml:space="preserve"> niezwłocznego złożenia formularza skargi w </w:t>
      </w:r>
      <w:r w:rsidR="007B0960">
        <w:t xml:space="preserve">czteromiesięcznym terminie </w:t>
      </w:r>
      <w:r>
        <w:t>nie będzie akceptowany jako wystarczające wyjaśnienie.</w:t>
      </w:r>
    </w:p>
    <w:p w14:paraId="4E0D4A48" w14:textId="77777777" w:rsidR="00D77A76" w:rsidRDefault="00D77A76" w:rsidP="00D77A76">
      <w:pPr>
        <w:pStyle w:val="Akapitzlist"/>
        <w:spacing w:before="60" w:after="0" w:line="240" w:lineRule="auto"/>
        <w:ind w:left="360"/>
        <w:contextualSpacing w:val="0"/>
      </w:pPr>
    </w:p>
    <w:p w14:paraId="1B30DB72" w14:textId="77777777" w:rsidR="00805576" w:rsidRDefault="00805576" w:rsidP="00805576">
      <w:pPr>
        <w:pStyle w:val="Akapitzlist"/>
        <w:numPr>
          <w:ilvl w:val="0"/>
          <w:numId w:val="4"/>
        </w:numPr>
        <w:spacing w:before="60" w:after="0" w:line="240" w:lineRule="auto"/>
        <w:contextualSpacing w:val="0"/>
      </w:pPr>
      <w:r>
        <w:t>Formularz skargi musi być poparty przez odpowiednie dokumenty:</w:t>
      </w:r>
    </w:p>
    <w:p w14:paraId="3C5F6899" w14:textId="77777777" w:rsidR="00805576" w:rsidRDefault="00805576" w:rsidP="00805576">
      <w:pPr>
        <w:pStyle w:val="Bezodstpw"/>
        <w:numPr>
          <w:ilvl w:val="2"/>
          <w:numId w:val="1"/>
        </w:numPr>
        <w:spacing w:before="60"/>
        <w:ind w:left="709"/>
        <w:contextualSpacing w:val="0"/>
      </w:pPr>
      <w:r>
        <w:t xml:space="preserve">odnoszące się do zaskarżonych decyzji lub środków; </w:t>
      </w:r>
    </w:p>
    <w:p w14:paraId="333C9AA9" w14:textId="7A0D4CB0" w:rsidR="00805576" w:rsidRDefault="00805576" w:rsidP="00805576">
      <w:pPr>
        <w:pStyle w:val="Bezodstpw"/>
        <w:numPr>
          <w:ilvl w:val="2"/>
          <w:numId w:val="1"/>
        </w:numPr>
        <w:spacing w:before="60"/>
        <w:ind w:left="709"/>
        <w:contextualSpacing w:val="0"/>
      </w:pPr>
      <w:r>
        <w:t xml:space="preserve">poświadczające, że osoba skarżąca </w:t>
      </w:r>
      <w:r w:rsidR="007B0960">
        <w:t>wykorzystała</w:t>
      </w:r>
      <w:r>
        <w:t xml:space="preserve"> </w:t>
      </w:r>
      <w:r w:rsidR="007B0960">
        <w:t xml:space="preserve">dostępne </w:t>
      </w:r>
      <w:r>
        <w:t xml:space="preserve">krajowe </w:t>
      </w:r>
      <w:r w:rsidR="007B0960">
        <w:t xml:space="preserve">środki odwoławcze </w:t>
      </w:r>
      <w:r>
        <w:t xml:space="preserve">i spełnia wymóg </w:t>
      </w:r>
      <w:r w:rsidR="007B0960">
        <w:t>terminu do złożenia skargi zawarty</w:t>
      </w:r>
      <w:r>
        <w:t xml:space="preserve"> w artykule 35 ust</w:t>
      </w:r>
      <w:r w:rsidR="007B0960">
        <w:t>ęp</w:t>
      </w:r>
      <w:r>
        <w:t xml:space="preserve"> 1 Konwencji;</w:t>
      </w:r>
    </w:p>
    <w:p w14:paraId="37062082" w14:textId="4E6E0A1A" w:rsidR="00805576" w:rsidRDefault="00805576" w:rsidP="00805576">
      <w:pPr>
        <w:pStyle w:val="Bezodstpw"/>
        <w:numPr>
          <w:ilvl w:val="2"/>
          <w:numId w:val="1"/>
        </w:numPr>
        <w:spacing w:before="60"/>
        <w:ind w:left="709"/>
        <w:contextualSpacing w:val="0"/>
      </w:pPr>
      <w:r>
        <w:t xml:space="preserve">przedstawiające, jeśli </w:t>
      </w:r>
      <w:r w:rsidR="007B0960">
        <w:t>ma to zastosowanie</w:t>
      </w:r>
      <w:r>
        <w:t>, informacje dotyczące innych postępowań międzynarodowych.</w:t>
      </w:r>
    </w:p>
    <w:p w14:paraId="0119F046" w14:textId="4A4E0270" w:rsidR="00805576" w:rsidRDefault="00805576" w:rsidP="00805576">
      <w:pPr>
        <w:pStyle w:val="Bezodstpw"/>
        <w:numPr>
          <w:ilvl w:val="0"/>
          <w:numId w:val="0"/>
        </w:numPr>
        <w:spacing w:before="60"/>
        <w:contextualSpacing w:val="0"/>
      </w:pPr>
      <w:r>
        <w:t>W przypadku gdy skarżący nie jest w stanie przedłożyć kopii któregokolwiek z powyższych dokumentów, powinien przedstawić odpowiednie wyjaśnienie: stwierdzenie jedynie, że</w:t>
      </w:r>
      <w:r w:rsidR="00D77A76">
        <w:t> </w:t>
      </w:r>
      <w:r>
        <w:t xml:space="preserve">skarżący napotkał trudności (w uzyskaniu dokumentów) nie jest wystarczające, jeśli </w:t>
      </w:r>
      <w:r w:rsidR="00C0701B">
        <w:t xml:space="preserve">można zasadnie oczekiwać, </w:t>
      </w:r>
      <w:r>
        <w:t xml:space="preserve">by takie </w:t>
      </w:r>
      <w:r w:rsidR="00C0701B">
        <w:t xml:space="preserve">wyjaśnienie </w:t>
      </w:r>
      <w:r>
        <w:t xml:space="preserve">było poparte materiałami dowodowymi, takimi jak poświadczenie o ubóstwie, odmowa </w:t>
      </w:r>
      <w:r w:rsidR="00DD3816">
        <w:t>dostarczenia decyzji przez organ</w:t>
      </w:r>
      <w:r>
        <w:t xml:space="preserve"> administracji lub</w:t>
      </w:r>
      <w:r w:rsidR="00D77A76">
        <w:t> </w:t>
      </w:r>
      <w:r w:rsidR="00DD3816">
        <w:t xml:space="preserve">wykazanie </w:t>
      </w:r>
      <w:r>
        <w:t>w inny sposób brak</w:t>
      </w:r>
      <w:r w:rsidR="00DD3816">
        <w:t>u</w:t>
      </w:r>
      <w:r>
        <w:t xml:space="preserve"> możliwości uzyskania </w:t>
      </w:r>
      <w:r w:rsidR="00C0701B">
        <w:t xml:space="preserve">przez skarżącego </w:t>
      </w:r>
      <w:r>
        <w:t>dostępu do</w:t>
      </w:r>
      <w:r w:rsidR="00D77A76">
        <w:t> </w:t>
      </w:r>
      <w:r>
        <w:t>dokumentu. W przypadku gdy wyjaśnienie nie jest udzielone lub nie jest odpowiednie, skarga nie zostanie przedłożona składowi sądowemu.</w:t>
      </w:r>
    </w:p>
    <w:p w14:paraId="5B236720" w14:textId="77777777" w:rsidR="00805576" w:rsidRDefault="00805576" w:rsidP="00805576">
      <w:pPr>
        <w:pStyle w:val="Bezodstpw"/>
        <w:numPr>
          <w:ilvl w:val="0"/>
          <w:numId w:val="0"/>
        </w:numPr>
        <w:spacing w:before="60"/>
        <w:contextualSpacing w:val="0"/>
      </w:pPr>
      <w:r>
        <w:t xml:space="preserve">Wszelkie dokumenty przesyłane drogą elektroniczną muszą być w formacie wymaganym przez niniejsze wytyczne dotyczące praktyki; muszą być także zorganizowane i ponumerowane zgodnie z listą dokumentów zawartych w formularzu skargi. </w:t>
      </w:r>
    </w:p>
    <w:p w14:paraId="78380B38" w14:textId="77777777" w:rsidR="00805576" w:rsidRDefault="00805576" w:rsidP="00805576">
      <w:pPr>
        <w:pStyle w:val="Akapitzlist"/>
        <w:numPr>
          <w:ilvl w:val="0"/>
          <w:numId w:val="4"/>
        </w:numPr>
        <w:spacing w:before="60" w:after="0" w:line="240" w:lineRule="auto"/>
        <w:contextualSpacing w:val="0"/>
      </w:pPr>
      <w:r w:rsidRPr="00E62059">
        <w:t>Skarżący, którego skarga lub skargi Trybunał już uprzednio rozpatrywał lub którego skarga lub skargi są zawisłe przed Trybunałem, musi powiadomić o tym odpowiednio Kance</w:t>
      </w:r>
      <w:r>
        <w:t>larię, wskazując numer/y skarg</w:t>
      </w:r>
      <w:r w:rsidRPr="00E62059">
        <w:t>.</w:t>
      </w:r>
    </w:p>
    <w:p w14:paraId="19134B6C" w14:textId="7F8A4472" w:rsidR="00805576" w:rsidRPr="00E62059" w:rsidRDefault="00805576" w:rsidP="00805576">
      <w:pPr>
        <w:pStyle w:val="Akapitzlist"/>
        <w:numPr>
          <w:ilvl w:val="0"/>
          <w:numId w:val="4"/>
        </w:numPr>
        <w:spacing w:before="60" w:after="0" w:line="240" w:lineRule="auto"/>
        <w:contextualSpacing w:val="0"/>
      </w:pPr>
      <w:r w:rsidRPr="00E62059">
        <w:t xml:space="preserve">(a) Jeśli skarżący nie życzy sobie ujawnienia </w:t>
      </w:r>
      <w:r w:rsidR="00C0701B">
        <w:t>swojej</w:t>
      </w:r>
      <w:r w:rsidRPr="00E62059">
        <w:t xml:space="preserve"> tożsamości, powinien przedstawić na</w:t>
      </w:r>
      <w:r w:rsidR="00D77A76">
        <w:t> </w:t>
      </w:r>
      <w:r w:rsidRPr="00E62059">
        <w:t>piśmie przyczyny uzasadn</w:t>
      </w:r>
      <w:r>
        <w:t xml:space="preserve">iające jego wniosek, zgodnie z </w:t>
      </w:r>
      <w:r w:rsidR="00C0701B">
        <w:t>R</w:t>
      </w:r>
      <w:r w:rsidR="00C0701B" w:rsidRPr="00E62059">
        <w:t xml:space="preserve">egułą </w:t>
      </w:r>
      <w:r w:rsidRPr="00E62059">
        <w:t xml:space="preserve">47 </w:t>
      </w:r>
      <w:r w:rsidR="00C0701B">
        <w:t>§ 4.</w:t>
      </w:r>
    </w:p>
    <w:p w14:paraId="14412D41" w14:textId="18D5BB81" w:rsidR="00805576" w:rsidRDefault="00805576" w:rsidP="00805576">
      <w:pPr>
        <w:pStyle w:val="Akapitzlist"/>
        <w:spacing w:before="60" w:after="0" w:line="240" w:lineRule="auto"/>
        <w:ind w:left="360"/>
        <w:contextualSpacing w:val="0"/>
      </w:pPr>
      <w:r w:rsidRPr="00E62059">
        <w:t xml:space="preserve">b) Skarżący powinien również wskazać, czy w przypadku </w:t>
      </w:r>
      <w:r>
        <w:t>uwzględnienia wniosku o</w:t>
      </w:r>
      <w:r w:rsidR="00D77A76">
        <w:t> </w:t>
      </w:r>
      <w:r>
        <w:t>anonimowość</w:t>
      </w:r>
      <w:r w:rsidRPr="00E62059">
        <w:t xml:space="preserve"> przez Przewodniczącego Izby </w:t>
      </w:r>
      <w:r>
        <w:t>życzy sobie</w:t>
      </w:r>
      <w:r w:rsidRPr="00E62059">
        <w:t>, by określano go za pomocą jego inicjałów, czy pojedynczej litery (np. "X", "Y", "Z", itp.).</w:t>
      </w:r>
    </w:p>
    <w:p w14:paraId="2371C0E0" w14:textId="50879BE1" w:rsidR="00805576" w:rsidRPr="00E62059" w:rsidRDefault="00805576" w:rsidP="00805576">
      <w:pPr>
        <w:pStyle w:val="Akapitzlist"/>
        <w:numPr>
          <w:ilvl w:val="0"/>
          <w:numId w:val="4"/>
        </w:numPr>
        <w:spacing w:before="60" w:after="0" w:line="240" w:lineRule="auto"/>
        <w:contextualSpacing w:val="0"/>
      </w:pPr>
      <w:r w:rsidRPr="00E62059">
        <w:t>Formularz skargi musi być podpisany przez skarżącego lub przedstawiciela skarżącego. W</w:t>
      </w:r>
      <w:r w:rsidR="00D77A76">
        <w:t> </w:t>
      </w:r>
      <w:r w:rsidRPr="00E62059">
        <w:t xml:space="preserve">przypadku </w:t>
      </w:r>
      <w:r>
        <w:t>zastępstwa procesowego</w:t>
      </w:r>
      <w:r w:rsidRPr="00E62059">
        <w:t xml:space="preserve">, </w:t>
      </w:r>
      <w:r w:rsidR="00337D70">
        <w:t xml:space="preserve">zarówno </w:t>
      </w:r>
      <w:r w:rsidRPr="00E62059">
        <w:t>skarżący</w:t>
      </w:r>
      <w:r w:rsidR="00337D70">
        <w:t>, jak i przedstawiciel muszą</w:t>
      </w:r>
      <w:r w:rsidRPr="00E62059">
        <w:t xml:space="preserve"> podpisać </w:t>
      </w:r>
      <w:r w:rsidR="00337D70">
        <w:t>sekcję dotyczącą pełnomocnictwa stanowiącą</w:t>
      </w:r>
      <w:r w:rsidRPr="00E62059">
        <w:t xml:space="preserve"> część formularza skargi. Ani</w:t>
      </w:r>
      <w:r w:rsidR="00D77A76">
        <w:t> </w:t>
      </w:r>
      <w:r w:rsidRPr="00E62059">
        <w:t>skarga</w:t>
      </w:r>
      <w:r>
        <w:t>,</w:t>
      </w:r>
      <w:r w:rsidRPr="00E62059">
        <w:t xml:space="preserve"> ani</w:t>
      </w:r>
      <w:r w:rsidR="00337D70">
        <w:t xml:space="preserve"> sekcja dotycząca pełnomocnictwa</w:t>
      </w:r>
      <w:r w:rsidRPr="00E62059">
        <w:t xml:space="preserve"> nie mogą zostać podpisane </w:t>
      </w:r>
      <w:r w:rsidRPr="002F3E24">
        <w:rPr>
          <w:i/>
        </w:rPr>
        <w:t>per</w:t>
      </w:r>
      <w:r w:rsidR="00D77A76">
        <w:rPr>
          <w:i/>
        </w:rPr>
        <w:t> </w:t>
      </w:r>
      <w:proofErr w:type="spellStart"/>
      <w:r w:rsidRPr="002F3E24">
        <w:rPr>
          <w:i/>
        </w:rPr>
        <w:t>procurationem</w:t>
      </w:r>
      <w:proofErr w:type="spellEnd"/>
      <w:r w:rsidRPr="00E62059">
        <w:t xml:space="preserve"> (</w:t>
      </w:r>
      <w:proofErr w:type="spellStart"/>
      <w:r w:rsidRPr="00E62059">
        <w:t>p.p</w:t>
      </w:r>
      <w:proofErr w:type="spellEnd"/>
      <w:r w:rsidRPr="00E62059">
        <w:t>.).</w:t>
      </w:r>
    </w:p>
    <w:p w14:paraId="5E0115EF" w14:textId="77777777" w:rsidR="00805576" w:rsidRPr="00E62059" w:rsidRDefault="00805576" w:rsidP="00805576">
      <w:pPr>
        <w:pStyle w:val="Nagwek1"/>
        <w:numPr>
          <w:ilvl w:val="0"/>
          <w:numId w:val="3"/>
        </w:numPr>
        <w:tabs>
          <w:tab w:val="left" w:pos="420"/>
        </w:tabs>
        <w:spacing w:beforeLines="60" w:before="144" w:line="240" w:lineRule="auto"/>
        <w:ind w:left="284" w:hanging="284"/>
      </w:pPr>
      <w:r w:rsidRPr="00E62059">
        <w:t xml:space="preserve">Skargi zbiorowe i wielu skarżących </w:t>
      </w:r>
    </w:p>
    <w:p w14:paraId="6AB35361" w14:textId="2C064D94" w:rsidR="00805576" w:rsidRPr="00E62059" w:rsidRDefault="00805576" w:rsidP="00805576">
      <w:pPr>
        <w:pStyle w:val="Akapitzlist"/>
        <w:numPr>
          <w:ilvl w:val="0"/>
          <w:numId w:val="4"/>
        </w:numPr>
        <w:spacing w:before="60" w:after="0" w:line="240" w:lineRule="auto"/>
        <w:contextualSpacing w:val="0"/>
      </w:pPr>
      <w:r w:rsidRPr="00E62059">
        <w:t xml:space="preserve">Jeżeli skarżący lub </w:t>
      </w:r>
      <w:r>
        <w:t xml:space="preserve">jego </w:t>
      </w:r>
      <w:r w:rsidRPr="00E62059">
        <w:t xml:space="preserve">przedstawiciel wnosi zarzuty w imieniu dwóch lub więcej skarżących, których skargi dotyczą różnych stanów faktycznych, składa się odrębne formularze skargi w odniesieniu do każdego ze skarżących, podając wszystkie wymagane informacje. Dokumenty dotyczące skargi </w:t>
      </w:r>
      <w:r>
        <w:t>każdego</w:t>
      </w:r>
      <w:r w:rsidRPr="00E62059">
        <w:t xml:space="preserve"> skarżącego należy załączyć do</w:t>
      </w:r>
      <w:r w:rsidR="00D77A76">
        <w:t> </w:t>
      </w:r>
      <w:r w:rsidRPr="00E62059">
        <w:t>właściwego formularza skargi tego skarżącego.</w:t>
      </w:r>
    </w:p>
    <w:p w14:paraId="7C929D1B" w14:textId="40CEBC0A" w:rsidR="00805576" w:rsidRPr="00E62059" w:rsidRDefault="00805576" w:rsidP="00805576">
      <w:pPr>
        <w:pStyle w:val="Akapitzlist"/>
        <w:numPr>
          <w:ilvl w:val="0"/>
          <w:numId w:val="4"/>
        </w:numPr>
        <w:spacing w:before="60" w:after="0" w:line="240" w:lineRule="auto"/>
        <w:contextualSpacing w:val="0"/>
      </w:pPr>
      <w:r w:rsidRPr="00E62059">
        <w:t xml:space="preserve">Jeżeli skarżących jest więcej niż </w:t>
      </w:r>
      <w:r w:rsidR="00A338F6">
        <w:t>dziesięci</w:t>
      </w:r>
      <w:r w:rsidRPr="00E62059">
        <w:t xml:space="preserve">u, przedstawiciel powinien załączyć do formularzy skarg i dokumentów tabelaryczne zestawienie zawierające wymagane dane osobowe każdego skarżącego; </w:t>
      </w:r>
      <w:r w:rsidR="00A338F6">
        <w:t>tabelę taką</w:t>
      </w:r>
      <w:r w:rsidRPr="00E62059">
        <w:t xml:space="preserve"> można pobrać ze strony internetowej Trybunału</w:t>
      </w:r>
      <w:r w:rsidRPr="00233733">
        <w:rPr>
          <w:vertAlign w:val="superscript"/>
        </w:rPr>
        <w:footnoteReference w:id="8"/>
      </w:r>
      <w:r w:rsidRPr="00E62059">
        <w:t xml:space="preserve">. </w:t>
      </w:r>
      <w:r w:rsidRPr="00E62059">
        <w:lastRenderedPageBreak/>
        <w:t>Jeśli</w:t>
      </w:r>
      <w:r w:rsidR="00D77A76">
        <w:t> </w:t>
      </w:r>
      <w:r w:rsidRPr="00E62059">
        <w:t>przedstawiciel jest prawnikiem, zestawienie należy przedłożyć</w:t>
      </w:r>
      <w:r>
        <w:t xml:space="preserve"> </w:t>
      </w:r>
      <w:r w:rsidRPr="00E62059">
        <w:t>również w formie elektronicznej.</w:t>
      </w:r>
    </w:p>
    <w:p w14:paraId="1FA21217" w14:textId="15FAD994" w:rsidR="00805576" w:rsidRPr="00E62059" w:rsidRDefault="00805576" w:rsidP="00805576">
      <w:pPr>
        <w:pStyle w:val="Akapitzlist"/>
        <w:numPr>
          <w:ilvl w:val="0"/>
          <w:numId w:val="4"/>
        </w:numPr>
        <w:spacing w:before="60" w:after="0" w:line="240" w:lineRule="auto"/>
        <w:contextualSpacing w:val="0"/>
      </w:pPr>
      <w:r w:rsidRPr="00E62059">
        <w:t xml:space="preserve">W przypadku dużych grup skarżących lub skarg, Trybunał może wezwać skarżących lub ich przedstawicieli do przedłożenia </w:t>
      </w:r>
      <w:r>
        <w:t xml:space="preserve">tekstu </w:t>
      </w:r>
      <w:r w:rsidRPr="00E62059">
        <w:t>ich oświadczeń lub dokumentów drogą elektroniczną lub w inny sposób. Inne zarządzenia w sprawie czynności niezbędnych dla</w:t>
      </w:r>
      <w:r w:rsidR="00D77A76">
        <w:t> </w:t>
      </w:r>
      <w:r w:rsidRPr="00E62059">
        <w:t>ułatwienia sprawnego i szybkiego rozpoznawania skarg mogą być wydane przez Trybunał.</w:t>
      </w:r>
    </w:p>
    <w:p w14:paraId="279CCACF" w14:textId="77777777" w:rsidR="00805576" w:rsidRPr="00E62059" w:rsidRDefault="00805576" w:rsidP="00805576">
      <w:pPr>
        <w:pStyle w:val="Nagwek1"/>
        <w:numPr>
          <w:ilvl w:val="0"/>
          <w:numId w:val="3"/>
        </w:numPr>
        <w:tabs>
          <w:tab w:val="left" w:pos="420"/>
        </w:tabs>
        <w:spacing w:beforeLines="60" w:before="144" w:line="240" w:lineRule="auto"/>
        <w:ind w:left="284" w:hanging="284"/>
      </w:pPr>
      <w:r w:rsidRPr="00E62059">
        <w:t>Niezastosowanie się do wezwania do złożenia informacji lub dokumentów</w:t>
      </w:r>
    </w:p>
    <w:p w14:paraId="451D217E" w14:textId="25E00153" w:rsidR="00805576" w:rsidRDefault="00805576" w:rsidP="00805576">
      <w:pPr>
        <w:pStyle w:val="Akapitzlist"/>
        <w:numPr>
          <w:ilvl w:val="0"/>
          <w:numId w:val="4"/>
        </w:numPr>
        <w:spacing w:before="60" w:after="0" w:line="240" w:lineRule="auto"/>
        <w:contextualSpacing w:val="0"/>
      </w:pPr>
      <w:r w:rsidRPr="00E62059">
        <w:t xml:space="preserve">Brak złożenia w wyznaczonym terminie </w:t>
      </w:r>
      <w:r w:rsidR="00763224">
        <w:t>dalszych</w:t>
      </w:r>
      <w:r w:rsidRPr="00E62059">
        <w:t xml:space="preserve"> informacji lub dokumentów zgodnie</w:t>
      </w:r>
      <w:r>
        <w:t xml:space="preserve"> </w:t>
      </w:r>
      <w:r w:rsidRPr="00E62059">
        <w:t>z</w:t>
      </w:r>
      <w:r w:rsidR="00D77A76">
        <w:t> </w:t>
      </w:r>
      <w:r>
        <w:t xml:space="preserve">żądaniem </w:t>
      </w:r>
      <w:r w:rsidRPr="00E62059">
        <w:t xml:space="preserve">Trybunału lub niezastosowanie się do </w:t>
      </w:r>
      <w:r>
        <w:t xml:space="preserve">wytycznych </w:t>
      </w:r>
      <w:r w:rsidRPr="00E62059">
        <w:t>Trybunału</w:t>
      </w:r>
      <w:r>
        <w:t xml:space="preserve"> </w:t>
      </w:r>
      <w:r w:rsidRPr="00E62059">
        <w:t xml:space="preserve">dotyczących formy lub sposobu złożenia skarg </w:t>
      </w:r>
      <w:r w:rsidR="00763224">
        <w:t>–</w:t>
      </w:r>
      <w:r w:rsidRPr="00E62059">
        <w:t xml:space="preserve"> w tym skarg grupowych i skarg wnoszonych przez wielu skarżących </w:t>
      </w:r>
      <w:r w:rsidR="00763224">
        <w:t>–</w:t>
      </w:r>
      <w:r w:rsidRPr="00E62059">
        <w:t xml:space="preserve"> może skutkować, w zależności od etapu postępowania, nierozpatrzeniem przez Trybunał </w:t>
      </w:r>
      <w:r>
        <w:t>skarg(i)</w:t>
      </w:r>
      <w:r w:rsidRPr="00E62059">
        <w:t>, uznaniem skargi</w:t>
      </w:r>
      <w:r>
        <w:t xml:space="preserve"> </w:t>
      </w:r>
      <w:r w:rsidRPr="00E62059">
        <w:t>(skarg) za niedopuszczalną(e) lub skreśleniem z</w:t>
      </w:r>
      <w:r w:rsidR="00D77A76">
        <w:t> </w:t>
      </w:r>
      <w:r w:rsidRPr="00E62059">
        <w:t>listy spraw Trybunału.</w:t>
      </w:r>
    </w:p>
    <w:p w14:paraId="099AC4C1" w14:textId="77777777" w:rsidR="00805576" w:rsidRDefault="00805576" w:rsidP="00805576">
      <w:pPr>
        <w:tabs>
          <w:tab w:val="left" w:pos="420"/>
        </w:tabs>
        <w:spacing w:beforeLines="60" w:before="144" w:after="0" w:line="240" w:lineRule="auto"/>
      </w:pPr>
    </w:p>
    <w:p w14:paraId="117ADBC2" w14:textId="77777777" w:rsidR="00805576" w:rsidRDefault="00805576" w:rsidP="00805576">
      <w:pPr>
        <w:tabs>
          <w:tab w:val="left" w:pos="420"/>
        </w:tabs>
        <w:spacing w:beforeLines="60" w:before="144" w:after="0" w:line="240" w:lineRule="auto"/>
      </w:pPr>
    </w:p>
    <w:p w14:paraId="314D6B6F" w14:textId="77777777" w:rsidR="00805576" w:rsidRDefault="00805576" w:rsidP="00805576">
      <w:pPr>
        <w:jc w:val="left"/>
        <w:rPr>
          <w:b/>
          <w:iCs/>
          <w:color w:val="0070C0"/>
          <w:sz w:val="28"/>
          <w:szCs w:val="28"/>
          <w:u w:val="single"/>
        </w:rPr>
      </w:pPr>
      <w:r>
        <w:rPr>
          <w:b/>
          <w:i/>
          <w:color w:val="0070C0"/>
          <w:sz w:val="28"/>
          <w:szCs w:val="28"/>
          <w:u w:val="single"/>
        </w:rPr>
        <w:br w:type="page"/>
      </w:r>
    </w:p>
    <w:p w14:paraId="021F3F85" w14:textId="77777777" w:rsidR="00805576" w:rsidRPr="006A45ED" w:rsidRDefault="00805576" w:rsidP="00805576">
      <w:pPr>
        <w:pStyle w:val="Cytat"/>
        <w:tabs>
          <w:tab w:val="left" w:pos="420"/>
        </w:tabs>
        <w:spacing w:before="240" w:after="240"/>
        <w:rPr>
          <w:b/>
          <w:i w:val="0"/>
          <w:color w:val="0070C0"/>
          <w:sz w:val="28"/>
          <w:szCs w:val="28"/>
          <w:u w:val="single"/>
        </w:rPr>
      </w:pPr>
      <w:r w:rsidRPr="006A45ED">
        <w:rPr>
          <w:b/>
          <w:i w:val="0"/>
          <w:color w:val="0070C0"/>
          <w:sz w:val="28"/>
          <w:szCs w:val="28"/>
          <w:u w:val="single"/>
        </w:rPr>
        <w:lastRenderedPageBreak/>
        <w:t>Pisma procesowe</w:t>
      </w:r>
      <w:r w:rsidRPr="006A45ED">
        <w:rPr>
          <w:i w:val="0"/>
          <w:color w:val="0070C0"/>
          <w:sz w:val="28"/>
          <w:szCs w:val="28"/>
          <w:vertAlign w:val="superscript"/>
        </w:rPr>
        <w:footnoteReference w:id="9"/>
      </w:r>
    </w:p>
    <w:p w14:paraId="03D47BA8" w14:textId="77777777" w:rsidR="00805576" w:rsidRPr="00E62059" w:rsidRDefault="00805576" w:rsidP="00805576">
      <w:pPr>
        <w:pStyle w:val="Nagwek1"/>
        <w:numPr>
          <w:ilvl w:val="0"/>
          <w:numId w:val="5"/>
        </w:numPr>
        <w:tabs>
          <w:tab w:val="left" w:pos="420"/>
        </w:tabs>
        <w:spacing w:before="60" w:line="240" w:lineRule="auto"/>
        <w:ind w:left="284" w:hanging="284"/>
      </w:pPr>
      <w:r w:rsidRPr="00E62059">
        <w:t>Składanie pism</w:t>
      </w:r>
    </w:p>
    <w:p w14:paraId="09988134" w14:textId="77777777" w:rsidR="00805576" w:rsidRPr="00CD60E4" w:rsidRDefault="00805576" w:rsidP="00805576">
      <w:pPr>
        <w:pStyle w:val="Cytat"/>
        <w:tabs>
          <w:tab w:val="left" w:pos="420"/>
        </w:tabs>
        <w:spacing w:before="60"/>
        <w:rPr>
          <w:b/>
          <w:i w:val="0"/>
        </w:rPr>
      </w:pPr>
      <w:r w:rsidRPr="00CD60E4">
        <w:rPr>
          <w:b/>
          <w:i w:val="0"/>
        </w:rPr>
        <w:t>Zasady ogólne</w:t>
      </w:r>
    </w:p>
    <w:p w14:paraId="3AA14F98" w14:textId="294BBA9B"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 xml:space="preserve">Pismo procesowe musi być przekazane do Kancelarii z zachowaniem </w:t>
      </w:r>
      <w:r>
        <w:t xml:space="preserve">terminów określonych zgodnie z </w:t>
      </w:r>
      <w:r w:rsidR="00C8018B">
        <w:t>R</w:t>
      </w:r>
      <w:r w:rsidR="00C8018B" w:rsidRPr="00E62059">
        <w:t xml:space="preserve">egułą </w:t>
      </w:r>
      <w:r w:rsidRPr="00E62059">
        <w:t xml:space="preserve">38 Regulaminu Trybunału i w sposób </w:t>
      </w:r>
      <w:r>
        <w:t>określony w </w:t>
      </w:r>
      <w:r w:rsidR="00C8018B">
        <w:t>§</w:t>
      </w:r>
      <w:r w:rsidRPr="00E62059">
        <w:t xml:space="preserve"> 2 te</w:t>
      </w:r>
      <w:r>
        <w:t>j</w:t>
      </w:r>
      <w:r w:rsidR="00D77A76">
        <w:t> </w:t>
      </w:r>
      <w:r w:rsidR="00C8018B">
        <w:t>Reguły</w:t>
      </w:r>
      <w:r w:rsidRPr="00E62059">
        <w:t>.</w:t>
      </w:r>
    </w:p>
    <w:p w14:paraId="59774F24" w14:textId="77777777"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Data otrzymania przez Kancelarię Trybunału pisma procesowego lub innego dokumentu jest odnotowywana stemplem na tym dokumencie.</w:t>
      </w:r>
    </w:p>
    <w:p w14:paraId="5123F19E" w14:textId="4CEA2B62"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t>Za wyjątkiem pism procesowych</w:t>
      </w:r>
      <w:r w:rsidRPr="00E62059">
        <w:t xml:space="preserve"> i dokumentów objętych systemem korespondencji elektronicznej</w:t>
      </w:r>
      <w:r>
        <w:t xml:space="preserve"> (zob. odpowiednie wytyczne dotyczące praktyki)</w:t>
      </w:r>
      <w:r w:rsidRPr="00E62059">
        <w:t>, wszystkie inne pisma procesowe, jak również wszystkie załączone do nich dokumenty należy składać w</w:t>
      </w:r>
      <w:r w:rsidR="00D77A76">
        <w:t> </w:t>
      </w:r>
      <w:r w:rsidRPr="00E62059">
        <w:t>Kancelarii Trybunału w trzech egzemplarzach przesłanych pocztą bądź w jednym egzemplarzu przesłanym najpierw faksem</w:t>
      </w:r>
      <w:r>
        <w:rPr>
          <w:rStyle w:val="Odwoanieprzypisudolnego"/>
        </w:rPr>
        <w:footnoteReference w:id="10"/>
      </w:r>
      <w:r>
        <w:t>,</w:t>
      </w:r>
      <w:r w:rsidRPr="00E62059">
        <w:t xml:space="preserve"> </w:t>
      </w:r>
      <w:r>
        <w:t xml:space="preserve">a następnie </w:t>
      </w:r>
      <w:r w:rsidR="00FA0A2B">
        <w:t xml:space="preserve">w </w:t>
      </w:r>
      <w:r w:rsidRPr="00E62059">
        <w:t>trzech egzemplarzach przesłanych pocztą.</w:t>
      </w:r>
    </w:p>
    <w:p w14:paraId="6AF9168F" w14:textId="77777777"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Nie będą przyjmowane pisma procesowe lub inne dokumenty przesłane pocztą elektroniczną.</w:t>
      </w:r>
    </w:p>
    <w:p w14:paraId="70E355D2" w14:textId="77777777"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Dokumenty tajne należy przekazywać drogą przesyłki poleconej.</w:t>
      </w:r>
    </w:p>
    <w:p w14:paraId="5C604C74" w14:textId="07FFAFEC"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 xml:space="preserve">Pisma procesowe złożone </w:t>
      </w:r>
      <w:r>
        <w:t xml:space="preserve">nie na wniosek lub żądanie Trybunału </w:t>
      </w:r>
      <w:r w:rsidRPr="00E62059">
        <w:t xml:space="preserve">nie są </w:t>
      </w:r>
      <w:r>
        <w:t xml:space="preserve">dołączane </w:t>
      </w:r>
      <w:r w:rsidRPr="00E62059">
        <w:t xml:space="preserve">do akt sprawy, o ile Przewodniczący Izby nie postanowi inaczej (zob. </w:t>
      </w:r>
      <w:r w:rsidR="00FA0A2B">
        <w:t>Reguła</w:t>
      </w:r>
      <w:r w:rsidR="00FA0A2B" w:rsidRPr="00E62059">
        <w:t xml:space="preserve"> </w:t>
      </w:r>
      <w:r w:rsidRPr="00E62059">
        <w:t xml:space="preserve">38 </w:t>
      </w:r>
      <w:r w:rsidR="00FA0A2B">
        <w:t>§</w:t>
      </w:r>
      <w:r w:rsidRPr="00E62059">
        <w:t xml:space="preserve"> 1).</w:t>
      </w:r>
    </w:p>
    <w:p w14:paraId="7561DF05" w14:textId="77777777" w:rsidR="00805576" w:rsidRPr="00BA1B52" w:rsidRDefault="00805576" w:rsidP="00805576">
      <w:pPr>
        <w:pStyle w:val="Cytat"/>
        <w:tabs>
          <w:tab w:val="left" w:pos="420"/>
        </w:tabs>
        <w:spacing w:before="60"/>
        <w:rPr>
          <w:b/>
          <w:i w:val="0"/>
        </w:rPr>
      </w:pPr>
      <w:r w:rsidRPr="00BA1B52">
        <w:rPr>
          <w:b/>
          <w:i w:val="0"/>
        </w:rPr>
        <w:t>Składanie za pomocą faksu</w:t>
      </w:r>
    </w:p>
    <w:p w14:paraId="46B5BDB3" w14:textId="2119B888"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Strona może przedłożyć do Trybunału pisma procesowe lub inne dokumenty</w:t>
      </w:r>
      <w:r w:rsidR="00FA0A2B">
        <w:t>,</w:t>
      </w:r>
      <w:r w:rsidRPr="00E62059">
        <w:t xml:space="preserve"> wysyłając je</w:t>
      </w:r>
      <w:r w:rsidR="00D77A76">
        <w:t> </w:t>
      </w:r>
      <w:r w:rsidRPr="00E62059">
        <w:t>faksem.</w:t>
      </w:r>
    </w:p>
    <w:p w14:paraId="453B51AC" w14:textId="77777777"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Nazwisko osoby, która podpisała pismo procesowe</w:t>
      </w:r>
      <w:r w:rsidR="00FA0A2B">
        <w:t>,</w:t>
      </w:r>
      <w:r w:rsidRPr="00E62059">
        <w:t xml:space="preserve"> należy na tym piśmie również wydrukować, aby możliwa była identyfikacja tej osoby.</w:t>
      </w:r>
    </w:p>
    <w:p w14:paraId="0FB8FE91" w14:textId="77777777" w:rsidR="00805576" w:rsidRPr="00BA1B52" w:rsidRDefault="00805576" w:rsidP="00805576">
      <w:pPr>
        <w:pStyle w:val="Cytat"/>
        <w:tabs>
          <w:tab w:val="left" w:pos="420"/>
        </w:tabs>
        <w:rPr>
          <w:b/>
          <w:i w:val="0"/>
        </w:rPr>
      </w:pPr>
      <w:r w:rsidRPr="00BA1B52">
        <w:rPr>
          <w:b/>
          <w:i w:val="0"/>
        </w:rPr>
        <w:t>Korespondencja elektroniczna</w:t>
      </w:r>
    </w:p>
    <w:p w14:paraId="470AB44D" w14:textId="7D414B85"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Trybunał może upoważnić Rząd Układającej się Strony, l</w:t>
      </w:r>
      <w:r w:rsidR="00FA0A2B">
        <w:t>u</w:t>
      </w:r>
      <w:r w:rsidRPr="00E62059">
        <w:t>b, gdy skarga została już zakomunikowana, skarżącego, do wysyłania pism procesowych i innych dokumentów za</w:t>
      </w:r>
      <w:r w:rsidR="00D77A76">
        <w:t> </w:t>
      </w:r>
      <w:r w:rsidRPr="00E62059">
        <w:t xml:space="preserve">pośrednictwem </w:t>
      </w:r>
      <w:r>
        <w:t>drogi elektronicznej. W takich przypadkach</w:t>
      </w:r>
      <w:r w:rsidRPr="00E62059">
        <w:t xml:space="preserve"> </w:t>
      </w:r>
      <w:r>
        <w:t xml:space="preserve">wytyczne dotyczące praktyki odnośnie do </w:t>
      </w:r>
      <w:r w:rsidRPr="00E62059">
        <w:t xml:space="preserve">pism procesowych stosuje się łącznie z </w:t>
      </w:r>
      <w:r>
        <w:t>wytycznymi w sprawie</w:t>
      </w:r>
      <w:r w:rsidRPr="00E62059">
        <w:t xml:space="preserve"> korespondencji elektronicznej.</w:t>
      </w:r>
    </w:p>
    <w:p w14:paraId="00B3CD96" w14:textId="77777777" w:rsidR="00805576" w:rsidRDefault="00805576" w:rsidP="00805576">
      <w:pPr>
        <w:pStyle w:val="Nagwek1"/>
        <w:tabs>
          <w:tab w:val="left" w:pos="420"/>
        </w:tabs>
        <w:spacing w:line="240" w:lineRule="auto"/>
      </w:pPr>
      <w:r w:rsidRPr="00E62059">
        <w:t>II. Forma i treść</w:t>
      </w:r>
    </w:p>
    <w:p w14:paraId="0CE29E48" w14:textId="77777777" w:rsidR="00805576" w:rsidRPr="00BA1B52" w:rsidRDefault="00805576" w:rsidP="00805576">
      <w:pPr>
        <w:pStyle w:val="Cytat"/>
        <w:tabs>
          <w:tab w:val="left" w:pos="420"/>
        </w:tabs>
        <w:rPr>
          <w:b/>
          <w:i w:val="0"/>
        </w:rPr>
      </w:pPr>
      <w:r w:rsidRPr="00BA1B52">
        <w:rPr>
          <w:b/>
          <w:i w:val="0"/>
        </w:rPr>
        <w:t>Forma</w:t>
      </w:r>
    </w:p>
    <w:p w14:paraId="6CDED8C4" w14:textId="77777777"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Pismo procesowe powinno zawierać:</w:t>
      </w:r>
    </w:p>
    <w:p w14:paraId="3C2ECDC7" w14:textId="77777777" w:rsidR="00805576" w:rsidRPr="00E62059" w:rsidRDefault="00805576" w:rsidP="00805576">
      <w:pPr>
        <w:pStyle w:val="Akapitzlist"/>
        <w:numPr>
          <w:ilvl w:val="0"/>
          <w:numId w:val="14"/>
        </w:numPr>
        <w:tabs>
          <w:tab w:val="left" w:pos="420"/>
        </w:tabs>
        <w:spacing w:before="60" w:after="0" w:line="240" w:lineRule="auto"/>
        <w:contextualSpacing w:val="0"/>
      </w:pPr>
      <w:r w:rsidRPr="00E62059">
        <w:t>sygnaturę skargi i nazwę sprawy;</w:t>
      </w:r>
    </w:p>
    <w:p w14:paraId="6A99232E" w14:textId="6AE28D03" w:rsidR="00805576" w:rsidRPr="00E62059" w:rsidRDefault="00805576" w:rsidP="00805576">
      <w:pPr>
        <w:pStyle w:val="Akapitzlist"/>
        <w:numPr>
          <w:ilvl w:val="0"/>
          <w:numId w:val="14"/>
        </w:numPr>
        <w:tabs>
          <w:tab w:val="left" w:pos="420"/>
        </w:tabs>
        <w:spacing w:before="60" w:after="0" w:line="240" w:lineRule="auto"/>
        <w:contextualSpacing w:val="0"/>
      </w:pPr>
      <w:r w:rsidRPr="00E62059">
        <w:t xml:space="preserve">tytuł wskazujący jego charakter (np. </w:t>
      </w:r>
      <w:r w:rsidR="007D0456">
        <w:t>uwagi</w:t>
      </w:r>
      <w:r>
        <w:t xml:space="preserve"> </w:t>
      </w:r>
      <w:r w:rsidRPr="00E62059">
        <w:t xml:space="preserve">dotyczące dopuszczalności [i </w:t>
      </w:r>
      <w:r>
        <w:t>przedmiotu skargi</w:t>
      </w:r>
      <w:r w:rsidRPr="00E62059">
        <w:t xml:space="preserve">]; odpowiedź na </w:t>
      </w:r>
      <w:r w:rsidR="007D0456">
        <w:t xml:space="preserve">uwagi </w:t>
      </w:r>
      <w:r w:rsidRPr="00E62059">
        <w:t xml:space="preserve">Rządu/skarżącego dotyczące dopuszczalności </w:t>
      </w:r>
      <w:r w:rsidRPr="00E62059">
        <w:lastRenderedPageBreak/>
        <w:t>[i</w:t>
      </w:r>
      <w:r w:rsidR="00D77A76">
        <w:t> </w:t>
      </w:r>
      <w:r>
        <w:t>przedmiotu skargi</w:t>
      </w:r>
      <w:r w:rsidRPr="00E62059">
        <w:t xml:space="preserve">]; </w:t>
      </w:r>
      <w:r w:rsidR="007D0456">
        <w:t>uwagi</w:t>
      </w:r>
      <w:r>
        <w:t xml:space="preserve"> </w:t>
      </w:r>
      <w:r w:rsidRPr="00E62059">
        <w:t xml:space="preserve">dotyczące </w:t>
      </w:r>
      <w:r>
        <w:t>przedmiotu skargi</w:t>
      </w:r>
      <w:r w:rsidRPr="00E62059">
        <w:t xml:space="preserve">; dodatkowe </w:t>
      </w:r>
      <w:r w:rsidR="007D0456">
        <w:t xml:space="preserve">uwagi </w:t>
      </w:r>
      <w:r w:rsidRPr="00E62059">
        <w:t>dotyczące dopuszczalności [i</w:t>
      </w:r>
      <w:r>
        <w:t xml:space="preserve"> przedmiotu skargi</w:t>
      </w:r>
      <w:r w:rsidRPr="00E62059">
        <w:t xml:space="preserve">]; </w:t>
      </w:r>
      <w:r>
        <w:t xml:space="preserve">pismo </w:t>
      </w:r>
      <w:r w:rsidRPr="00E62059">
        <w:t>itp.).</w:t>
      </w:r>
    </w:p>
    <w:p w14:paraId="0FE79E64" w14:textId="77777777"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Dodatkowo pismo procesowe powinno:</w:t>
      </w:r>
    </w:p>
    <w:p w14:paraId="43B40D69" w14:textId="77777777" w:rsidR="00805576" w:rsidRPr="00E62059" w:rsidRDefault="00805576" w:rsidP="00805576">
      <w:pPr>
        <w:pStyle w:val="Akapitzlist"/>
        <w:numPr>
          <w:ilvl w:val="0"/>
          <w:numId w:val="15"/>
        </w:numPr>
        <w:tabs>
          <w:tab w:val="left" w:pos="420"/>
        </w:tabs>
        <w:spacing w:before="60" w:after="0" w:line="240" w:lineRule="auto"/>
        <w:contextualSpacing w:val="0"/>
      </w:pPr>
      <w:r>
        <w:t xml:space="preserve">zostać </w:t>
      </w:r>
      <w:r w:rsidRPr="00E62059">
        <w:t xml:space="preserve">sporządzone na papierze </w:t>
      </w:r>
      <w:r>
        <w:t>w</w:t>
      </w:r>
      <w:r w:rsidRPr="00E62059">
        <w:t xml:space="preserve"> formacie A4 z margines</w:t>
      </w:r>
      <w:r>
        <w:t>em o szerokości co najmniej 3,5 </w:t>
      </w:r>
      <w:r w:rsidRPr="00E62059">
        <w:t>cm;</w:t>
      </w:r>
    </w:p>
    <w:p w14:paraId="6D735FFD" w14:textId="044D1CF9" w:rsidR="00805576" w:rsidRPr="00E62059" w:rsidRDefault="00805576" w:rsidP="00805576">
      <w:pPr>
        <w:pStyle w:val="Akapitzlist"/>
        <w:numPr>
          <w:ilvl w:val="0"/>
          <w:numId w:val="15"/>
        </w:numPr>
        <w:tabs>
          <w:tab w:val="left" w:pos="420"/>
        </w:tabs>
        <w:spacing w:before="60" w:after="0" w:line="240" w:lineRule="auto"/>
        <w:contextualSpacing w:val="0"/>
      </w:pPr>
      <w:r>
        <w:t xml:space="preserve">zostać </w:t>
      </w:r>
      <w:r w:rsidRPr="00E62059">
        <w:t xml:space="preserve">sporządzone pismem maszynowym i </w:t>
      </w:r>
      <w:r>
        <w:t xml:space="preserve">powinno być </w:t>
      </w:r>
      <w:r w:rsidRPr="00E62059">
        <w:t xml:space="preserve">w całości czytelne, czcionką o rozmiarze </w:t>
      </w:r>
      <w:r w:rsidR="007D0456">
        <w:t xml:space="preserve">co najmniej </w:t>
      </w:r>
      <w:r>
        <w:t>12 </w:t>
      </w:r>
      <w:r w:rsidRPr="00E62059">
        <w:t>punktów w części głównej i 10 punktów w przypisach, z</w:t>
      </w:r>
      <w:r w:rsidR="00D77A76">
        <w:t> </w:t>
      </w:r>
      <w:r w:rsidRPr="00E62059">
        <w:t>odstępami pomiędzy wierszami wynoszącym</w:t>
      </w:r>
      <w:r w:rsidR="007D0456">
        <w:t>i</w:t>
      </w:r>
      <w:r w:rsidRPr="00E62059">
        <w:t xml:space="preserve"> </w:t>
      </w:r>
      <w:r>
        <w:t>półtorej linii</w:t>
      </w:r>
      <w:r w:rsidRPr="00E62059">
        <w:t xml:space="preserve">; </w:t>
      </w:r>
    </w:p>
    <w:p w14:paraId="7E366DDC" w14:textId="77777777" w:rsidR="00805576" w:rsidRPr="00E62059" w:rsidRDefault="00805576" w:rsidP="00805576">
      <w:pPr>
        <w:pStyle w:val="Akapitzlist"/>
        <w:numPr>
          <w:ilvl w:val="0"/>
          <w:numId w:val="15"/>
        </w:numPr>
        <w:tabs>
          <w:tab w:val="left" w:pos="420"/>
        </w:tabs>
        <w:spacing w:before="60" w:after="0" w:line="240" w:lineRule="auto"/>
        <w:contextualSpacing w:val="0"/>
      </w:pPr>
      <w:r w:rsidRPr="00E62059">
        <w:t>zawierać wszystkie dane liczbowe wyrażone w cyfrach;</w:t>
      </w:r>
    </w:p>
    <w:p w14:paraId="092181FE" w14:textId="77777777" w:rsidR="00805576" w:rsidRPr="00E62059" w:rsidRDefault="00805576" w:rsidP="00805576">
      <w:pPr>
        <w:pStyle w:val="Akapitzlist"/>
        <w:numPr>
          <w:ilvl w:val="0"/>
          <w:numId w:val="15"/>
        </w:numPr>
        <w:tabs>
          <w:tab w:val="left" w:pos="420"/>
        </w:tabs>
        <w:spacing w:before="60" w:after="0" w:line="240" w:lineRule="auto"/>
        <w:contextualSpacing w:val="0"/>
      </w:pPr>
      <w:r w:rsidRPr="00E62059">
        <w:t>mieć kolejno ponumerowane strony;</w:t>
      </w:r>
    </w:p>
    <w:p w14:paraId="6584A47E" w14:textId="77777777" w:rsidR="00805576" w:rsidRPr="00E62059" w:rsidRDefault="00805576" w:rsidP="00805576">
      <w:pPr>
        <w:pStyle w:val="Akapitzlist"/>
        <w:numPr>
          <w:ilvl w:val="0"/>
          <w:numId w:val="15"/>
        </w:numPr>
        <w:tabs>
          <w:tab w:val="left" w:pos="420"/>
        </w:tabs>
        <w:spacing w:before="60" w:after="0" w:line="240" w:lineRule="auto"/>
        <w:contextualSpacing w:val="0"/>
      </w:pPr>
      <w:r w:rsidRPr="00E62059">
        <w:t>być podzielone na ponumerowane akapity;</w:t>
      </w:r>
    </w:p>
    <w:p w14:paraId="2CA770F5" w14:textId="16A3DAE1" w:rsidR="00805576" w:rsidRPr="00E62059" w:rsidRDefault="00805576" w:rsidP="00805576">
      <w:pPr>
        <w:pStyle w:val="Akapitzlist"/>
        <w:numPr>
          <w:ilvl w:val="0"/>
          <w:numId w:val="15"/>
        </w:numPr>
        <w:tabs>
          <w:tab w:val="left" w:pos="420"/>
        </w:tabs>
        <w:spacing w:before="60" w:after="0" w:line="240" w:lineRule="auto"/>
        <w:contextualSpacing w:val="0"/>
      </w:pPr>
      <w:r w:rsidRPr="00E62059">
        <w:t xml:space="preserve">posiadać </w:t>
      </w:r>
      <w:r>
        <w:t xml:space="preserve">rozdziały </w:t>
      </w:r>
      <w:r w:rsidRPr="00E62059">
        <w:t xml:space="preserve">lub </w:t>
      </w:r>
      <w:r>
        <w:t xml:space="preserve">nagłówki </w:t>
      </w:r>
      <w:r w:rsidRPr="00E62059">
        <w:t>odpowiadające formie i nazewnictw</w:t>
      </w:r>
      <w:r w:rsidR="007D0456">
        <w:t>u decyzji i</w:t>
      </w:r>
      <w:r w:rsidR="00D77A76">
        <w:t> </w:t>
      </w:r>
      <w:r w:rsidR="007D0456">
        <w:t>wyroków Trybunału („Fakty</w:t>
      </w:r>
      <w:r w:rsidRPr="00E62059">
        <w:t xml:space="preserve">" / </w:t>
      </w:r>
      <w:r w:rsidR="007D0456">
        <w:t>„Krajowe prawo [i praktyka]”</w:t>
      </w:r>
      <w:r w:rsidRPr="00E62059">
        <w:t xml:space="preserve"> / „Zarzuty" / </w:t>
      </w:r>
      <w:r w:rsidR="007D0456">
        <w:t>„</w:t>
      </w:r>
      <w:r w:rsidRPr="00E62059">
        <w:t>Prawo"; po</w:t>
      </w:r>
      <w:r w:rsidR="00D77A76">
        <w:t> </w:t>
      </w:r>
      <w:r w:rsidRPr="00E62059">
        <w:t>ostatnim rozdziale powinny następo</w:t>
      </w:r>
      <w:r w:rsidR="007D0456">
        <w:t>wać działy zatytułowane "</w:t>
      </w:r>
      <w:r w:rsidR="00F95560">
        <w:t>Z</w:t>
      </w:r>
      <w:r w:rsidR="007D0456">
        <w:t>astrzeżenie</w:t>
      </w:r>
      <w:r w:rsidRPr="00E62059">
        <w:t xml:space="preserve"> </w:t>
      </w:r>
      <w:r w:rsidR="00F95560">
        <w:t>wstępne odnośnie</w:t>
      </w:r>
      <w:r w:rsidRPr="00E62059">
        <w:t xml:space="preserve"> do</w:t>
      </w:r>
      <w:r w:rsidR="007D0456">
        <w:t xml:space="preserve"> .</w:t>
      </w:r>
      <w:r w:rsidRPr="00E62059">
        <w:t xml:space="preserve">.."; </w:t>
      </w:r>
      <w:r w:rsidR="00F95560">
        <w:t>„</w:t>
      </w:r>
      <w:r w:rsidRPr="00E62059">
        <w:t xml:space="preserve">Zarzucane naruszenie </w:t>
      </w:r>
      <w:r>
        <w:t>a</w:t>
      </w:r>
      <w:r w:rsidRPr="00E62059">
        <w:t>rtykułu</w:t>
      </w:r>
      <w:r w:rsidR="007D0456">
        <w:t xml:space="preserve"> .</w:t>
      </w:r>
      <w:r w:rsidRPr="00E62059">
        <w:t>..", w zależności od</w:t>
      </w:r>
      <w:r w:rsidR="00D77A76">
        <w:t> </w:t>
      </w:r>
      <w:r w:rsidRPr="00E62059">
        <w:t>przypadku);</w:t>
      </w:r>
    </w:p>
    <w:p w14:paraId="2EA53229" w14:textId="3BB8E745" w:rsidR="00805576" w:rsidRPr="00E62059" w:rsidRDefault="00805576" w:rsidP="00805576">
      <w:pPr>
        <w:pStyle w:val="Akapitzlist"/>
        <w:numPr>
          <w:ilvl w:val="0"/>
          <w:numId w:val="15"/>
        </w:numPr>
        <w:tabs>
          <w:tab w:val="left" w:pos="420"/>
        </w:tabs>
        <w:spacing w:before="60" w:after="0" w:line="240" w:lineRule="auto"/>
        <w:contextualSpacing w:val="0"/>
      </w:pPr>
      <w:r w:rsidRPr="00E62059">
        <w:t>zawierać odpowiedź na pytanie Trybunału lub na argumenty drugiej strony w</w:t>
      </w:r>
      <w:r w:rsidR="00D77A76">
        <w:t> </w:t>
      </w:r>
      <w:r w:rsidRPr="00E62059">
        <w:t>oddzielnych nagłówkach;</w:t>
      </w:r>
    </w:p>
    <w:p w14:paraId="1282097E" w14:textId="77777777" w:rsidR="00805576" w:rsidRPr="00E62059" w:rsidRDefault="00805576" w:rsidP="00805576">
      <w:pPr>
        <w:pStyle w:val="Akapitzlist"/>
        <w:numPr>
          <w:ilvl w:val="0"/>
          <w:numId w:val="15"/>
        </w:numPr>
        <w:tabs>
          <w:tab w:val="left" w:pos="420"/>
        </w:tabs>
        <w:spacing w:before="60" w:after="0" w:line="240" w:lineRule="auto"/>
        <w:contextualSpacing w:val="0"/>
      </w:pPr>
      <w:r w:rsidRPr="00E62059">
        <w:t>zawierać odwołanie do każdego dokumentu lub ś</w:t>
      </w:r>
      <w:r>
        <w:t>rodka dowodowego wspomnianego w </w:t>
      </w:r>
      <w:r w:rsidRPr="00E62059">
        <w:t>piśmie i załączonego do niego;</w:t>
      </w:r>
    </w:p>
    <w:p w14:paraId="21B2DBE6" w14:textId="6456B3CD" w:rsidR="00805576" w:rsidRPr="00E62059" w:rsidRDefault="00805576" w:rsidP="00805576">
      <w:pPr>
        <w:pStyle w:val="Akapitzlist"/>
        <w:numPr>
          <w:ilvl w:val="0"/>
          <w:numId w:val="15"/>
        </w:numPr>
        <w:tabs>
          <w:tab w:val="left" w:pos="420"/>
        </w:tabs>
        <w:spacing w:before="60" w:after="0" w:line="240" w:lineRule="auto"/>
        <w:contextualSpacing w:val="0"/>
      </w:pPr>
      <w:r w:rsidRPr="00E62059">
        <w:t xml:space="preserve">w przypadku przesłania pocztą, tekst musi być </w:t>
      </w:r>
      <w:r>
        <w:t>wydrukowany jednostronnie, a kartki i </w:t>
      </w:r>
      <w:r w:rsidRPr="00E62059">
        <w:t>załączniki należy połączyć w taki sposób, aby było możliwe ich łatwe rozdzielenie (nie</w:t>
      </w:r>
      <w:r w:rsidR="00D77A76">
        <w:t> </w:t>
      </w:r>
      <w:r w:rsidRPr="00E62059">
        <w:t>należy ich sklejać lub zszywać).</w:t>
      </w:r>
    </w:p>
    <w:p w14:paraId="65AAD813" w14:textId="77777777"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 xml:space="preserve">Jeżeli pismo procesowe wyjątkowo przekracza trzydzieści stron, należy </w:t>
      </w:r>
      <w:r>
        <w:t>dołączyć do </w:t>
      </w:r>
      <w:r w:rsidRPr="00E62059">
        <w:t>niego krótkie streszczenie.</w:t>
      </w:r>
    </w:p>
    <w:p w14:paraId="663042B7" w14:textId="39D8AE34"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 xml:space="preserve">Jeżeli strona przedkłada wraz z pismem procesowym dokumenty lub inne dowody rzeczowe, każdy środek dowodowy należy wymienić w odrębnym </w:t>
      </w:r>
      <w:r w:rsidR="007C531E">
        <w:t>załączniku</w:t>
      </w:r>
      <w:r w:rsidRPr="00E62059">
        <w:t>.</w:t>
      </w:r>
    </w:p>
    <w:p w14:paraId="647C634F" w14:textId="77777777" w:rsidR="00805576" w:rsidRPr="006647B8" w:rsidRDefault="00805576" w:rsidP="00805576">
      <w:pPr>
        <w:pStyle w:val="Cytat"/>
        <w:tabs>
          <w:tab w:val="left" w:pos="420"/>
        </w:tabs>
        <w:rPr>
          <w:b/>
          <w:i w:val="0"/>
        </w:rPr>
      </w:pPr>
      <w:r w:rsidRPr="006647B8">
        <w:rPr>
          <w:b/>
          <w:i w:val="0"/>
        </w:rPr>
        <w:t>Treść</w:t>
      </w:r>
    </w:p>
    <w:p w14:paraId="12FABF12" w14:textId="77777777"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Pisma procesowe stron złożone po zakomunikowaniu skargi powinny zawierać:</w:t>
      </w:r>
    </w:p>
    <w:p w14:paraId="3880C232" w14:textId="77777777" w:rsidR="00805576" w:rsidRPr="00E62059" w:rsidRDefault="00805576" w:rsidP="00805576">
      <w:pPr>
        <w:tabs>
          <w:tab w:val="left" w:pos="420"/>
        </w:tabs>
        <w:spacing w:after="0" w:line="240" w:lineRule="auto"/>
      </w:pPr>
      <w:r w:rsidRPr="00E62059">
        <w:t>a) uwagi stron dotyczące stanu faktycznego sprawy, jednakże,</w:t>
      </w:r>
    </w:p>
    <w:p w14:paraId="3EA6DBE5" w14:textId="77777777" w:rsidR="00805576" w:rsidRPr="00E62059" w:rsidRDefault="00805576" w:rsidP="00805576">
      <w:pPr>
        <w:pStyle w:val="Akapitzlist"/>
        <w:numPr>
          <w:ilvl w:val="0"/>
          <w:numId w:val="6"/>
        </w:numPr>
        <w:tabs>
          <w:tab w:val="left" w:pos="420"/>
        </w:tabs>
        <w:spacing w:after="0" w:line="240" w:lineRule="auto"/>
        <w:contextualSpacing w:val="0"/>
      </w:pPr>
      <w:r w:rsidRPr="00E62059">
        <w:t xml:space="preserve">jeżeli strona nie zgłasza zastrzeżeń co do </w:t>
      </w:r>
      <w:r>
        <w:t xml:space="preserve">opisu </w:t>
      </w:r>
      <w:r w:rsidRPr="00E62059">
        <w:t>stan</w:t>
      </w:r>
      <w:r>
        <w:t xml:space="preserve">u faktycznego przygotowanego </w:t>
      </w:r>
      <w:r w:rsidRPr="00E62059">
        <w:t>przez Kancelarię</w:t>
      </w:r>
      <w:r>
        <w:t>, wówczas powinna ograniczyć swoje</w:t>
      </w:r>
      <w:r w:rsidRPr="00E62059">
        <w:t xml:space="preserve"> uwagi do krótkiego oświadczenia w tym przedmiocie;</w:t>
      </w:r>
    </w:p>
    <w:p w14:paraId="224EB0F7" w14:textId="489FC573" w:rsidR="00805576" w:rsidRPr="00E62059" w:rsidRDefault="00805576" w:rsidP="00805576">
      <w:pPr>
        <w:pStyle w:val="Akapitzlist"/>
        <w:numPr>
          <w:ilvl w:val="0"/>
          <w:numId w:val="6"/>
        </w:numPr>
        <w:tabs>
          <w:tab w:val="left" w:pos="420"/>
        </w:tabs>
        <w:spacing w:after="0" w:line="240" w:lineRule="auto"/>
        <w:contextualSpacing w:val="0"/>
      </w:pPr>
      <w:r w:rsidRPr="00E62059">
        <w:t xml:space="preserve">jeżeli strona zgłasza zastrzeżenia tylko do </w:t>
      </w:r>
      <w:r>
        <w:t>części opisu stanu faktycznego przedstawionego</w:t>
      </w:r>
      <w:r w:rsidRPr="00E62059">
        <w:t xml:space="preserve"> przez Kancelarię lub chce je uzupełnić, wówczas powinna ograniczyć uwagi do tych konkretnych punktów;</w:t>
      </w:r>
    </w:p>
    <w:p w14:paraId="3FE7C63A" w14:textId="77777777" w:rsidR="00805576" w:rsidRPr="00E62059" w:rsidRDefault="00805576" w:rsidP="00805576">
      <w:pPr>
        <w:pStyle w:val="Akapitzlist"/>
        <w:numPr>
          <w:ilvl w:val="0"/>
          <w:numId w:val="6"/>
        </w:numPr>
        <w:tabs>
          <w:tab w:val="left" w:pos="420"/>
        </w:tabs>
        <w:spacing w:after="0" w:line="240" w:lineRule="auto"/>
        <w:contextualSpacing w:val="0"/>
      </w:pPr>
      <w:r w:rsidRPr="00E62059">
        <w:t>jeżeli strona zgłasza sprzeciw co do całego stanu faktycznego lub niektórych faktów przedstawionych przez drugą stronę, wówczas powinna wyraźnie wskazać, które fakty są niesporne oraz ograniczyć swoje uwagi do punków spornych;</w:t>
      </w:r>
    </w:p>
    <w:p w14:paraId="39AC7863" w14:textId="06A8DD48" w:rsidR="00805576" w:rsidRPr="00E62059" w:rsidRDefault="00805576" w:rsidP="00805576">
      <w:pPr>
        <w:tabs>
          <w:tab w:val="left" w:pos="420"/>
        </w:tabs>
        <w:spacing w:after="0" w:line="240" w:lineRule="auto"/>
      </w:pPr>
      <w:r w:rsidRPr="00E62059">
        <w:t xml:space="preserve">b) argumenty prawne odnoszące się po pierwsze do dopuszczalności, a po drugie, </w:t>
      </w:r>
      <w:r>
        <w:t>do przedmiotu skargi</w:t>
      </w:r>
      <w:r w:rsidRPr="00E62059">
        <w:t>; jednakże</w:t>
      </w:r>
    </w:p>
    <w:p w14:paraId="28933539" w14:textId="3466AE56" w:rsidR="00805576" w:rsidRPr="00E62059" w:rsidRDefault="00805576" w:rsidP="00805576">
      <w:pPr>
        <w:pStyle w:val="Akapitzlist"/>
        <w:numPr>
          <w:ilvl w:val="0"/>
          <w:numId w:val="7"/>
        </w:numPr>
        <w:tabs>
          <w:tab w:val="left" w:pos="420"/>
        </w:tabs>
        <w:spacing w:after="0" w:line="240" w:lineRule="auto"/>
        <w:contextualSpacing w:val="0"/>
      </w:pPr>
      <w:r w:rsidRPr="00E62059">
        <w:lastRenderedPageBreak/>
        <w:t xml:space="preserve">jeżeli stronie przedstawione zostały konkretne pytania dotyczące kwestii faktycznych lub prawnych, powinna ona, bez uszczerbku dla </w:t>
      </w:r>
      <w:r w:rsidR="00C60FBA">
        <w:t>R</w:t>
      </w:r>
      <w:r w:rsidR="00C60FBA" w:rsidRPr="00E62059">
        <w:t xml:space="preserve">eguły </w:t>
      </w:r>
      <w:r w:rsidRPr="00E62059">
        <w:t>55, ograniczyć swe argumenty do takich pytań;</w:t>
      </w:r>
    </w:p>
    <w:p w14:paraId="326D9B95" w14:textId="77777777" w:rsidR="00805576" w:rsidRPr="00E62059" w:rsidRDefault="00805576" w:rsidP="00805576">
      <w:pPr>
        <w:pStyle w:val="Akapitzlist"/>
        <w:numPr>
          <w:ilvl w:val="0"/>
          <w:numId w:val="7"/>
        </w:numPr>
        <w:tabs>
          <w:tab w:val="left" w:pos="420"/>
        </w:tabs>
        <w:spacing w:after="0" w:line="240" w:lineRule="auto"/>
        <w:contextualSpacing w:val="0"/>
      </w:pPr>
      <w:r w:rsidRPr="00E62059">
        <w:t>jeżeli pismo jest odpowiedzią na argumenty drugiej strony, uwagi powinny odnosić się do konkretnych argumentów, w kolejności wyżej określonej.</w:t>
      </w:r>
    </w:p>
    <w:p w14:paraId="31F66EBC" w14:textId="77777777"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a) Pisma procesowe stron złożone po dopuszczeniu skargi powinny zawierać:</w:t>
      </w:r>
    </w:p>
    <w:p w14:paraId="5602E056" w14:textId="623ADFBF" w:rsidR="00805576" w:rsidRPr="00E62059" w:rsidRDefault="00805576" w:rsidP="00805576">
      <w:pPr>
        <w:pStyle w:val="Akapitzlist"/>
        <w:numPr>
          <w:ilvl w:val="0"/>
          <w:numId w:val="8"/>
        </w:numPr>
        <w:tabs>
          <w:tab w:val="left" w:pos="420"/>
        </w:tabs>
        <w:spacing w:after="0" w:line="240" w:lineRule="auto"/>
        <w:contextualSpacing w:val="0"/>
      </w:pPr>
      <w:r w:rsidRPr="00E62059">
        <w:t>krótkie oświadczenie potwierdzające stanowisko str</w:t>
      </w:r>
      <w:r w:rsidR="00C60FBA">
        <w:t>ony dotyczące stanu faktycznego</w:t>
      </w:r>
      <w:r w:rsidRPr="00E62059">
        <w:t xml:space="preserve"> ustalone</w:t>
      </w:r>
      <w:r w:rsidR="00C60FBA">
        <w:t>go</w:t>
      </w:r>
      <w:r w:rsidRPr="00E62059">
        <w:t xml:space="preserve"> w decyzji o dopuszczalności;</w:t>
      </w:r>
    </w:p>
    <w:p w14:paraId="47652C5E" w14:textId="77777777" w:rsidR="00805576" w:rsidRPr="00E62059" w:rsidRDefault="00805576" w:rsidP="00805576">
      <w:pPr>
        <w:pStyle w:val="Akapitzlist"/>
        <w:numPr>
          <w:ilvl w:val="0"/>
          <w:numId w:val="8"/>
        </w:numPr>
        <w:tabs>
          <w:tab w:val="left" w:pos="420"/>
        </w:tabs>
        <w:spacing w:after="0" w:line="240" w:lineRule="auto"/>
        <w:contextualSpacing w:val="0"/>
      </w:pPr>
      <w:r w:rsidRPr="00E62059">
        <w:t xml:space="preserve">argumenty prawne odnoszące się do </w:t>
      </w:r>
      <w:r>
        <w:t>przedmiotu</w:t>
      </w:r>
      <w:r w:rsidRPr="00E62059">
        <w:t xml:space="preserve"> sprawy;</w:t>
      </w:r>
    </w:p>
    <w:p w14:paraId="0F63E5EC" w14:textId="735F64FD" w:rsidR="00805576" w:rsidRPr="00E62059" w:rsidRDefault="00805576" w:rsidP="00805576">
      <w:pPr>
        <w:pStyle w:val="Akapitzlist"/>
        <w:numPr>
          <w:ilvl w:val="0"/>
          <w:numId w:val="8"/>
        </w:numPr>
        <w:tabs>
          <w:tab w:val="left" w:pos="420"/>
        </w:tabs>
        <w:spacing w:after="0" w:line="240" w:lineRule="auto"/>
        <w:contextualSpacing w:val="0"/>
      </w:pPr>
      <w:r w:rsidRPr="00E62059">
        <w:t>odpowiedzi na konkretne pytania Trybunału dotyczące k</w:t>
      </w:r>
      <w:r w:rsidR="00C60FBA">
        <w:t>westii faktycznych lub</w:t>
      </w:r>
      <w:r w:rsidR="00D77A76">
        <w:t> </w:t>
      </w:r>
      <w:r w:rsidR="00C60FBA">
        <w:t>prawnych.</w:t>
      </w:r>
    </w:p>
    <w:p w14:paraId="06784510" w14:textId="2D45E826" w:rsidR="00805576" w:rsidRPr="00E62059" w:rsidRDefault="00805576" w:rsidP="00805576">
      <w:pPr>
        <w:tabs>
          <w:tab w:val="left" w:pos="420"/>
        </w:tabs>
        <w:spacing w:after="0" w:line="240" w:lineRule="auto"/>
      </w:pPr>
      <w:r w:rsidRPr="00E62059">
        <w:t xml:space="preserve">b) Strona skarżąca występująca jednocześnie z roszczeniem o słuszne zadośćuczynienie powinna uczynić to w sposób określony w </w:t>
      </w:r>
      <w:r w:rsidR="00F95560">
        <w:t xml:space="preserve">Wytycznych </w:t>
      </w:r>
      <w:r>
        <w:t>dotyczących praktyki odnoszących się do wniosków</w:t>
      </w:r>
      <w:r w:rsidRPr="00E62059">
        <w:t xml:space="preserve"> o słuszne zadośćuczynienie.</w:t>
      </w:r>
    </w:p>
    <w:p w14:paraId="4EFE1E60" w14:textId="2EA8FD96"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 xml:space="preserve">Ze względu na poufność postępowania zmierzającego do </w:t>
      </w:r>
      <w:r>
        <w:t>polubo</w:t>
      </w:r>
      <w:r w:rsidRPr="00E62059">
        <w:t>w</w:t>
      </w:r>
      <w:r>
        <w:t>n</w:t>
      </w:r>
      <w:r w:rsidRPr="00E62059">
        <w:t xml:space="preserve">ego załatwienia sprawy (zob. </w:t>
      </w:r>
      <w:r>
        <w:t>a</w:t>
      </w:r>
      <w:r w:rsidRPr="00E62059">
        <w:t xml:space="preserve">rtykuł </w:t>
      </w:r>
      <w:r>
        <w:t>3</w:t>
      </w:r>
      <w:r w:rsidR="00C60FBA">
        <w:t>9 ustęp</w:t>
      </w:r>
      <w:r w:rsidRPr="00E62059">
        <w:t xml:space="preserve"> 2 Konwencji oraz </w:t>
      </w:r>
      <w:r w:rsidR="00C60FBA">
        <w:t>Reguła</w:t>
      </w:r>
      <w:r w:rsidR="00C60FBA" w:rsidRPr="00E62059">
        <w:t xml:space="preserve"> </w:t>
      </w:r>
      <w:r w:rsidRPr="00E62059">
        <w:t xml:space="preserve">62 </w:t>
      </w:r>
      <w:r w:rsidR="00C60FBA">
        <w:t>§</w:t>
      </w:r>
      <w:r w:rsidRPr="00E62059">
        <w:t xml:space="preserve"> 2), ws</w:t>
      </w:r>
      <w:r>
        <w:t>zystkie oświadczenia i </w:t>
      </w:r>
      <w:r w:rsidRPr="00E62059">
        <w:t>dokumenty, które złożono w</w:t>
      </w:r>
      <w:r>
        <w:t xml:space="preserve"> związku z próbą </w:t>
      </w:r>
      <w:r w:rsidRPr="00E62059">
        <w:t>osiągnięcia polubownego załatwienia sprawy</w:t>
      </w:r>
      <w:r w:rsidR="00C60FBA">
        <w:t>,</w:t>
      </w:r>
      <w:r w:rsidRPr="00E62059">
        <w:t xml:space="preserve"> powinno się przedkładać oddzielnie od pism procesowych.</w:t>
      </w:r>
    </w:p>
    <w:p w14:paraId="05E01F1F" w14:textId="77777777"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 xml:space="preserve">Nie można w pismach procesowych przedkładanych w związku z postępowaniem spornym przywoływać propozycji, ustępstw lub innych oświadczeń złożonych w związku </w:t>
      </w:r>
      <w:r w:rsidRPr="00E62059">
        <w:br/>
        <w:t>z negocjacjami ugodowymi.</w:t>
      </w:r>
    </w:p>
    <w:p w14:paraId="02169E5D" w14:textId="77777777" w:rsidR="00805576" w:rsidRPr="00E62059" w:rsidRDefault="00805576" w:rsidP="00805576">
      <w:pPr>
        <w:pStyle w:val="Nagwek1"/>
        <w:tabs>
          <w:tab w:val="left" w:pos="420"/>
        </w:tabs>
        <w:spacing w:line="240" w:lineRule="auto"/>
      </w:pPr>
      <w:r w:rsidRPr="00E62059">
        <w:t>III. Terminy</w:t>
      </w:r>
    </w:p>
    <w:p w14:paraId="38C60ECE" w14:textId="77777777" w:rsidR="00805576" w:rsidRPr="003A1D79" w:rsidRDefault="00805576" w:rsidP="00805576">
      <w:pPr>
        <w:pStyle w:val="Cytat"/>
        <w:tabs>
          <w:tab w:val="left" w:pos="420"/>
        </w:tabs>
        <w:rPr>
          <w:b/>
          <w:i w:val="0"/>
        </w:rPr>
      </w:pPr>
      <w:r w:rsidRPr="003A1D79">
        <w:rPr>
          <w:b/>
          <w:i w:val="0"/>
        </w:rPr>
        <w:t>Zasady ogólne</w:t>
      </w:r>
    </w:p>
    <w:p w14:paraId="2132D772" w14:textId="77777777"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t>S</w:t>
      </w:r>
      <w:r w:rsidRPr="00E62059">
        <w:t>tr</w:t>
      </w:r>
      <w:r>
        <w:t>ona ponosi</w:t>
      </w:r>
      <w:r w:rsidRPr="00E62059">
        <w:t xml:space="preserve"> </w:t>
      </w:r>
      <w:r>
        <w:t>odpowiedzialność za dostarczenie</w:t>
      </w:r>
      <w:r w:rsidRPr="00E62059">
        <w:t xml:space="preserve"> w terminie Kancelarii Trybunału pism procesowych oraz wszelkich załączonych dokumentów lub dowodów.</w:t>
      </w:r>
    </w:p>
    <w:p w14:paraId="367FFC64" w14:textId="77777777" w:rsidR="00805576" w:rsidRPr="00F1793D" w:rsidRDefault="00805576" w:rsidP="00805576">
      <w:pPr>
        <w:pStyle w:val="Cytat"/>
        <w:tabs>
          <w:tab w:val="left" w:pos="420"/>
        </w:tabs>
        <w:rPr>
          <w:b/>
          <w:i w:val="0"/>
        </w:rPr>
      </w:pPr>
      <w:r w:rsidRPr="00F1793D">
        <w:rPr>
          <w:b/>
          <w:i w:val="0"/>
        </w:rPr>
        <w:t>Przedłużanie terminów</w:t>
      </w:r>
    </w:p>
    <w:p w14:paraId="67026935" w14:textId="24152D73"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Termin określony na podstaw</w:t>
      </w:r>
      <w:r>
        <w:t xml:space="preserve">ie </w:t>
      </w:r>
      <w:r w:rsidR="00C60FBA">
        <w:t>R</w:t>
      </w:r>
      <w:r w:rsidR="00C60FBA" w:rsidRPr="00E62059">
        <w:t xml:space="preserve">eguły </w:t>
      </w:r>
      <w:r w:rsidRPr="00E62059">
        <w:t>38 może zostać przedłużony na wniosek strony.</w:t>
      </w:r>
    </w:p>
    <w:p w14:paraId="628B1122" w14:textId="71E4C4CA"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Strona ubiegająca się o przedłużenie terminu do złożenia pisma procesowego musi wystąpić z wnioskiem niezwłocznie po tym, gdy dowiedziała się o okolicznościach uzasadni</w:t>
      </w:r>
      <w:r>
        <w:t>ających takie przedłużenie</w:t>
      </w:r>
      <w:r w:rsidR="000633CD">
        <w:t>,</w:t>
      </w:r>
      <w:r>
        <w:t xml:space="preserve"> </w:t>
      </w:r>
      <w:r w:rsidR="000633CD">
        <w:t>a</w:t>
      </w:r>
      <w:r w:rsidRPr="00E62059">
        <w:t xml:space="preserve"> w każdym wypadku przed upływem terminu. Powinna ona wskazać przyczyny zwłoki.</w:t>
      </w:r>
    </w:p>
    <w:p w14:paraId="0C1D415D" w14:textId="2158C3D8"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Przedłużenie terminu stosuje się do wszystkich stron, dla których ten termin biegnie, w</w:t>
      </w:r>
      <w:r w:rsidR="00D77A76">
        <w:t> </w:t>
      </w:r>
      <w:r w:rsidRPr="00E62059">
        <w:t>tym również stron, które nie wystąpiły o przedłużenie.</w:t>
      </w:r>
    </w:p>
    <w:p w14:paraId="59613180" w14:textId="77777777" w:rsidR="00805576" w:rsidRPr="00E62059" w:rsidRDefault="00805576" w:rsidP="00805576">
      <w:pPr>
        <w:pStyle w:val="Nagwek1"/>
        <w:tabs>
          <w:tab w:val="left" w:pos="420"/>
        </w:tabs>
        <w:spacing w:line="240" w:lineRule="auto"/>
      </w:pPr>
      <w:r w:rsidRPr="00E62059">
        <w:t>IV. Niewywiązanie się z wymogów dotyczących pism procesowych</w:t>
      </w:r>
    </w:p>
    <w:p w14:paraId="00B4D57E" w14:textId="493C822B"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t>W</w:t>
      </w:r>
      <w:r w:rsidRPr="00E62059">
        <w:t xml:space="preserve"> przypadku złożenia pisma procesowego niezgodnie z </w:t>
      </w:r>
      <w:r>
        <w:t>wymogami wskazanymi w </w:t>
      </w:r>
      <w:r w:rsidR="00473354">
        <w:t xml:space="preserve">§§ </w:t>
      </w:r>
      <w:r>
        <w:t>8-15 niniejszych wytycznych dotyczących praktyki</w:t>
      </w:r>
      <w:r w:rsidRPr="00E62059">
        <w:t>, Przewodniczący Izby może zwrócić się do</w:t>
      </w:r>
      <w:r w:rsidR="00836516">
        <w:t> </w:t>
      </w:r>
      <w:r w:rsidRPr="00E62059">
        <w:t>zainteresowanej strony o ponowne wniesienie pisma zgodnie z tymi wymogami.</w:t>
      </w:r>
    </w:p>
    <w:p w14:paraId="346EFC05" w14:textId="1FB7D4C0"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Niewywiązanie się z wyżej wymienionych warunków może skutkować uznaniem pisma procesowego</w:t>
      </w:r>
      <w:r>
        <w:t xml:space="preserve"> za niezłożone poprawnie (zob. </w:t>
      </w:r>
      <w:r w:rsidR="000633CD">
        <w:t>Reguła</w:t>
      </w:r>
      <w:r w:rsidR="000633CD" w:rsidRPr="00E62059">
        <w:t xml:space="preserve"> </w:t>
      </w:r>
      <w:r w:rsidRPr="00E62059">
        <w:t xml:space="preserve">38 </w:t>
      </w:r>
      <w:r w:rsidR="000633CD">
        <w:t>§</w:t>
      </w:r>
      <w:r w:rsidRPr="00E62059">
        <w:t xml:space="preserve"> 1).</w:t>
      </w:r>
    </w:p>
    <w:p w14:paraId="20C71CF8" w14:textId="77777777" w:rsidR="00805576" w:rsidRDefault="00805576" w:rsidP="00805576">
      <w:pPr>
        <w:spacing w:line="240" w:lineRule="auto"/>
        <w:jc w:val="left"/>
        <w:rPr>
          <w:rFonts w:eastAsiaTheme="majorEastAsia" w:cstheme="majorBidi"/>
          <w:b/>
          <w:bCs/>
          <w:szCs w:val="28"/>
        </w:rPr>
      </w:pPr>
    </w:p>
    <w:p w14:paraId="11AF0A36" w14:textId="77777777" w:rsidR="00805576" w:rsidRDefault="00805576" w:rsidP="00805576">
      <w:pPr>
        <w:spacing w:line="240" w:lineRule="auto"/>
        <w:jc w:val="left"/>
        <w:rPr>
          <w:rFonts w:eastAsiaTheme="majorEastAsia" w:cstheme="majorBidi"/>
          <w:b/>
          <w:bCs/>
          <w:szCs w:val="28"/>
        </w:rPr>
      </w:pPr>
    </w:p>
    <w:p w14:paraId="0327669E" w14:textId="77777777" w:rsidR="00805576" w:rsidRPr="003E081F" w:rsidRDefault="00805576" w:rsidP="00805576">
      <w:pPr>
        <w:pStyle w:val="Cytat"/>
        <w:tabs>
          <w:tab w:val="left" w:pos="420"/>
        </w:tabs>
        <w:spacing w:before="240" w:after="240"/>
        <w:rPr>
          <w:b/>
          <w:i w:val="0"/>
          <w:color w:val="0070C0"/>
          <w:sz w:val="28"/>
          <w:szCs w:val="28"/>
          <w:u w:val="single"/>
          <w:vertAlign w:val="superscript"/>
        </w:rPr>
      </w:pPr>
      <w:r w:rsidRPr="006A351E">
        <w:rPr>
          <w:b/>
          <w:i w:val="0"/>
          <w:color w:val="0070C0"/>
          <w:sz w:val="28"/>
          <w:szCs w:val="28"/>
          <w:u w:val="single"/>
        </w:rPr>
        <w:lastRenderedPageBreak/>
        <w:t>Roszczenia o słuszne</w:t>
      </w:r>
      <w:r w:rsidRPr="003E081F">
        <w:rPr>
          <w:b/>
          <w:i w:val="0"/>
          <w:color w:val="0070C0"/>
          <w:sz w:val="28"/>
          <w:szCs w:val="28"/>
          <w:u w:val="single"/>
        </w:rPr>
        <w:t xml:space="preserve"> zadośćuczynienie</w:t>
      </w:r>
      <w:r w:rsidRPr="003E081F">
        <w:rPr>
          <w:i w:val="0"/>
          <w:color w:val="0070C0"/>
          <w:vertAlign w:val="superscript"/>
        </w:rPr>
        <w:footnoteReference w:id="11"/>
      </w:r>
    </w:p>
    <w:p w14:paraId="19985E94" w14:textId="77777777" w:rsidR="00805576" w:rsidRPr="00E62059" w:rsidRDefault="00805576" w:rsidP="00805576">
      <w:pPr>
        <w:pStyle w:val="Nagwek1"/>
        <w:tabs>
          <w:tab w:val="left" w:pos="420"/>
        </w:tabs>
        <w:spacing w:before="60" w:line="240" w:lineRule="auto"/>
      </w:pPr>
      <w:r w:rsidRPr="00E62059">
        <w:t>I. Wprowadzenie</w:t>
      </w:r>
    </w:p>
    <w:p w14:paraId="0571252E" w14:textId="6A698671" w:rsidR="00805576" w:rsidRDefault="00805576" w:rsidP="00805576">
      <w:pPr>
        <w:pStyle w:val="Bezodstpw"/>
        <w:numPr>
          <w:ilvl w:val="0"/>
          <w:numId w:val="10"/>
        </w:numPr>
        <w:tabs>
          <w:tab w:val="left" w:pos="420"/>
        </w:tabs>
        <w:spacing w:before="60"/>
        <w:contextualSpacing w:val="0"/>
      </w:pPr>
      <w:r>
        <w:t>Słuszne zadośćuczynienie</w:t>
      </w:r>
      <w:r w:rsidRPr="00E62059">
        <w:t xml:space="preserve"> nie </w:t>
      </w:r>
      <w:r>
        <w:t xml:space="preserve">jest automatycznie przyznawane w </w:t>
      </w:r>
      <w:r w:rsidRPr="00E62059">
        <w:t>konsekwencji ustalenia przez Europejski Trybunał Praw Człowieka, że doszło do naruszeni</w:t>
      </w:r>
      <w:r>
        <w:t>a</w:t>
      </w:r>
      <w:r w:rsidRPr="00E62059">
        <w:t xml:space="preserve"> prawa gwarantowanego w Europejskiej Konwencji Praw Człowieka lub Protokoł</w:t>
      </w:r>
      <w:r>
        <w:t>ach</w:t>
      </w:r>
      <w:r w:rsidRPr="00E62059">
        <w:t xml:space="preserve"> do niej. Wynika to jasno ze sformułowania </w:t>
      </w:r>
      <w:r>
        <w:t>a</w:t>
      </w:r>
      <w:r w:rsidRPr="00E62059">
        <w:t>rtykułu 41, który stanowi, że Trybunał orzeka słuszne zadośćuczynienie tylko wtedy, gdy prawo krajowe nie pozwala na całkowite usunięcie konsekwencji naruszenia, oraz, nawet w takich wypadkach, tylko "gdy zachodzi potrzeba" (</w:t>
      </w:r>
      <w:proofErr w:type="spellStart"/>
      <w:r w:rsidRPr="00206624">
        <w:rPr>
          <w:i/>
        </w:rPr>
        <w:t>s'il</w:t>
      </w:r>
      <w:proofErr w:type="spellEnd"/>
      <w:r w:rsidRPr="00206624">
        <w:rPr>
          <w:i/>
        </w:rPr>
        <w:t xml:space="preserve"> y a </w:t>
      </w:r>
      <w:proofErr w:type="spellStart"/>
      <w:r w:rsidRPr="00206624">
        <w:rPr>
          <w:i/>
        </w:rPr>
        <w:t>lieu</w:t>
      </w:r>
      <w:proofErr w:type="spellEnd"/>
      <w:r w:rsidRPr="00E62059">
        <w:t xml:space="preserve"> w wersji francuskiej).</w:t>
      </w:r>
      <w:r>
        <w:t xml:space="preserve"> </w:t>
      </w:r>
    </w:p>
    <w:p w14:paraId="60AC1A88" w14:textId="70CB8C81" w:rsidR="00805576" w:rsidRPr="00E62059" w:rsidRDefault="00805576" w:rsidP="00805576">
      <w:pPr>
        <w:pStyle w:val="Bezodstpw"/>
        <w:numPr>
          <w:ilvl w:val="0"/>
          <w:numId w:val="10"/>
        </w:numPr>
        <w:tabs>
          <w:tab w:val="left" w:pos="420"/>
        </w:tabs>
        <w:spacing w:before="60"/>
        <w:contextualSpacing w:val="0"/>
      </w:pPr>
      <w:r w:rsidRPr="00E62059">
        <w:t>Ponadto, Trybunał zasądzi tylko takie zadośćuczynienie, które uzna za "słuszne" (</w:t>
      </w:r>
      <w:proofErr w:type="spellStart"/>
      <w:r w:rsidRPr="00206624">
        <w:rPr>
          <w:i/>
        </w:rPr>
        <w:t>équitable</w:t>
      </w:r>
      <w:proofErr w:type="spellEnd"/>
      <w:r w:rsidRPr="00E62059">
        <w:t xml:space="preserve"> w wersji francuskiej) w danych okolicznościach. </w:t>
      </w:r>
      <w:r>
        <w:t>W k</w:t>
      </w:r>
      <w:r w:rsidRPr="00E62059">
        <w:t>onsekwe</w:t>
      </w:r>
      <w:r>
        <w:t>ncji</w:t>
      </w:r>
      <w:r w:rsidRPr="00E62059">
        <w:t xml:space="preserve"> pod uwagę bierze się szczególne </w:t>
      </w:r>
      <w:r>
        <w:t xml:space="preserve">okoliczności </w:t>
      </w:r>
      <w:r w:rsidRPr="00E62059">
        <w:t>każdej sprawy. Trybunał może zdecydować, że w odniesieniu do</w:t>
      </w:r>
      <w:r w:rsidR="00836516">
        <w:t> </w:t>
      </w:r>
      <w:r w:rsidRPr="00E62059">
        <w:t xml:space="preserve">niektórych zarzutów </w:t>
      </w:r>
      <w:r>
        <w:t>stwierdzenie naruszenia</w:t>
      </w:r>
      <w:r w:rsidRPr="00E62059">
        <w:t xml:space="preserve"> stanowi samo w sobie wystarczające słuszne zadośćuczy</w:t>
      </w:r>
      <w:r>
        <w:t>nienie, bez potrzeby finansowej rekompensaty</w:t>
      </w:r>
      <w:r w:rsidRPr="00E62059">
        <w:t xml:space="preserve">. </w:t>
      </w:r>
      <w:r>
        <w:t>Trybunał m</w:t>
      </w:r>
      <w:r w:rsidRPr="00E62059">
        <w:t>oże również ze względów słuszności przyznać mniej niż wartość szkody rzeczywiście poniesionej lub</w:t>
      </w:r>
      <w:r w:rsidR="00836516">
        <w:t> </w:t>
      </w:r>
      <w:r>
        <w:t xml:space="preserve">wysokość </w:t>
      </w:r>
      <w:r w:rsidRPr="00E62059">
        <w:t>kosztów i wydatków rzeczywiście poniesionych albo w ogóle nie przyznać żadnego zadośćuczynienia. Tak może być, na przykład, gdy sytuacja, której dotyczy skarga, wysokość szkody lub poziom kosztów wynikają z winy skarżącego. Ustalając wysokość zadośćuczynienia, Trybunał może również wziąć pod uwagę stosowne stanowiska skarżącego jako strony pokrzywdzonej naruszeniem oraz Układającej się Strony jako odpowiedzialnej za interes publiczny. Wreszcie, Trybunał zwykle bierze pod uwagę lokalne uwarunkowania ekonomiczne.</w:t>
      </w:r>
    </w:p>
    <w:p w14:paraId="4582BA2C" w14:textId="77777777" w:rsidR="00805576" w:rsidRPr="00E62059" w:rsidRDefault="00805576" w:rsidP="00805576">
      <w:pPr>
        <w:pStyle w:val="Bezodstpw"/>
        <w:numPr>
          <w:ilvl w:val="0"/>
          <w:numId w:val="10"/>
        </w:numPr>
        <w:tabs>
          <w:tab w:val="left" w:pos="420"/>
        </w:tabs>
        <w:spacing w:before="60"/>
        <w:contextualSpacing w:val="0"/>
      </w:pPr>
      <w:r w:rsidRPr="00E62059">
        <w:t xml:space="preserve">Orzekając o </w:t>
      </w:r>
      <w:r>
        <w:t>przyznaniu odszkodowania</w:t>
      </w:r>
      <w:r w:rsidRPr="00E62059">
        <w:t xml:space="preserve"> na podstawie </w:t>
      </w:r>
      <w:r>
        <w:t>a</w:t>
      </w:r>
      <w:r w:rsidRPr="00E62059">
        <w:t>rtykułu 41, Trybunał może kierować się st</w:t>
      </w:r>
      <w:r>
        <w:t>andardami krajowymi. N</w:t>
      </w:r>
      <w:r w:rsidRPr="00E62059">
        <w:t xml:space="preserve">ie jest </w:t>
      </w:r>
      <w:r>
        <w:t xml:space="preserve">jednak </w:t>
      </w:r>
      <w:r w:rsidRPr="00E62059">
        <w:t>nimi nigdy związany.</w:t>
      </w:r>
    </w:p>
    <w:p w14:paraId="432CF536" w14:textId="77777777" w:rsidR="00805576" w:rsidRPr="00E62059" w:rsidRDefault="00805576" w:rsidP="00805576">
      <w:pPr>
        <w:pStyle w:val="Bezodstpw"/>
        <w:numPr>
          <w:ilvl w:val="0"/>
          <w:numId w:val="10"/>
        </w:numPr>
        <w:tabs>
          <w:tab w:val="left" w:pos="420"/>
        </w:tabs>
        <w:spacing w:before="60"/>
        <w:contextualSpacing w:val="0"/>
      </w:pPr>
      <w:r w:rsidRPr="00E62059">
        <w:t>Osoby występujące z roszczeniem ostrzega się, że warunkiem przyznania słusznego zadośćuczynienia jest zastosowanie się do formalnych i materialnych wymogów wynikających z Konwencji i Regulaminu Trybunału.</w:t>
      </w:r>
    </w:p>
    <w:p w14:paraId="2EC8008B" w14:textId="77777777" w:rsidR="00805576" w:rsidRPr="00E62059" w:rsidRDefault="00805576" w:rsidP="00805576">
      <w:pPr>
        <w:pStyle w:val="Nagwek1"/>
        <w:tabs>
          <w:tab w:val="left" w:pos="420"/>
        </w:tabs>
        <w:spacing w:line="240" w:lineRule="auto"/>
      </w:pPr>
      <w:r w:rsidRPr="00E62059">
        <w:t>II. Zgłaszanie roszczeń o słuszne zadośćuczynienie: wymogi formalne</w:t>
      </w:r>
    </w:p>
    <w:p w14:paraId="49C9ABDD" w14:textId="6D577BD5" w:rsidR="00805576" w:rsidRPr="00E62059" w:rsidRDefault="00805576" w:rsidP="00805576">
      <w:pPr>
        <w:pStyle w:val="Bezodstpw"/>
        <w:numPr>
          <w:ilvl w:val="0"/>
          <w:numId w:val="10"/>
        </w:numPr>
        <w:tabs>
          <w:tab w:val="left" w:pos="420"/>
        </w:tabs>
        <w:spacing w:before="60"/>
        <w:contextualSpacing w:val="0"/>
      </w:pPr>
      <w:r w:rsidRPr="00E62059">
        <w:t>Terminy oraz inne wymogi formalne dotyczące zgłaszania roszczeń o słuszne zadośćuczynienie są za</w:t>
      </w:r>
      <w:r>
        <w:t xml:space="preserve">warte w </w:t>
      </w:r>
      <w:r w:rsidR="00DB55DE">
        <w:t>R</w:t>
      </w:r>
      <w:r w:rsidR="00DB55DE" w:rsidRPr="00E62059">
        <w:t xml:space="preserve">egule </w:t>
      </w:r>
      <w:r w:rsidRPr="00E62059">
        <w:t>60 Regulaminu Trybunału, której odpowiednia część stanowi:</w:t>
      </w:r>
    </w:p>
    <w:p w14:paraId="58D30F2E" w14:textId="77777777" w:rsidR="00805576" w:rsidRDefault="00805576" w:rsidP="00805576">
      <w:pPr>
        <w:pStyle w:val="Bezodstpw"/>
        <w:numPr>
          <w:ilvl w:val="0"/>
          <w:numId w:val="0"/>
        </w:numPr>
        <w:tabs>
          <w:tab w:val="left" w:pos="420"/>
        </w:tabs>
        <w:ind w:left="567"/>
        <w:contextualSpacing w:val="0"/>
      </w:pPr>
    </w:p>
    <w:p w14:paraId="35866936" w14:textId="6DE7D849" w:rsidR="00C81DA5" w:rsidRPr="00C81DA5" w:rsidRDefault="00C81DA5" w:rsidP="00C81DA5">
      <w:pPr>
        <w:pStyle w:val="Bezodstpw"/>
        <w:numPr>
          <w:ilvl w:val="0"/>
          <w:numId w:val="0"/>
        </w:numPr>
        <w:spacing w:after="60"/>
        <w:ind w:left="567"/>
        <w:contextualSpacing w:val="0"/>
        <w:rPr>
          <w:i/>
        </w:rPr>
      </w:pPr>
      <w:r>
        <w:rPr>
          <w:i/>
        </w:rPr>
        <w:t xml:space="preserve">1. </w:t>
      </w:r>
      <w:r w:rsidRPr="00C81DA5">
        <w:rPr>
          <w:i/>
        </w:rPr>
        <w:t>„Skarżący, który domaga się słusznego zadośćuczynienia na podstawie artykułu 41 Konwencji w przypadku, gdy Trybunał stwierdzi naruszenie jego praw wynikających z Konwencji, powinien w tym celu wystąpić z wyraźnym żądaniem.</w:t>
      </w:r>
    </w:p>
    <w:p w14:paraId="007EFAD0" w14:textId="1287B279" w:rsidR="00C81DA5" w:rsidRPr="00C81DA5" w:rsidRDefault="00C81DA5" w:rsidP="00C81DA5">
      <w:pPr>
        <w:pStyle w:val="Bezodstpw"/>
        <w:numPr>
          <w:ilvl w:val="0"/>
          <w:numId w:val="0"/>
        </w:numPr>
        <w:spacing w:after="60"/>
        <w:ind w:left="567"/>
        <w:contextualSpacing w:val="0"/>
        <w:rPr>
          <w:i/>
        </w:rPr>
      </w:pPr>
      <w:r>
        <w:rPr>
          <w:i/>
        </w:rPr>
        <w:t xml:space="preserve">2. </w:t>
      </w:r>
      <w:r w:rsidRPr="00C81DA5">
        <w:rPr>
          <w:i/>
        </w:rPr>
        <w:t>Skarżący powinien przedstawić szczegółowo określone pozycje swojego żądania, łącznie ze wszystkimi istotnymi dokumentami na ich potwierdzenie, w terminie wyznaczonym na złożenie uwag skarżącego w sprawie przedmiotu skargi, chyba że Przewodniczący Izby zdecyduje inaczej.</w:t>
      </w:r>
    </w:p>
    <w:p w14:paraId="2268A7E6" w14:textId="7AD68426" w:rsidR="00C81DA5" w:rsidRPr="00C81DA5" w:rsidRDefault="00C81DA5" w:rsidP="00C81DA5">
      <w:pPr>
        <w:pStyle w:val="Bezodstpw"/>
        <w:numPr>
          <w:ilvl w:val="0"/>
          <w:numId w:val="0"/>
        </w:numPr>
        <w:spacing w:after="240"/>
        <w:ind w:left="567"/>
        <w:contextualSpacing w:val="0"/>
        <w:rPr>
          <w:i/>
        </w:rPr>
      </w:pPr>
      <w:r>
        <w:rPr>
          <w:i/>
        </w:rPr>
        <w:lastRenderedPageBreak/>
        <w:t xml:space="preserve">3. </w:t>
      </w:r>
      <w:r w:rsidRPr="00C81DA5">
        <w:rPr>
          <w:i/>
        </w:rPr>
        <w:t>W razie niedopełnienia przez skarżącego wymogów określonych w poprzedzających paragrafach, Izba może odrzucić żądania w całości lub w części”.</w:t>
      </w:r>
    </w:p>
    <w:p w14:paraId="7B2C298B" w14:textId="1C84AAB2" w:rsidR="00805576" w:rsidRPr="00E62059" w:rsidRDefault="00805576" w:rsidP="00805576">
      <w:pPr>
        <w:tabs>
          <w:tab w:val="left" w:pos="420"/>
        </w:tabs>
        <w:spacing w:after="0" w:line="240" w:lineRule="auto"/>
      </w:pPr>
      <w:r>
        <w:t xml:space="preserve">Tak więc Trybunał </w:t>
      </w:r>
      <w:r w:rsidRPr="00E62059">
        <w:t xml:space="preserve">wymaga, aby konkretne roszczenia były potwierdzone stosowną dokumentacją dowodową, bez której może </w:t>
      </w:r>
      <w:r>
        <w:t xml:space="preserve">nie </w:t>
      </w:r>
      <w:r w:rsidRPr="00E62059">
        <w:t>przyznać żadnego zadośćuczynienia. Trybunał odrzuci również roszczenia przedstawione w formularzu skargi, ale niezgłoszone ponownie na</w:t>
      </w:r>
      <w:r w:rsidR="00836516">
        <w:t> </w:t>
      </w:r>
      <w:r w:rsidRPr="00E62059">
        <w:t>właściwym etapie postępowania</w:t>
      </w:r>
      <w:r w:rsidR="00DB55DE">
        <w:t>,</w:t>
      </w:r>
      <w:r w:rsidRPr="00E62059">
        <w:t xml:space="preserve"> oraz roszczenia zgłoszone po terminie.</w:t>
      </w:r>
    </w:p>
    <w:p w14:paraId="6842B9FF" w14:textId="77777777" w:rsidR="00805576" w:rsidRPr="00E62059" w:rsidRDefault="00805576" w:rsidP="00805576">
      <w:pPr>
        <w:pStyle w:val="Nagwek1"/>
        <w:tabs>
          <w:tab w:val="left" w:pos="420"/>
        </w:tabs>
        <w:spacing w:line="240" w:lineRule="auto"/>
      </w:pPr>
      <w:r w:rsidRPr="00E62059">
        <w:t>III. Zgłaszanie roszczeń o słuszne zadośćuczynienie: wymogi materialne</w:t>
      </w:r>
    </w:p>
    <w:p w14:paraId="62E65941" w14:textId="77777777" w:rsidR="00805576" w:rsidRPr="00E62059" w:rsidRDefault="00805576" w:rsidP="00805576">
      <w:pPr>
        <w:pStyle w:val="Bezodstpw"/>
        <w:numPr>
          <w:ilvl w:val="0"/>
          <w:numId w:val="10"/>
        </w:numPr>
        <w:tabs>
          <w:tab w:val="left" w:pos="420"/>
        </w:tabs>
        <w:spacing w:before="60"/>
        <w:contextualSpacing w:val="0"/>
      </w:pPr>
      <w:r w:rsidRPr="00E62059">
        <w:t xml:space="preserve">Słuszne zadośćuczynienie może zostać przyznane na podstawie </w:t>
      </w:r>
      <w:r>
        <w:t>a</w:t>
      </w:r>
      <w:r w:rsidRPr="00E62059">
        <w:t>rtykułu 41 Konwencji</w:t>
      </w:r>
      <w:r>
        <w:t xml:space="preserve"> </w:t>
      </w:r>
      <w:r>
        <w:br/>
      </w:r>
      <w:r w:rsidRPr="00E62059">
        <w:t>w związku z:</w:t>
      </w:r>
    </w:p>
    <w:p w14:paraId="39FB08DA" w14:textId="77777777" w:rsidR="00805576" w:rsidRPr="00E62059" w:rsidRDefault="00805576" w:rsidP="00805576">
      <w:pPr>
        <w:tabs>
          <w:tab w:val="left" w:pos="420"/>
        </w:tabs>
        <w:spacing w:before="60" w:after="0" w:line="240" w:lineRule="auto"/>
      </w:pPr>
      <w:r w:rsidRPr="00E62059">
        <w:t>a) szkodą majątkową;</w:t>
      </w:r>
    </w:p>
    <w:p w14:paraId="6E8F5ECC" w14:textId="77777777" w:rsidR="00805576" w:rsidRPr="00E62059" w:rsidRDefault="00805576" w:rsidP="00805576">
      <w:pPr>
        <w:tabs>
          <w:tab w:val="left" w:pos="420"/>
        </w:tabs>
        <w:spacing w:before="60" w:after="0" w:line="240" w:lineRule="auto"/>
      </w:pPr>
      <w:r w:rsidRPr="00E62059">
        <w:t>b) szkodą niemajątkową; oraz</w:t>
      </w:r>
    </w:p>
    <w:p w14:paraId="0D349C84" w14:textId="77777777" w:rsidR="00805576" w:rsidRPr="00E62059" w:rsidRDefault="00805576" w:rsidP="00805576">
      <w:pPr>
        <w:tabs>
          <w:tab w:val="left" w:pos="420"/>
        </w:tabs>
        <w:spacing w:before="60" w:after="0" w:line="240" w:lineRule="auto"/>
      </w:pPr>
      <w:r w:rsidRPr="00E62059">
        <w:t>c) kosztami i wydatkami.</w:t>
      </w:r>
    </w:p>
    <w:p w14:paraId="366536B7" w14:textId="77777777" w:rsidR="00805576" w:rsidRPr="00E62059" w:rsidRDefault="00805576" w:rsidP="00805576">
      <w:pPr>
        <w:pStyle w:val="Nagwek1"/>
        <w:tabs>
          <w:tab w:val="left" w:pos="420"/>
        </w:tabs>
        <w:spacing w:line="240" w:lineRule="auto"/>
      </w:pPr>
      <w:r w:rsidRPr="00E62059">
        <w:t xml:space="preserve">1. </w:t>
      </w:r>
      <w:r>
        <w:t xml:space="preserve"> Szkoda (zagadnienia ogólne)</w:t>
      </w:r>
    </w:p>
    <w:p w14:paraId="63F0DE40" w14:textId="77777777" w:rsidR="00805576" w:rsidRPr="00E62059" w:rsidRDefault="00805576" w:rsidP="00805576">
      <w:pPr>
        <w:pStyle w:val="Bezodstpw"/>
        <w:numPr>
          <w:ilvl w:val="0"/>
          <w:numId w:val="10"/>
        </w:numPr>
        <w:tabs>
          <w:tab w:val="left" w:pos="420"/>
        </w:tabs>
        <w:spacing w:before="60"/>
        <w:contextualSpacing w:val="0"/>
      </w:pPr>
      <w:r>
        <w:t>M</w:t>
      </w:r>
      <w:r w:rsidRPr="00E62059">
        <w:t>usi zachod</w:t>
      </w:r>
      <w:r>
        <w:t>zić w</w:t>
      </w:r>
      <w:r w:rsidRPr="00E62059">
        <w:t xml:space="preserve">yraźny związek przyczynowy </w:t>
      </w:r>
      <w:r>
        <w:t>pomiędzy zgłoszoną szkodą a </w:t>
      </w:r>
      <w:r w:rsidRPr="00E62059">
        <w:t>zarzucanym naruszeniem. Trybunał nie uzna za wystarczające luźnego związku pomiędzy z</w:t>
      </w:r>
      <w:r>
        <w:t xml:space="preserve">arzucanym naruszeniem a szkodą </w:t>
      </w:r>
      <w:r w:rsidRPr="00E62059">
        <w:t>ani też samego przypuszczenia co do tego, jakby mogło być.</w:t>
      </w:r>
    </w:p>
    <w:p w14:paraId="2A8B19F0" w14:textId="77777777" w:rsidR="00805576" w:rsidRPr="00E62059" w:rsidRDefault="00805576" w:rsidP="00805576">
      <w:pPr>
        <w:pStyle w:val="Bezodstpw"/>
        <w:numPr>
          <w:ilvl w:val="0"/>
          <w:numId w:val="10"/>
        </w:numPr>
        <w:tabs>
          <w:tab w:val="left" w:pos="420"/>
        </w:tabs>
        <w:spacing w:before="60"/>
        <w:contextualSpacing w:val="0"/>
      </w:pPr>
      <w:r w:rsidRPr="00E62059">
        <w:t xml:space="preserve">Odszkodowanie może zostać przyznane w takim stopniu, w jakim szkoda jest rezultatem ustalonego naruszenia. Nie przyznaje się </w:t>
      </w:r>
      <w:r>
        <w:t xml:space="preserve">odszkodowania </w:t>
      </w:r>
      <w:r w:rsidRPr="00E62059">
        <w:t>za szkodę będącą skutkiem zdarzenia lub sytuacji, które nie zostały uznane za naruszenie Konwencji, ani za szkodę związaną ze skargami (zarzutami) uznanymi za niedopuszczalne na wcześniejszym etapie postępowania.</w:t>
      </w:r>
    </w:p>
    <w:p w14:paraId="356EDA1D" w14:textId="7989A130" w:rsidR="00805576" w:rsidRPr="00E62059" w:rsidRDefault="00805576" w:rsidP="00805576">
      <w:pPr>
        <w:pStyle w:val="Bezodstpw"/>
        <w:numPr>
          <w:ilvl w:val="0"/>
          <w:numId w:val="10"/>
        </w:numPr>
        <w:tabs>
          <w:tab w:val="left" w:pos="420"/>
        </w:tabs>
        <w:spacing w:before="60"/>
        <w:contextualSpacing w:val="0"/>
      </w:pPr>
      <w:r w:rsidRPr="00E62059">
        <w:t xml:space="preserve">Trybunał zasądza </w:t>
      </w:r>
      <w:r>
        <w:t>odszkodowanie</w:t>
      </w:r>
      <w:r w:rsidRPr="00E62059">
        <w:t xml:space="preserve"> w celu zrekompensowania skarżącemu rzeczywistych, krzywdzących skutków naruszenia. Celem nie jest ukaranie odpowiedzialnej Układającej się Strony. Dlatego Trybunał uznawał jak dotąd za niewłaściwe uznawanie roszczeń odszkodowawczych określanych mianem </w:t>
      </w:r>
      <w:r w:rsidR="004711B1">
        <w:t>„</w:t>
      </w:r>
      <w:r w:rsidRPr="00E62059">
        <w:t xml:space="preserve">karnych", </w:t>
      </w:r>
      <w:r w:rsidR="004711B1">
        <w:t>„</w:t>
      </w:r>
      <w:r w:rsidRPr="00E62059">
        <w:t xml:space="preserve">kwalifikowanych" lub </w:t>
      </w:r>
      <w:r w:rsidR="004711B1">
        <w:t>„</w:t>
      </w:r>
      <w:r w:rsidRPr="00E62059">
        <w:t>z nawiązką".</w:t>
      </w:r>
    </w:p>
    <w:p w14:paraId="78B260C6" w14:textId="77777777" w:rsidR="00805576" w:rsidRPr="00E62059" w:rsidRDefault="00805576" w:rsidP="00805576">
      <w:pPr>
        <w:pStyle w:val="Nagwek1"/>
        <w:tabs>
          <w:tab w:val="left" w:pos="420"/>
        </w:tabs>
        <w:spacing w:line="240" w:lineRule="auto"/>
      </w:pPr>
      <w:r w:rsidRPr="00E62059">
        <w:t>2. Szkoda majątkowa</w:t>
      </w:r>
    </w:p>
    <w:p w14:paraId="6E378EC1" w14:textId="1FD7DF09" w:rsidR="00805576" w:rsidRPr="00E62059" w:rsidRDefault="00805576" w:rsidP="00805576">
      <w:pPr>
        <w:pStyle w:val="Bezodstpw"/>
        <w:numPr>
          <w:ilvl w:val="0"/>
          <w:numId w:val="10"/>
        </w:numPr>
        <w:tabs>
          <w:tab w:val="left" w:pos="420"/>
        </w:tabs>
        <w:spacing w:before="60"/>
        <w:contextualSpacing w:val="0"/>
      </w:pPr>
      <w:r>
        <w:t xml:space="preserve">W </w:t>
      </w:r>
      <w:r w:rsidRPr="00E62059">
        <w:t xml:space="preserve">odniesieniu do szkody majątkowej </w:t>
      </w:r>
      <w:r>
        <w:t>zasadą jest</w:t>
      </w:r>
      <w:r w:rsidRPr="00E62059">
        <w:t xml:space="preserve">, że skarżący </w:t>
      </w:r>
      <w:r>
        <w:t xml:space="preserve">powinien </w:t>
      </w:r>
      <w:r w:rsidR="004711B1">
        <w:t xml:space="preserve">zostać postawiony, </w:t>
      </w:r>
      <w:r w:rsidRPr="00E62059">
        <w:t>tak dalece jak to możliwe, w sytuacji</w:t>
      </w:r>
      <w:r w:rsidR="00F95560">
        <w:t>,</w:t>
      </w:r>
      <w:r w:rsidRPr="00E62059">
        <w:t xml:space="preserve"> w jakiej byłby, gdyby ustalone naruszenie nie miało miejsca, innymi słowy </w:t>
      </w:r>
      <w:r w:rsidRPr="00E63567">
        <w:rPr>
          <w:i/>
        </w:rPr>
        <w:t>restitutio in integrum.</w:t>
      </w:r>
      <w:r w:rsidRPr="00E62059">
        <w:t xml:space="preserve"> Może to obejmować odszkodowanie za straty rzeczywiście poniesione </w:t>
      </w:r>
      <w:r w:rsidRPr="00E63567">
        <w:t>(</w:t>
      </w:r>
      <w:proofErr w:type="spellStart"/>
      <w:r w:rsidRPr="00421229">
        <w:rPr>
          <w:i/>
        </w:rPr>
        <w:t>damnum</w:t>
      </w:r>
      <w:proofErr w:type="spellEnd"/>
      <w:r w:rsidRPr="00421229">
        <w:rPr>
          <w:i/>
        </w:rPr>
        <w:t xml:space="preserve"> </w:t>
      </w:r>
      <w:proofErr w:type="spellStart"/>
      <w:r w:rsidRPr="00421229">
        <w:rPr>
          <w:i/>
        </w:rPr>
        <w:t>emergens</w:t>
      </w:r>
      <w:proofErr w:type="spellEnd"/>
      <w:r w:rsidRPr="00E63567">
        <w:t>)</w:t>
      </w:r>
      <w:r w:rsidRPr="00E62059">
        <w:t xml:space="preserve"> oraz straty lub </w:t>
      </w:r>
      <w:r w:rsidR="004711B1">
        <w:t>zmniejszenie</w:t>
      </w:r>
      <w:r w:rsidRPr="00E62059">
        <w:t xml:space="preserve"> zysku spodziewane</w:t>
      </w:r>
      <w:r>
        <w:t>go</w:t>
      </w:r>
      <w:r w:rsidRPr="00E62059">
        <w:t xml:space="preserve"> w przyszłości </w:t>
      </w:r>
      <w:r w:rsidRPr="00E63567">
        <w:rPr>
          <w:i/>
        </w:rPr>
        <w:t>(</w:t>
      </w:r>
      <w:proofErr w:type="spellStart"/>
      <w:r w:rsidRPr="00E63567">
        <w:rPr>
          <w:i/>
        </w:rPr>
        <w:t>lucrum</w:t>
      </w:r>
      <w:proofErr w:type="spellEnd"/>
      <w:r w:rsidRPr="00E63567">
        <w:rPr>
          <w:i/>
        </w:rPr>
        <w:t xml:space="preserve"> </w:t>
      </w:r>
      <w:proofErr w:type="spellStart"/>
      <w:r w:rsidRPr="00E63567">
        <w:rPr>
          <w:i/>
        </w:rPr>
        <w:t>cessans</w:t>
      </w:r>
      <w:proofErr w:type="spellEnd"/>
      <w:r w:rsidRPr="00E63567">
        <w:rPr>
          <w:i/>
        </w:rPr>
        <w:t>).</w:t>
      </w:r>
    </w:p>
    <w:p w14:paraId="646C61A5" w14:textId="047CF6A7" w:rsidR="00805576" w:rsidRPr="00E62059" w:rsidRDefault="00805576" w:rsidP="00805576">
      <w:pPr>
        <w:pStyle w:val="Bezodstpw"/>
        <w:numPr>
          <w:ilvl w:val="0"/>
          <w:numId w:val="10"/>
        </w:numPr>
        <w:tabs>
          <w:tab w:val="left" w:pos="420"/>
        </w:tabs>
        <w:spacing w:before="60"/>
        <w:contextualSpacing w:val="0"/>
      </w:pPr>
      <w:r w:rsidRPr="00E62059">
        <w:t>Do skarżącego należy wykazanie, że szkoda jest wynikiem zarzucanego naruszenia lub</w:t>
      </w:r>
      <w:r w:rsidR="00836516">
        <w:t> </w:t>
      </w:r>
      <w:r w:rsidRPr="00E62059">
        <w:t>naruszeń. Skarżący powinien przedstawić stosowne dokumenty w celu potwierdzenia, tak dalece jak to możliwe, nie tylko sam</w:t>
      </w:r>
      <w:r>
        <w:t>ego</w:t>
      </w:r>
      <w:r w:rsidRPr="00E62059">
        <w:t xml:space="preserve"> istnieni</w:t>
      </w:r>
      <w:r>
        <w:t>a</w:t>
      </w:r>
      <w:r w:rsidRPr="00E62059">
        <w:t>, ale również wysokości lub wartości szkody.</w:t>
      </w:r>
    </w:p>
    <w:p w14:paraId="2CEAE78F" w14:textId="7D0C63F2" w:rsidR="00805576" w:rsidRPr="00E62059" w:rsidRDefault="00805576" w:rsidP="00805576">
      <w:pPr>
        <w:pStyle w:val="Bezodstpw"/>
        <w:numPr>
          <w:ilvl w:val="0"/>
          <w:numId w:val="10"/>
        </w:numPr>
        <w:tabs>
          <w:tab w:val="left" w:pos="420"/>
        </w:tabs>
        <w:spacing w:before="60"/>
        <w:contextualSpacing w:val="0"/>
      </w:pPr>
      <w:r w:rsidRPr="00E62059">
        <w:t>Trybunał</w:t>
      </w:r>
      <w:r w:rsidRPr="00AF771D">
        <w:t xml:space="preserve"> </w:t>
      </w:r>
      <w:r>
        <w:t>zwykle</w:t>
      </w:r>
      <w:r w:rsidRPr="00E62059">
        <w:t xml:space="preserve"> przyznaje </w:t>
      </w:r>
      <w:r>
        <w:t xml:space="preserve">odszkodowanie </w:t>
      </w:r>
      <w:r w:rsidRPr="00E62059">
        <w:t>odpowiadające pełnej wysokości obliczonej szkody. Jednakże, jeżeli rzeczywista szkoda nie może być precyzyjnie obliczona, Trybunał oszacowuje wysokość szkody w oparciu o fakty, kt</w:t>
      </w:r>
      <w:r>
        <w:t>órymi dysponuje. Jak wskazano w </w:t>
      </w:r>
      <w:r w:rsidR="004711B1">
        <w:t>§</w:t>
      </w:r>
      <w:r w:rsidRPr="00E62059">
        <w:t xml:space="preserve"> 2 powyżej, jest również możliwe, że Trybunał ze względów słuszności przyzna mniej niż</w:t>
      </w:r>
      <w:r w:rsidR="00836516">
        <w:t> </w:t>
      </w:r>
      <w:r>
        <w:t xml:space="preserve">pełna </w:t>
      </w:r>
      <w:r w:rsidRPr="00E62059">
        <w:t>wysokość szkody.</w:t>
      </w:r>
    </w:p>
    <w:p w14:paraId="4AC23303" w14:textId="77777777" w:rsidR="00805576" w:rsidRPr="00E62059" w:rsidRDefault="00805576" w:rsidP="00805576">
      <w:pPr>
        <w:pStyle w:val="Nagwek1"/>
        <w:tabs>
          <w:tab w:val="left" w:pos="420"/>
        </w:tabs>
        <w:spacing w:line="240" w:lineRule="auto"/>
      </w:pPr>
      <w:r w:rsidRPr="00E62059">
        <w:lastRenderedPageBreak/>
        <w:t>3. Szkoda niemajątkowa</w:t>
      </w:r>
    </w:p>
    <w:p w14:paraId="172BE0AB" w14:textId="77777777" w:rsidR="00805576" w:rsidRPr="00E62059" w:rsidRDefault="00805576" w:rsidP="00805576">
      <w:pPr>
        <w:pStyle w:val="Bezodstpw"/>
        <w:numPr>
          <w:ilvl w:val="0"/>
          <w:numId w:val="10"/>
        </w:numPr>
        <w:tabs>
          <w:tab w:val="left" w:pos="420"/>
        </w:tabs>
        <w:spacing w:before="60"/>
        <w:contextualSpacing w:val="0"/>
      </w:pPr>
      <w:r w:rsidRPr="00E62059">
        <w:t>Trybunał zasądza zadośćuczynienie za szkodę niemajątkową w celu zrekompensowania skarżącemu krzywd niematerialnych, na przykład cierpień psychicznych lub fizycznych.</w:t>
      </w:r>
    </w:p>
    <w:p w14:paraId="0956CD27" w14:textId="49E17961" w:rsidR="00805576" w:rsidRPr="00E62059" w:rsidRDefault="00805576" w:rsidP="00805576">
      <w:pPr>
        <w:pStyle w:val="Bezodstpw"/>
        <w:numPr>
          <w:ilvl w:val="0"/>
          <w:numId w:val="10"/>
        </w:numPr>
        <w:tabs>
          <w:tab w:val="left" w:pos="420"/>
        </w:tabs>
        <w:spacing w:before="60"/>
        <w:contextualSpacing w:val="0"/>
      </w:pPr>
      <w:r w:rsidRPr="00E62059">
        <w:t xml:space="preserve">Z natury szkody niemajątkowej wynika to, że nie można jej precyzyjnie obliczyć. Jeżeli ustalono, że szkoda taka nastąpiła, a Trybunał uważa przyznanie rekompensaty pieniężnej za konieczne, dokona oszacowania na zasadzie słuszności, uwzględniając standardy wypracowane w </w:t>
      </w:r>
      <w:r w:rsidR="008430E6">
        <w:t xml:space="preserve">swoim </w:t>
      </w:r>
      <w:r w:rsidRPr="00E62059">
        <w:t>orzecznictwie.</w:t>
      </w:r>
    </w:p>
    <w:p w14:paraId="6208FA27" w14:textId="091FA0C8" w:rsidR="00805576" w:rsidRPr="00E62059" w:rsidRDefault="00805576" w:rsidP="00805576">
      <w:pPr>
        <w:pStyle w:val="Bezodstpw"/>
        <w:numPr>
          <w:ilvl w:val="0"/>
          <w:numId w:val="10"/>
        </w:numPr>
        <w:tabs>
          <w:tab w:val="left" w:pos="420"/>
        </w:tabs>
        <w:spacing w:before="60"/>
        <w:contextualSpacing w:val="0"/>
      </w:pPr>
      <w:r w:rsidRPr="00E62059">
        <w:t xml:space="preserve">Skarżący, którzy </w:t>
      </w:r>
      <w:r>
        <w:t xml:space="preserve">wnoszą o przyznanie zadośćuczynienia </w:t>
      </w:r>
      <w:r w:rsidRPr="00E62059">
        <w:t xml:space="preserve">za szkodę niemajątkową, </w:t>
      </w:r>
      <w:r w:rsidR="008430E6">
        <w:t>są</w:t>
      </w:r>
      <w:r w:rsidR="00836516">
        <w:t> </w:t>
      </w:r>
      <w:r w:rsidR="008430E6">
        <w:t>proszeni, by określili</w:t>
      </w:r>
      <w:r w:rsidRPr="00E62059">
        <w:t xml:space="preserve"> kwotę, która w ich ocenie byłaby słuszna. Skarżący, którzy uważają się za pokrzywdzonych więcej niż jednym naruszeniem, mogą żądać albo jednej kwoty obejmującej wszystkie zarzucane naruszenia</w:t>
      </w:r>
      <w:r>
        <w:t>,</w:t>
      </w:r>
      <w:r w:rsidRPr="00E62059">
        <w:t xml:space="preserve"> albo odrębnych kwot w odniesieniu do</w:t>
      </w:r>
      <w:r w:rsidR="00836516">
        <w:t> </w:t>
      </w:r>
      <w:r w:rsidRPr="00E62059">
        <w:t>każdego zarzucanego naruszenia.</w:t>
      </w:r>
    </w:p>
    <w:p w14:paraId="0D7191B9" w14:textId="77777777" w:rsidR="00805576" w:rsidRPr="00E62059" w:rsidRDefault="00805576" w:rsidP="00805576">
      <w:pPr>
        <w:pStyle w:val="Nagwek1"/>
        <w:tabs>
          <w:tab w:val="left" w:pos="420"/>
        </w:tabs>
        <w:spacing w:line="240" w:lineRule="auto"/>
      </w:pPr>
      <w:r w:rsidRPr="00E62059">
        <w:t>4. Koszty i wydatki</w:t>
      </w:r>
    </w:p>
    <w:p w14:paraId="58F01ABB" w14:textId="17B1503D" w:rsidR="00805576" w:rsidRPr="00E62059" w:rsidRDefault="00805576" w:rsidP="00805576">
      <w:pPr>
        <w:pStyle w:val="Bezodstpw"/>
        <w:numPr>
          <w:ilvl w:val="0"/>
          <w:numId w:val="10"/>
        </w:numPr>
        <w:tabs>
          <w:tab w:val="left" w:pos="420"/>
        </w:tabs>
        <w:spacing w:before="60"/>
        <w:contextualSpacing w:val="0"/>
      </w:pPr>
      <w:r w:rsidRPr="00E62059">
        <w:t xml:space="preserve">Trybunał może nakazać zwrot kosztów i wydatków, które poniósł/a skarżący/a </w:t>
      </w:r>
      <w:r w:rsidR="008430E6">
        <w:t>–</w:t>
      </w:r>
      <w:r w:rsidRPr="00E62059">
        <w:t xml:space="preserve"> najpierw na poziomie krajowym, a następnie w postępowaniu przed samym Trybunałem </w:t>
      </w:r>
      <w:r w:rsidR="008430E6">
        <w:t>–</w:t>
      </w:r>
      <w:r w:rsidRPr="00E62059">
        <w:t xml:space="preserve"> usiłując zapobiec zaistnieniu naruszenia lub próbując uzyskać odszkodowanie za to naruszenie. Do</w:t>
      </w:r>
      <w:r w:rsidR="00836516">
        <w:t> </w:t>
      </w:r>
      <w:r w:rsidRPr="00E62059">
        <w:t>takich kosztów i wydatków zwykle zalicza się koszty pomocy prawnej, opłaty sądowe itp. Mogą one również obejmować wydatki na podróż i utrzymanie, w szczególności, gdy</w:t>
      </w:r>
      <w:r w:rsidR="00836516">
        <w:t> </w:t>
      </w:r>
      <w:r w:rsidRPr="00E62059">
        <w:t>poniesiono je w związku z obecnością na rozprawie przed Trybunałem.</w:t>
      </w:r>
    </w:p>
    <w:p w14:paraId="0E3E5E70" w14:textId="1D0593B5" w:rsidR="00805576" w:rsidRPr="00E62059" w:rsidRDefault="00805576" w:rsidP="00805576">
      <w:pPr>
        <w:pStyle w:val="Bezodstpw"/>
        <w:numPr>
          <w:ilvl w:val="0"/>
          <w:numId w:val="10"/>
        </w:numPr>
        <w:tabs>
          <w:tab w:val="left" w:pos="420"/>
        </w:tabs>
        <w:spacing w:before="60"/>
        <w:contextualSpacing w:val="0"/>
      </w:pPr>
      <w:r w:rsidRPr="00E62059">
        <w:t>Trybunał uwzględnia roszczenia o zwrot kosztów i wydatków tylko w tak</w:t>
      </w:r>
      <w:r>
        <w:t>im stopniu</w:t>
      </w:r>
      <w:r w:rsidR="008430E6">
        <w:t>,</w:t>
      </w:r>
      <w:r w:rsidRPr="00E62059">
        <w:t xml:space="preserve"> </w:t>
      </w:r>
      <w:r>
        <w:br/>
        <w:t xml:space="preserve">w </w:t>
      </w:r>
      <w:r w:rsidRPr="00E62059">
        <w:t>jak</w:t>
      </w:r>
      <w:r>
        <w:t>im</w:t>
      </w:r>
      <w:r w:rsidRPr="00E62059">
        <w:t xml:space="preserve"> wiążą się one ze stwierdzonymi naruszeniami. Odrzuca je w takim zakresie, w</w:t>
      </w:r>
      <w:r w:rsidR="00836516">
        <w:t> </w:t>
      </w:r>
      <w:r w:rsidRPr="00E62059">
        <w:t>jakim odnoszą się do skarg, w których nie stwierdzono naruszenia, lub do skarg, które zostały uznane za niedopuszczalne. Z tego względu, skarżący mogą chcieć wiązać</w:t>
      </w:r>
      <w:r>
        <w:t xml:space="preserve"> poszczególne pozycje roszczeń</w:t>
      </w:r>
      <w:r w:rsidRPr="00E62059">
        <w:t xml:space="preserve"> z konkretnymi skargami (zarzutami).</w:t>
      </w:r>
    </w:p>
    <w:p w14:paraId="09B9B4C0" w14:textId="6D8CCDE2" w:rsidR="00805576" w:rsidRPr="00E62059" w:rsidRDefault="00805576" w:rsidP="00805576">
      <w:pPr>
        <w:pStyle w:val="Bezodstpw"/>
        <w:numPr>
          <w:ilvl w:val="0"/>
          <w:numId w:val="10"/>
        </w:numPr>
        <w:tabs>
          <w:tab w:val="left" w:pos="420"/>
        </w:tabs>
        <w:spacing w:before="60"/>
        <w:contextualSpacing w:val="0"/>
      </w:pPr>
      <w:r w:rsidRPr="00E62059">
        <w:t>Koszty i wydatki muszą zostać faktycznie poniesione. Oznacza to, że skarżący poniósł je lub</w:t>
      </w:r>
      <w:r w:rsidR="00836516">
        <w:t> </w:t>
      </w:r>
      <w:r w:rsidRPr="00E62059">
        <w:t>jest zobowiązany je ponieść na mocy prawa lub zobowiązania umownego. Odlicza się wszelkie kwoty uiszczone</w:t>
      </w:r>
      <w:r w:rsidR="00206624" w:rsidRPr="00E62059">
        <w:t xml:space="preserve"> przez</w:t>
      </w:r>
      <w:r w:rsidRPr="00E62059">
        <w:t xml:space="preserve"> </w:t>
      </w:r>
      <w:r w:rsidR="0085513F">
        <w:t>l</w:t>
      </w:r>
      <w:r w:rsidRPr="00E62059">
        <w:t>ub należne od władz krajowych lub Rady Europy w ramach pomocy prawnej.</w:t>
      </w:r>
    </w:p>
    <w:p w14:paraId="3457D6DC" w14:textId="77777777" w:rsidR="00805576" w:rsidRPr="00E62059" w:rsidRDefault="00805576" w:rsidP="00805576">
      <w:pPr>
        <w:pStyle w:val="Bezodstpw"/>
        <w:numPr>
          <w:ilvl w:val="0"/>
          <w:numId w:val="10"/>
        </w:numPr>
        <w:tabs>
          <w:tab w:val="left" w:pos="420"/>
        </w:tabs>
        <w:spacing w:before="60"/>
        <w:contextualSpacing w:val="0"/>
      </w:pPr>
      <w:r w:rsidRPr="00E62059">
        <w:t>Poniesienie kosztów i wydatków musiało być konieczne. Oznacza to, że musiały być nieuniknione w celu zapobieżenia naruszeniu lub uzyskania odszkodowania za naruszenie.</w:t>
      </w:r>
    </w:p>
    <w:p w14:paraId="28DA76BD" w14:textId="52A651B2" w:rsidR="00805576" w:rsidRPr="00E62059" w:rsidRDefault="00805576" w:rsidP="00805576">
      <w:pPr>
        <w:pStyle w:val="Bezodstpw"/>
        <w:numPr>
          <w:ilvl w:val="0"/>
          <w:numId w:val="10"/>
        </w:numPr>
        <w:tabs>
          <w:tab w:val="left" w:pos="420"/>
        </w:tabs>
        <w:spacing w:before="60"/>
        <w:contextualSpacing w:val="0"/>
      </w:pPr>
      <w:r w:rsidRPr="00E62059">
        <w:t>Koszty i wydatki muszą być w rozsądnej wysokości. Jeżeli Trybunał uznaje je za nadmierne, przyznaje kwotę, która w</w:t>
      </w:r>
      <w:r w:rsidR="0085513F">
        <w:t>edług</w:t>
      </w:r>
      <w:r w:rsidRPr="00E62059">
        <w:t xml:space="preserve"> jego szacunku jest rozsądna.</w:t>
      </w:r>
    </w:p>
    <w:p w14:paraId="6009E8B4" w14:textId="77777777" w:rsidR="00805576" w:rsidRPr="00E62059" w:rsidRDefault="00805576" w:rsidP="00805576">
      <w:pPr>
        <w:pStyle w:val="Bezodstpw"/>
        <w:numPr>
          <w:ilvl w:val="0"/>
          <w:numId w:val="10"/>
        </w:numPr>
        <w:tabs>
          <w:tab w:val="left" w:pos="420"/>
        </w:tabs>
        <w:spacing w:before="60"/>
        <w:contextualSpacing w:val="0"/>
      </w:pPr>
      <w:r w:rsidRPr="00E62059">
        <w:t>Trybunał wymaga dowodów, takich jak szczegółowe rachunki i faktury. Muszą one być wystarczająco szczegółowe, aby umożliwić Trybunałowi ustalenie, w jakim zakresie zostały spełnione powyższe wymagania.</w:t>
      </w:r>
    </w:p>
    <w:p w14:paraId="77313C7F" w14:textId="77777777" w:rsidR="00805576" w:rsidRPr="00E62059" w:rsidRDefault="00805576" w:rsidP="00805576">
      <w:pPr>
        <w:pStyle w:val="Nagwek1"/>
        <w:tabs>
          <w:tab w:val="left" w:pos="420"/>
        </w:tabs>
        <w:spacing w:line="240" w:lineRule="auto"/>
      </w:pPr>
      <w:r w:rsidRPr="00E62059">
        <w:t>5. Dane do płatności</w:t>
      </w:r>
    </w:p>
    <w:p w14:paraId="36EABEB0" w14:textId="401B0232" w:rsidR="00805576" w:rsidRPr="00E62059" w:rsidRDefault="00805576" w:rsidP="00805576">
      <w:pPr>
        <w:pStyle w:val="Bezodstpw"/>
        <w:numPr>
          <w:ilvl w:val="0"/>
          <w:numId w:val="10"/>
        </w:numPr>
        <w:tabs>
          <w:tab w:val="left" w:pos="420"/>
        </w:tabs>
        <w:spacing w:before="60"/>
        <w:contextualSpacing w:val="0"/>
      </w:pPr>
      <w:r w:rsidRPr="00E62059">
        <w:t>Skarżących prosi się o wskazanie rachunku bankowego, na który mają zostać wpłacone wszelkie przyznane kwoty. Jeżeli skarżący życzą sobie, aby konkretne kwoty, na przykład kwoty przyznane tytułem zwrotu kosztów i wydatków, zostały wpłacone osobno, na</w:t>
      </w:r>
      <w:r w:rsidR="00836516">
        <w:t> </w:t>
      </w:r>
      <w:r w:rsidRPr="00E62059">
        <w:t>przykład bezpośrednio na rachunek bankowy ich przedstawicieli, powinni o to wystąpić.</w:t>
      </w:r>
    </w:p>
    <w:p w14:paraId="66A224CD" w14:textId="77777777" w:rsidR="00805576" w:rsidRPr="00E62059" w:rsidRDefault="00805576" w:rsidP="00805576">
      <w:pPr>
        <w:pStyle w:val="Nagwek1"/>
        <w:tabs>
          <w:tab w:val="left" w:pos="420"/>
        </w:tabs>
        <w:spacing w:line="240" w:lineRule="auto"/>
      </w:pPr>
      <w:r w:rsidRPr="00E62059">
        <w:lastRenderedPageBreak/>
        <w:t>IV. Forma zadośćuczynienia przyznanego przez Trybunał</w:t>
      </w:r>
    </w:p>
    <w:p w14:paraId="756AB585" w14:textId="7793C190" w:rsidR="00805576" w:rsidRPr="00E62059" w:rsidRDefault="00805576" w:rsidP="00805576">
      <w:pPr>
        <w:pStyle w:val="Bezodstpw"/>
        <w:numPr>
          <w:ilvl w:val="0"/>
          <w:numId w:val="10"/>
        </w:numPr>
        <w:tabs>
          <w:tab w:val="left" w:pos="420"/>
        </w:tabs>
        <w:spacing w:before="60"/>
        <w:contextualSpacing w:val="0"/>
      </w:pPr>
      <w:r w:rsidRPr="00E62059">
        <w:t xml:space="preserve">Trybunał zasądza zadośćuczynienie zwykle w formie kwoty pieniężnej, którą </w:t>
      </w:r>
      <w:r>
        <w:t>pozwana Układająca się Strona</w:t>
      </w:r>
      <w:r w:rsidRPr="00E62059">
        <w:t xml:space="preserve"> jest zobowiązana zapłacić osobie pokrzywdzonej lub osobom pokrzywdzonym stwierdzonym naruszeniem. </w:t>
      </w:r>
      <w:r>
        <w:t>Tylko w </w:t>
      </w:r>
      <w:r w:rsidRPr="00E62059">
        <w:t>wyjątkowych przypadkach Trybunał może rozważyć wydanie orzeczenia wyniko</w:t>
      </w:r>
      <w:r w:rsidR="00DE16FA">
        <w:t>wego („</w:t>
      </w:r>
      <w:proofErr w:type="spellStart"/>
      <w:r w:rsidRPr="00DE16FA">
        <w:rPr>
          <w:i/>
        </w:rPr>
        <w:t>consequential</w:t>
      </w:r>
      <w:proofErr w:type="spellEnd"/>
      <w:r w:rsidRPr="00DE16FA">
        <w:rPr>
          <w:i/>
        </w:rPr>
        <w:t xml:space="preserve"> order</w:t>
      </w:r>
      <w:r w:rsidRPr="00E62059">
        <w:t xml:space="preserve">"), zmierzającego do </w:t>
      </w:r>
      <w:r>
        <w:t xml:space="preserve">zakończenia </w:t>
      </w:r>
      <w:r w:rsidRPr="00E62059">
        <w:t xml:space="preserve">naruszeniu lub </w:t>
      </w:r>
      <w:r>
        <w:t>jego naprawienia</w:t>
      </w:r>
      <w:r w:rsidRPr="00E62059">
        <w:t>. Jednakże Trybunał może, według własnego uznania, wydać wytyczne co do wykonania jego wyroku (</w:t>
      </w:r>
      <w:r>
        <w:t>a</w:t>
      </w:r>
      <w:r w:rsidRPr="00E62059">
        <w:t>rtykuł 46 Konwencji).</w:t>
      </w:r>
    </w:p>
    <w:p w14:paraId="19C2A27C" w14:textId="4E52D6F5" w:rsidR="00805576" w:rsidRPr="00E62059" w:rsidRDefault="00805576" w:rsidP="00805576">
      <w:pPr>
        <w:pStyle w:val="Bezodstpw"/>
        <w:numPr>
          <w:ilvl w:val="0"/>
          <w:numId w:val="10"/>
        </w:numPr>
        <w:tabs>
          <w:tab w:val="left" w:pos="420"/>
        </w:tabs>
        <w:spacing w:before="60"/>
        <w:contextualSpacing w:val="0"/>
      </w:pPr>
      <w:r>
        <w:t xml:space="preserve">Kwota pieniężna </w:t>
      </w:r>
      <w:r w:rsidRPr="00E62059">
        <w:t xml:space="preserve">na podstawie </w:t>
      </w:r>
      <w:r>
        <w:t>a</w:t>
      </w:r>
      <w:r w:rsidRPr="00E62059">
        <w:t xml:space="preserve">rtykułu 41 </w:t>
      </w:r>
      <w:r>
        <w:t>zasadniczo zostaje zasądzona</w:t>
      </w:r>
      <w:r w:rsidRPr="00E62059">
        <w:t xml:space="preserve"> </w:t>
      </w:r>
      <w:r>
        <w:t>w euro (EUR, €)</w:t>
      </w:r>
      <w:r w:rsidRPr="00E62059">
        <w:t xml:space="preserve"> bez względu na to, w jakiej walucie skarżący określił roszczenia. Jeżeli skarżący ma otrzymać zapłatę w walucie innej niż euro, Trybunał zobowiązuje do przeliczenia zasądzonej kwoty na tę inną walutę według kursu wymiany z daty zapłaty. Formułując roszczenia skarżący powinni, gdy jest to zasadne, rozważyć konsekwencje tej zasady w</w:t>
      </w:r>
      <w:r w:rsidR="00836516">
        <w:t> </w:t>
      </w:r>
      <w:r w:rsidRPr="00E62059">
        <w:t>świetle przeliczania kwot wyrażonych w walucie innej niż euro na euro lub odwrotnie.</w:t>
      </w:r>
    </w:p>
    <w:p w14:paraId="5AE02991" w14:textId="77777777" w:rsidR="00805576" w:rsidRPr="00E62059" w:rsidRDefault="00805576" w:rsidP="00805576">
      <w:pPr>
        <w:pStyle w:val="Bezodstpw"/>
        <w:numPr>
          <w:ilvl w:val="0"/>
          <w:numId w:val="10"/>
        </w:numPr>
        <w:tabs>
          <w:tab w:val="left" w:pos="420"/>
        </w:tabs>
        <w:spacing w:before="60"/>
        <w:contextualSpacing w:val="0"/>
      </w:pPr>
      <w:r w:rsidRPr="00E62059">
        <w:t>Trybunał z urzędu wyznaczy termin do dokonania zapłaty; termin ten wynosi zwykle trzy miesiące od daty, w której wyrok Trybunału stał się ostateczny i wiążący. Trybunał z urzędu zasądza również odsetki za opóźnienie należne w przypadku przekroczenia tego terminu, zwykle według prostej stawki równej marginalnej stawce kredytowej Europejskiego Banku Centralnego w okresie opóźnienia powiększonej o trzy punkty procentowe.</w:t>
      </w:r>
    </w:p>
    <w:p w14:paraId="64A77431" w14:textId="77777777" w:rsidR="00805576" w:rsidRDefault="00805576" w:rsidP="00805576">
      <w:pPr>
        <w:spacing w:line="240" w:lineRule="auto"/>
        <w:jc w:val="left"/>
        <w:rPr>
          <w:iCs/>
          <w:color w:val="000000" w:themeColor="text1"/>
        </w:rPr>
      </w:pPr>
    </w:p>
    <w:p w14:paraId="072177D0" w14:textId="77777777" w:rsidR="00805576" w:rsidRDefault="00805576" w:rsidP="00805576">
      <w:pPr>
        <w:spacing w:line="240" w:lineRule="auto"/>
        <w:jc w:val="left"/>
        <w:rPr>
          <w:iCs/>
          <w:color w:val="000000" w:themeColor="text1"/>
        </w:rPr>
      </w:pPr>
    </w:p>
    <w:p w14:paraId="29FE0B47" w14:textId="77777777" w:rsidR="00805576" w:rsidRDefault="00805576" w:rsidP="00805576">
      <w:pPr>
        <w:spacing w:line="240" w:lineRule="auto"/>
        <w:jc w:val="left"/>
        <w:rPr>
          <w:iCs/>
          <w:color w:val="000000" w:themeColor="text1"/>
        </w:rPr>
      </w:pPr>
    </w:p>
    <w:p w14:paraId="12037CC9" w14:textId="77777777" w:rsidR="00805576" w:rsidRDefault="00805576" w:rsidP="00805576">
      <w:pPr>
        <w:spacing w:line="240" w:lineRule="auto"/>
        <w:jc w:val="left"/>
        <w:rPr>
          <w:iCs/>
          <w:color w:val="000000" w:themeColor="text1"/>
        </w:rPr>
      </w:pPr>
    </w:p>
    <w:p w14:paraId="2AD6E444" w14:textId="77777777" w:rsidR="00805576" w:rsidRDefault="00805576" w:rsidP="00805576">
      <w:pPr>
        <w:spacing w:line="240" w:lineRule="auto"/>
        <w:jc w:val="left"/>
        <w:rPr>
          <w:iCs/>
          <w:color w:val="000000" w:themeColor="text1"/>
        </w:rPr>
      </w:pPr>
    </w:p>
    <w:p w14:paraId="10FFD5DB" w14:textId="77777777" w:rsidR="00805576" w:rsidRDefault="00805576" w:rsidP="00805576">
      <w:pPr>
        <w:jc w:val="left"/>
        <w:rPr>
          <w:b/>
          <w:iCs/>
          <w:color w:val="0070C0"/>
          <w:sz w:val="28"/>
          <w:szCs w:val="28"/>
          <w:u w:val="single"/>
        </w:rPr>
      </w:pPr>
      <w:r>
        <w:rPr>
          <w:b/>
          <w:i/>
          <w:color w:val="0070C0"/>
          <w:sz w:val="28"/>
          <w:szCs w:val="28"/>
          <w:u w:val="single"/>
        </w:rPr>
        <w:br w:type="page"/>
      </w:r>
    </w:p>
    <w:p w14:paraId="41BBDB2C" w14:textId="77777777" w:rsidR="00805576" w:rsidRPr="003E081F" w:rsidRDefault="00805576" w:rsidP="00805576">
      <w:pPr>
        <w:pStyle w:val="Cytat"/>
        <w:tabs>
          <w:tab w:val="left" w:pos="420"/>
        </w:tabs>
        <w:spacing w:before="240" w:after="240"/>
        <w:rPr>
          <w:b/>
          <w:i w:val="0"/>
          <w:color w:val="0070C0"/>
          <w:sz w:val="28"/>
          <w:szCs w:val="28"/>
          <w:u w:val="single"/>
        </w:rPr>
      </w:pPr>
      <w:r w:rsidRPr="003E081F">
        <w:rPr>
          <w:b/>
          <w:i w:val="0"/>
          <w:color w:val="0070C0"/>
          <w:sz w:val="28"/>
          <w:szCs w:val="28"/>
          <w:u w:val="single"/>
        </w:rPr>
        <w:lastRenderedPageBreak/>
        <w:t>Wnioski o anonimowość</w:t>
      </w:r>
      <w:r w:rsidRPr="003E081F">
        <w:rPr>
          <w:i w:val="0"/>
          <w:color w:val="0070C0"/>
          <w:vertAlign w:val="superscript"/>
        </w:rPr>
        <w:footnoteReference w:id="12"/>
      </w:r>
    </w:p>
    <w:p w14:paraId="5ED3EBB1" w14:textId="77777777" w:rsidR="00805576" w:rsidRPr="00B70306" w:rsidRDefault="00805576" w:rsidP="00805576">
      <w:pPr>
        <w:pStyle w:val="Cytat"/>
        <w:tabs>
          <w:tab w:val="left" w:pos="420"/>
        </w:tabs>
        <w:rPr>
          <w:b/>
          <w:i w:val="0"/>
        </w:rPr>
      </w:pPr>
      <w:r>
        <w:rPr>
          <w:b/>
          <w:i w:val="0"/>
        </w:rPr>
        <w:t>(</w:t>
      </w:r>
      <w:r w:rsidRPr="00B70306">
        <w:rPr>
          <w:b/>
          <w:i w:val="0"/>
        </w:rPr>
        <w:t>Reguły 33 i 47 Regulaminu Trybunału</w:t>
      </w:r>
      <w:r>
        <w:rPr>
          <w:b/>
          <w:i w:val="0"/>
        </w:rPr>
        <w:t>)</w:t>
      </w:r>
    </w:p>
    <w:p w14:paraId="0305D4CC" w14:textId="77777777" w:rsidR="00805576" w:rsidRPr="0040596B" w:rsidRDefault="00805576" w:rsidP="00805576">
      <w:pPr>
        <w:pStyle w:val="Cytat"/>
        <w:tabs>
          <w:tab w:val="left" w:pos="420"/>
        </w:tabs>
        <w:rPr>
          <w:b/>
          <w:i w:val="0"/>
        </w:rPr>
      </w:pPr>
      <w:r w:rsidRPr="0040596B">
        <w:rPr>
          <w:b/>
          <w:i w:val="0"/>
        </w:rPr>
        <w:t>Zasady ogólne</w:t>
      </w:r>
    </w:p>
    <w:p w14:paraId="11C15461" w14:textId="19069458" w:rsidR="00805576" w:rsidRDefault="00805576" w:rsidP="00805576">
      <w:pPr>
        <w:tabs>
          <w:tab w:val="left" w:pos="420"/>
        </w:tabs>
        <w:spacing w:before="60" w:after="0" w:line="240" w:lineRule="auto"/>
      </w:pPr>
      <w:r w:rsidRPr="00E62059">
        <w:t>Stronom przypomina się, że dokumenty w postępowaniu przed Trybunałem są jawne</w:t>
      </w:r>
      <w:r>
        <w:t>,</w:t>
      </w:r>
      <w:r w:rsidRPr="00E62059">
        <w:t xml:space="preserve"> </w:t>
      </w:r>
      <w:r>
        <w:t>chyba że uzyskano</w:t>
      </w:r>
      <w:r w:rsidRPr="00E62059">
        <w:t xml:space="preserve"> </w:t>
      </w:r>
      <w:r>
        <w:t xml:space="preserve">wyłączenia </w:t>
      </w:r>
      <w:r w:rsidRPr="00E62059">
        <w:t xml:space="preserve">zgodnie z </w:t>
      </w:r>
      <w:r w:rsidR="003D68E3">
        <w:t>R</w:t>
      </w:r>
      <w:r w:rsidR="003D68E3" w:rsidRPr="00E62059">
        <w:t>egułą</w:t>
      </w:r>
      <w:r w:rsidR="003D68E3">
        <w:t xml:space="preserve"> </w:t>
      </w:r>
      <w:r>
        <w:t>33 lub 47 Regulaminu Trybunału. Z tego względu</w:t>
      </w:r>
      <w:r w:rsidRPr="00E62059">
        <w:t xml:space="preserve"> </w:t>
      </w:r>
      <w:r>
        <w:t>publicznie dostępne będą</w:t>
      </w:r>
      <w:r w:rsidRPr="00E62059">
        <w:t xml:space="preserve"> wszystkie informacje przedkładane w związku ze skargą </w:t>
      </w:r>
      <w:r>
        <w:t>zarówno w</w:t>
      </w:r>
      <w:r w:rsidR="00836516">
        <w:t> </w:t>
      </w:r>
      <w:r>
        <w:t>postępowaniu pisemnym</w:t>
      </w:r>
      <w:r w:rsidRPr="00E62059">
        <w:t xml:space="preserve"> jak i ustnym, włącznie z informacjami na tema</w:t>
      </w:r>
      <w:r>
        <w:t>t skarżącego lub</w:t>
      </w:r>
      <w:r w:rsidR="00836516">
        <w:t> </w:t>
      </w:r>
      <w:r>
        <w:t>stron trzecich.</w:t>
      </w:r>
      <w:r w:rsidRPr="00E62059">
        <w:t xml:space="preserve"> </w:t>
      </w:r>
    </w:p>
    <w:p w14:paraId="40CEBE8B" w14:textId="5E6CEB6B" w:rsidR="00805576" w:rsidRPr="00E62059" w:rsidRDefault="00805576" w:rsidP="00805576">
      <w:pPr>
        <w:tabs>
          <w:tab w:val="left" w:pos="420"/>
        </w:tabs>
        <w:spacing w:before="60" w:after="0" w:line="240" w:lineRule="auto"/>
      </w:pPr>
      <w:r w:rsidRPr="00E62059">
        <w:t xml:space="preserve">Strony powinny również być świadome, że opis stanu faktycznego, decyzje i wyroki Trybunału są zwykle publikowane w </w:t>
      </w:r>
      <w:r w:rsidR="00781065">
        <w:t xml:space="preserve">bazie </w:t>
      </w:r>
      <w:r w:rsidRPr="00E62059">
        <w:t>HUDOC</w:t>
      </w:r>
      <w:r w:rsidRPr="00FA22B0">
        <w:rPr>
          <w:vertAlign w:val="superscript"/>
        </w:rPr>
        <w:footnoteReference w:id="13"/>
      </w:r>
      <w:r w:rsidRPr="00E62059">
        <w:t xml:space="preserve"> na stronie </w:t>
      </w:r>
      <w:r>
        <w:t xml:space="preserve">internetowej </w:t>
      </w:r>
      <w:r w:rsidRPr="00E62059">
        <w:t>Trybunału (</w:t>
      </w:r>
      <w:r w:rsidR="00781065">
        <w:t>R</w:t>
      </w:r>
      <w:r w:rsidR="00781065" w:rsidRPr="00E62059">
        <w:t xml:space="preserve">eguła </w:t>
      </w:r>
      <w:r w:rsidR="00781065">
        <w:t>104A</w:t>
      </w:r>
      <w:r w:rsidRPr="00E62059">
        <w:t>).</w:t>
      </w:r>
    </w:p>
    <w:p w14:paraId="5670B8E8" w14:textId="77777777" w:rsidR="00805576" w:rsidRPr="0040596B" w:rsidRDefault="00805576" w:rsidP="00805576">
      <w:pPr>
        <w:pStyle w:val="Cytat"/>
        <w:tabs>
          <w:tab w:val="left" w:pos="420"/>
        </w:tabs>
        <w:rPr>
          <w:b/>
          <w:i w:val="0"/>
        </w:rPr>
      </w:pPr>
      <w:r w:rsidRPr="0040596B">
        <w:rPr>
          <w:b/>
          <w:i w:val="0"/>
        </w:rPr>
        <w:t>Wnioski w zawisłych sprawach</w:t>
      </w:r>
    </w:p>
    <w:p w14:paraId="3D727107" w14:textId="0B2A9615" w:rsidR="00805576" w:rsidRPr="00E62059" w:rsidRDefault="00805576" w:rsidP="00805576">
      <w:pPr>
        <w:tabs>
          <w:tab w:val="left" w:pos="420"/>
        </w:tabs>
        <w:spacing w:before="60" w:after="0" w:line="240" w:lineRule="auto"/>
      </w:pPr>
      <w:r w:rsidRPr="00E62059">
        <w:t>Wniosek o anonimowość powinien być złożony na etapie w</w:t>
      </w:r>
      <w:r>
        <w:t>ypełniania formularza skargi</w:t>
      </w:r>
      <w:r w:rsidR="00781065">
        <w:t>,</w:t>
      </w:r>
      <w:r>
        <w:t xml:space="preserve"> a</w:t>
      </w:r>
      <w:r w:rsidR="00836516">
        <w:t> </w:t>
      </w:r>
      <w:r>
        <w:t>na</w:t>
      </w:r>
      <w:r w:rsidR="00836516">
        <w:t> </w:t>
      </w:r>
      <w:r>
        <w:t>późniejszym etapie</w:t>
      </w:r>
      <w:r w:rsidR="00781065">
        <w:t xml:space="preserve"> –</w:t>
      </w:r>
      <w:r w:rsidRPr="00E62059">
        <w:t xml:space="preserve"> tak szybko jak to możliwe. W obu przypadkach skarżący powinien uzasadnić wniosek i określić wpływ, jaki może mieć na niego lub na nią upublicznienie</w:t>
      </w:r>
      <w:r>
        <w:t xml:space="preserve"> sprawy</w:t>
      </w:r>
      <w:r w:rsidRPr="00E62059">
        <w:t>.</w:t>
      </w:r>
    </w:p>
    <w:p w14:paraId="6A66DDBA" w14:textId="77777777" w:rsidR="00805576" w:rsidRPr="0040596B" w:rsidRDefault="00805576" w:rsidP="00805576">
      <w:pPr>
        <w:pStyle w:val="Cytat"/>
        <w:tabs>
          <w:tab w:val="left" w:pos="420"/>
        </w:tabs>
        <w:rPr>
          <w:b/>
          <w:i w:val="0"/>
        </w:rPr>
      </w:pPr>
      <w:r w:rsidRPr="0040596B">
        <w:rPr>
          <w:b/>
          <w:i w:val="0"/>
        </w:rPr>
        <w:t>Wnioski o skutkach wstecznych</w:t>
      </w:r>
    </w:p>
    <w:p w14:paraId="07550DA7" w14:textId="77777777" w:rsidR="00805576" w:rsidRPr="00E62059" w:rsidRDefault="00805576" w:rsidP="00805576">
      <w:pPr>
        <w:tabs>
          <w:tab w:val="left" w:pos="420"/>
        </w:tabs>
        <w:spacing w:before="60" w:after="0" w:line="240" w:lineRule="auto"/>
      </w:pPr>
      <w:r w:rsidRPr="00E62059">
        <w:t xml:space="preserve">Jeśli skarżący wnosi o anonimowość sprawy lub spraw opublikowanych w HUDOC przed </w:t>
      </w:r>
      <w:r>
        <w:br/>
      </w:r>
      <w:r w:rsidRPr="00E62059">
        <w:t>1 stycznia 2010</w:t>
      </w:r>
      <w:r>
        <w:t xml:space="preserve"> </w:t>
      </w:r>
      <w:r w:rsidRPr="00E62059">
        <w:t xml:space="preserve">r., powinien wysłać list do Kancelarii, w którym uzasadni wniosek </w:t>
      </w:r>
      <w:r>
        <w:br/>
      </w:r>
      <w:r w:rsidRPr="00E62059">
        <w:t>i określ</w:t>
      </w:r>
      <w:r>
        <w:t>i skutki</w:t>
      </w:r>
      <w:r w:rsidRPr="00E62059">
        <w:t>, jaki</w:t>
      </w:r>
      <w:r>
        <w:t>e</w:t>
      </w:r>
      <w:r w:rsidRPr="00E62059">
        <w:t xml:space="preserve"> upublicznienie miało lub może mieć </w:t>
      </w:r>
      <w:r>
        <w:t>dl</w:t>
      </w:r>
      <w:r w:rsidRPr="00E62059">
        <w:t xml:space="preserve">a </w:t>
      </w:r>
      <w:r>
        <w:t>niej lub dla n</w:t>
      </w:r>
      <w:r w:rsidRPr="00E62059">
        <w:t>iego</w:t>
      </w:r>
      <w:r>
        <w:t>.</w:t>
      </w:r>
      <w:r w:rsidRPr="00E62059">
        <w:t xml:space="preserve"> Skarżący powinien również przedstawić wyjaśnienie, dlaczego wniosku o anonimowość nie wniesiono, gdy sprawa była zawisła przed Trybunałem.</w:t>
      </w:r>
    </w:p>
    <w:p w14:paraId="64F9746A" w14:textId="62DFC76A" w:rsidR="00805576" w:rsidRPr="00E62059" w:rsidRDefault="00805576" w:rsidP="00805576">
      <w:pPr>
        <w:tabs>
          <w:tab w:val="left" w:pos="420"/>
        </w:tabs>
        <w:spacing w:before="60" w:after="0" w:line="240" w:lineRule="auto"/>
      </w:pPr>
      <w:r w:rsidRPr="00E62059">
        <w:t>Podejmując decyzję co do wniosku</w:t>
      </w:r>
      <w:r w:rsidR="00781065">
        <w:t>,</w:t>
      </w:r>
      <w:r w:rsidRPr="00E62059">
        <w:t xml:space="preserve"> Przewodniczący weźmie pod uwagę wyjaśnienia przedstawione przez skarżącego, dotychczasowy poziom rozg</w:t>
      </w:r>
      <w:r>
        <w:t>łosu danej decyzji lub wyroku i </w:t>
      </w:r>
      <w:r w:rsidRPr="00E62059">
        <w:t>czy zasadn</w:t>
      </w:r>
      <w:r w:rsidR="00781065">
        <w:t>e lub praktyczne</w:t>
      </w:r>
      <w:r w:rsidRPr="00E62059">
        <w:t xml:space="preserve"> jest przychylenie się do wniosku.</w:t>
      </w:r>
    </w:p>
    <w:p w14:paraId="50F401EA" w14:textId="282616F5" w:rsidR="00805576" w:rsidRPr="00E62059" w:rsidRDefault="00805576" w:rsidP="00805576">
      <w:pPr>
        <w:tabs>
          <w:tab w:val="left" w:pos="420"/>
        </w:tabs>
        <w:spacing w:before="60" w:after="0" w:line="240" w:lineRule="auto"/>
      </w:pPr>
      <w:r w:rsidRPr="00E62059">
        <w:t>Przychylając się do wniosku, Przewodniczący</w:t>
      </w:r>
      <w:r>
        <w:t xml:space="preserve"> decyduje</w:t>
      </w:r>
      <w:r w:rsidRPr="00E62059">
        <w:t xml:space="preserve"> o podjęciu najstosowniejszych kroków w celu ochrony skarżącego przed zidentyfikowaniem. Przykładowo, decyzja lub wyrok mogą być, między innymi, usunięte ze strony Trybunału lub dane osobowe mogą być usunięte z</w:t>
      </w:r>
      <w:r w:rsidR="00836516">
        <w:t> </w:t>
      </w:r>
      <w:r w:rsidRPr="00E62059">
        <w:t>opublikowanego dokumentu.</w:t>
      </w:r>
    </w:p>
    <w:p w14:paraId="3BFA4E11" w14:textId="77777777" w:rsidR="00805576" w:rsidRPr="0040596B" w:rsidRDefault="00805576" w:rsidP="00805576">
      <w:pPr>
        <w:pStyle w:val="Cytat"/>
        <w:tabs>
          <w:tab w:val="left" w:pos="420"/>
        </w:tabs>
        <w:rPr>
          <w:b/>
          <w:i w:val="0"/>
        </w:rPr>
      </w:pPr>
      <w:r w:rsidRPr="0040596B">
        <w:rPr>
          <w:b/>
          <w:i w:val="0"/>
        </w:rPr>
        <w:t>Inne środki</w:t>
      </w:r>
    </w:p>
    <w:p w14:paraId="0C91B6C6" w14:textId="43B3F779" w:rsidR="00805576" w:rsidRDefault="00805576" w:rsidP="00805576">
      <w:pPr>
        <w:tabs>
          <w:tab w:val="left" w:pos="420"/>
        </w:tabs>
        <w:spacing w:before="60" w:after="0" w:line="240" w:lineRule="auto"/>
      </w:pPr>
      <w:r>
        <w:t>W</w:t>
      </w:r>
      <w:r w:rsidRPr="00E62059">
        <w:t xml:space="preserve"> celu zapewnienia poszanowania życia prywatnego Przewodniczący może również przedsięwziąć jakiekolwiek inne środki, </w:t>
      </w:r>
      <w:r w:rsidR="00781065">
        <w:t>jakie</w:t>
      </w:r>
      <w:r w:rsidRPr="00E62059">
        <w:t xml:space="preserve"> uzna za konieczne lub pożądane w stosunku do</w:t>
      </w:r>
      <w:r w:rsidR="00836516">
        <w:t> </w:t>
      </w:r>
      <w:r w:rsidRPr="00E62059">
        <w:t>jakiegokolwiek materiału opublikowanego przez Trybunał.</w:t>
      </w:r>
    </w:p>
    <w:p w14:paraId="4D1D802D" w14:textId="77777777" w:rsidR="00805576" w:rsidRDefault="00805576" w:rsidP="00805576">
      <w:pPr>
        <w:spacing w:line="240" w:lineRule="auto"/>
        <w:jc w:val="left"/>
        <w:rPr>
          <w:iCs/>
          <w:color w:val="000000" w:themeColor="text1"/>
          <w:szCs w:val="24"/>
        </w:rPr>
      </w:pPr>
    </w:p>
    <w:p w14:paraId="7FCB2BAA" w14:textId="77777777" w:rsidR="00805576" w:rsidRDefault="00805576" w:rsidP="00805576">
      <w:pPr>
        <w:spacing w:line="240" w:lineRule="auto"/>
        <w:jc w:val="left"/>
        <w:rPr>
          <w:iCs/>
          <w:color w:val="000000" w:themeColor="text1"/>
          <w:szCs w:val="24"/>
        </w:rPr>
      </w:pPr>
    </w:p>
    <w:p w14:paraId="3057197C" w14:textId="77777777" w:rsidR="00805576" w:rsidRDefault="00805576" w:rsidP="00805576">
      <w:pPr>
        <w:spacing w:line="240" w:lineRule="auto"/>
        <w:jc w:val="left"/>
        <w:rPr>
          <w:iCs/>
          <w:color w:val="000000" w:themeColor="text1"/>
          <w:szCs w:val="24"/>
        </w:rPr>
      </w:pPr>
    </w:p>
    <w:p w14:paraId="18798649" w14:textId="77777777" w:rsidR="00805576" w:rsidRDefault="00805576" w:rsidP="00805576">
      <w:pPr>
        <w:spacing w:line="240" w:lineRule="auto"/>
        <w:jc w:val="left"/>
        <w:rPr>
          <w:iCs/>
          <w:color w:val="000000" w:themeColor="text1"/>
          <w:szCs w:val="24"/>
        </w:rPr>
      </w:pPr>
    </w:p>
    <w:p w14:paraId="09216900" w14:textId="77777777" w:rsidR="00805576" w:rsidRPr="009A4269" w:rsidRDefault="00805576" w:rsidP="00805576">
      <w:pPr>
        <w:spacing w:line="240" w:lineRule="auto"/>
        <w:jc w:val="left"/>
        <w:rPr>
          <w:b/>
          <w:iCs/>
          <w:color w:val="0070C0"/>
          <w:sz w:val="28"/>
          <w:szCs w:val="28"/>
          <w:u w:val="single"/>
        </w:rPr>
      </w:pPr>
      <w:r w:rsidRPr="009A4269">
        <w:rPr>
          <w:b/>
          <w:iCs/>
          <w:color w:val="0070C0"/>
          <w:sz w:val="28"/>
          <w:szCs w:val="28"/>
          <w:u w:val="single"/>
        </w:rPr>
        <w:lastRenderedPageBreak/>
        <w:t>Elektroniczne składanie pism przez skarżących</w:t>
      </w:r>
      <w:r w:rsidRPr="009A4269">
        <w:rPr>
          <w:b/>
          <w:iCs/>
          <w:color w:val="0070C0"/>
          <w:sz w:val="28"/>
          <w:szCs w:val="28"/>
          <w:u w:val="single"/>
          <w:vertAlign w:val="superscript"/>
        </w:rPr>
        <w:footnoteReference w:id="14"/>
      </w:r>
    </w:p>
    <w:p w14:paraId="61C5ED9B" w14:textId="77777777" w:rsidR="00805576" w:rsidRDefault="00805576" w:rsidP="00805576">
      <w:pPr>
        <w:pStyle w:val="Nagwek1"/>
        <w:numPr>
          <w:ilvl w:val="0"/>
          <w:numId w:val="11"/>
        </w:numPr>
        <w:tabs>
          <w:tab w:val="left" w:pos="420"/>
        </w:tabs>
        <w:spacing w:line="240" w:lineRule="auto"/>
        <w:ind w:left="284" w:hanging="284"/>
      </w:pPr>
      <w:r>
        <w:t>Zakres zastosowania</w:t>
      </w:r>
    </w:p>
    <w:p w14:paraId="01392D87" w14:textId="257140EA" w:rsidR="00805576" w:rsidRDefault="00805576" w:rsidP="00805576">
      <w:pPr>
        <w:pStyle w:val="Bezodstpw"/>
        <w:numPr>
          <w:ilvl w:val="0"/>
          <w:numId w:val="12"/>
        </w:numPr>
        <w:spacing w:before="60"/>
        <w:contextualSpacing w:val="0"/>
      </w:pPr>
      <w:r>
        <w:t>Po zakomunikowaniu sprawy, skarżący, którzy wybrali opcję elektronicznego składania pism, wysyłają całą pisemną korespondencję z Trybunałem za pośrednictwem Elektronicznego Serwisu Korespondencyjnego Trybunału (</w:t>
      </w:r>
      <w:proofErr w:type="spellStart"/>
      <w:r w:rsidRPr="006F27DB">
        <w:rPr>
          <w:i/>
        </w:rPr>
        <w:t>Electronic</w:t>
      </w:r>
      <w:proofErr w:type="spellEnd"/>
      <w:r w:rsidRPr="006F27DB">
        <w:rPr>
          <w:i/>
        </w:rPr>
        <w:t xml:space="preserve"> Communications Service, </w:t>
      </w:r>
      <w:proofErr w:type="spellStart"/>
      <w:r w:rsidR="00D57157" w:rsidRPr="008C6293">
        <w:rPr>
          <w:i/>
        </w:rPr>
        <w:t>eComms</w:t>
      </w:r>
      <w:proofErr w:type="spellEnd"/>
      <w:r w:rsidRPr="008C6293">
        <w:t>) i ak</w:t>
      </w:r>
      <w:r>
        <w:t xml:space="preserve">ceptują pisemną korespondencję przesyłaną im przez Kancelarię Trybunału poprzez </w:t>
      </w:r>
      <w:proofErr w:type="spellStart"/>
      <w:r w:rsidR="00D57157" w:rsidRPr="008C6293">
        <w:rPr>
          <w:i/>
        </w:rPr>
        <w:t>eComms</w:t>
      </w:r>
      <w:proofErr w:type="spellEnd"/>
      <w:r>
        <w:t>, z następującymi wyjątkami:</w:t>
      </w:r>
    </w:p>
    <w:p w14:paraId="09943BD5" w14:textId="60F69DD6" w:rsidR="00805576" w:rsidRDefault="00805576" w:rsidP="00805576">
      <w:pPr>
        <w:tabs>
          <w:tab w:val="left" w:pos="420"/>
        </w:tabs>
        <w:spacing w:before="60" w:after="0" w:line="240" w:lineRule="auto"/>
        <w:ind w:left="360"/>
      </w:pPr>
      <w:r>
        <w:t xml:space="preserve">a) cała pisemna korespondencja w związku z wnioskiem o zastosowanie środka tymczasowego </w:t>
      </w:r>
      <w:r w:rsidR="00D57157">
        <w:t xml:space="preserve">na podstawie Reguły </w:t>
      </w:r>
      <w:r>
        <w:t>39 Regulaminu Trybunału wysyłana jest wyłącznie faksem lub pocztą;</w:t>
      </w:r>
    </w:p>
    <w:p w14:paraId="16C81F2B" w14:textId="701209DC" w:rsidR="00805576" w:rsidRDefault="00805576" w:rsidP="00D57157">
      <w:pPr>
        <w:tabs>
          <w:tab w:val="left" w:pos="420"/>
        </w:tabs>
        <w:spacing w:before="60" w:after="0" w:line="240" w:lineRule="auto"/>
        <w:ind w:left="360"/>
      </w:pPr>
      <w:r>
        <w:t>b) załączniki, takie jak plany, podręczniki itd., które nie mogą być przeglądane całościowo w formacie elektronicznym, mogą być składane pocztą;</w:t>
      </w:r>
    </w:p>
    <w:p w14:paraId="166069DC" w14:textId="25CB0502" w:rsidR="00805576" w:rsidRDefault="00805576" w:rsidP="00805576">
      <w:pPr>
        <w:pStyle w:val="Akapitzlist"/>
        <w:tabs>
          <w:tab w:val="left" w:pos="420"/>
        </w:tabs>
        <w:spacing w:before="60" w:after="0" w:line="240" w:lineRule="auto"/>
        <w:ind w:left="360"/>
        <w:contextualSpacing w:val="0"/>
      </w:pPr>
      <w:r>
        <w:t>c) Kancelaria Trybunału może żądać wniesienia w drodze pocztowej dokumentu lub</w:t>
      </w:r>
      <w:r w:rsidR="00836516">
        <w:t> </w:t>
      </w:r>
      <w:r>
        <w:t>załącznika w formie papierowej.</w:t>
      </w:r>
    </w:p>
    <w:p w14:paraId="0BC9E5B8" w14:textId="77777777" w:rsidR="00805576" w:rsidRDefault="00805576" w:rsidP="00805576">
      <w:pPr>
        <w:pStyle w:val="Bezodstpw"/>
        <w:numPr>
          <w:ilvl w:val="0"/>
          <w:numId w:val="12"/>
        </w:numPr>
        <w:spacing w:before="60"/>
        <w:contextualSpacing w:val="0"/>
      </w:pPr>
      <w:r>
        <w:t>Jeśli skarżący przesłał dokument pocztą lub faksem, powinien, tak szybko jak to możliwe, przesłać elektronicznie powiadomienie o powyższym, opisując wysłany dokument, określając datę wysyłki i wyjaśniając powody, dlaczego przesłanie dokumentu elektroniczne nie było możliwe.</w:t>
      </w:r>
    </w:p>
    <w:p w14:paraId="5B7E75EF" w14:textId="77777777" w:rsidR="00805576" w:rsidRPr="006832EC" w:rsidRDefault="00805576" w:rsidP="00805576">
      <w:pPr>
        <w:pStyle w:val="Nagwek1"/>
        <w:numPr>
          <w:ilvl w:val="0"/>
          <w:numId w:val="11"/>
        </w:numPr>
        <w:tabs>
          <w:tab w:val="left" w:pos="420"/>
        </w:tabs>
        <w:spacing w:line="240" w:lineRule="auto"/>
        <w:ind w:left="284" w:hanging="284"/>
      </w:pPr>
      <w:r>
        <w:t xml:space="preserve"> Wymogi techniczne</w:t>
      </w:r>
    </w:p>
    <w:p w14:paraId="1D7F28DB" w14:textId="4FC80FF6" w:rsidR="00805576" w:rsidRDefault="00805576" w:rsidP="00805576">
      <w:pPr>
        <w:pStyle w:val="Bezodstpw"/>
        <w:numPr>
          <w:ilvl w:val="0"/>
          <w:numId w:val="12"/>
        </w:numPr>
        <w:spacing w:before="60"/>
        <w:contextualSpacing w:val="0"/>
      </w:pPr>
      <w:r w:rsidRPr="009649BE">
        <w:t xml:space="preserve"> </w:t>
      </w:r>
      <w:r>
        <w:t xml:space="preserve">Skarżący dysponują koniecznym sprzętem technicznym i stosują się do instrukcji obsługi </w:t>
      </w:r>
      <w:r w:rsidR="00D57157">
        <w:t xml:space="preserve">dostępnej na stronie internetowej </w:t>
      </w:r>
      <w:proofErr w:type="spellStart"/>
      <w:r w:rsidR="00D57157" w:rsidRPr="00D57157">
        <w:rPr>
          <w:i/>
        </w:rPr>
        <w:t>eComms</w:t>
      </w:r>
      <w:proofErr w:type="spellEnd"/>
      <w:r>
        <w:t>.</w:t>
      </w:r>
    </w:p>
    <w:p w14:paraId="324F1F3E" w14:textId="77777777" w:rsidR="00805576" w:rsidRPr="006832EC" w:rsidRDefault="00805576" w:rsidP="00805576">
      <w:pPr>
        <w:pStyle w:val="Nagwek1"/>
        <w:numPr>
          <w:ilvl w:val="0"/>
          <w:numId w:val="11"/>
        </w:numPr>
        <w:tabs>
          <w:tab w:val="left" w:pos="420"/>
        </w:tabs>
        <w:spacing w:line="240" w:lineRule="auto"/>
        <w:ind w:left="284" w:hanging="284"/>
      </w:pPr>
      <w:r>
        <w:t xml:space="preserve"> Format i sposób nadawania nazw</w:t>
      </w:r>
    </w:p>
    <w:p w14:paraId="206E6484" w14:textId="77777777" w:rsidR="00805576" w:rsidRDefault="00805576" w:rsidP="00805576">
      <w:pPr>
        <w:pStyle w:val="Bezodstpw"/>
        <w:numPr>
          <w:ilvl w:val="0"/>
          <w:numId w:val="12"/>
        </w:numPr>
        <w:spacing w:before="60"/>
        <w:contextualSpacing w:val="0"/>
      </w:pPr>
      <w:r>
        <w:t>Dokument składany elektronicznie ma format PDF, najlepiej PDF z opcją wyszukiwania.</w:t>
      </w:r>
    </w:p>
    <w:p w14:paraId="4612F15F" w14:textId="77777777" w:rsidR="00805576" w:rsidRDefault="00805576" w:rsidP="00805576">
      <w:pPr>
        <w:pStyle w:val="Bezodstpw"/>
        <w:numPr>
          <w:ilvl w:val="0"/>
          <w:numId w:val="12"/>
        </w:numPr>
        <w:spacing w:before="60"/>
        <w:contextualSpacing w:val="0"/>
      </w:pPr>
      <w:r>
        <w:t>Niepodpisane listy i pisemne oświadczenia stron nie są akceptowane. Podpisane dokumenty składane elektronicznie generowane są poprzez skanowanie oryginalnej kopii pap</w:t>
      </w:r>
      <w:bookmarkStart w:id="0" w:name="_GoBack"/>
      <w:bookmarkEnd w:id="0"/>
      <w:r>
        <w:t>ierowej. Skarżący zachowują oryginalne kopie papierowe w swoich dokumentach.</w:t>
      </w:r>
    </w:p>
    <w:p w14:paraId="5FC2A60C" w14:textId="77777777" w:rsidR="00805576" w:rsidRDefault="00805576" w:rsidP="00805576">
      <w:pPr>
        <w:pStyle w:val="Bezodstpw"/>
        <w:numPr>
          <w:ilvl w:val="0"/>
          <w:numId w:val="12"/>
        </w:numPr>
        <w:spacing w:before="60"/>
        <w:contextualSpacing w:val="0"/>
      </w:pPr>
      <w:r>
        <w:t>Nazwa dokumentu przekazywanego elektronicznie poprzedzona jest numerem skargi, następnie zawiera nazwisko skarżącego, tak jak zostało zapisane alfabetem łacińskim przez Kancelarię Trybunału, i zawiera wskazanie zawartości dokumentu</w:t>
      </w:r>
      <w:r>
        <w:rPr>
          <w:rStyle w:val="Odwoanieprzypisudolnego"/>
        </w:rPr>
        <w:footnoteReference w:id="15"/>
      </w:r>
      <w:r>
        <w:t>.</w:t>
      </w:r>
    </w:p>
    <w:p w14:paraId="496900B6" w14:textId="77777777" w:rsidR="00805576" w:rsidRPr="006832EC" w:rsidRDefault="00805576" w:rsidP="00805576">
      <w:pPr>
        <w:pStyle w:val="Nagwek1"/>
        <w:numPr>
          <w:ilvl w:val="0"/>
          <w:numId w:val="11"/>
        </w:numPr>
        <w:tabs>
          <w:tab w:val="left" w:pos="420"/>
        </w:tabs>
        <w:spacing w:line="240" w:lineRule="auto"/>
        <w:ind w:left="284" w:hanging="284"/>
      </w:pPr>
      <w:r>
        <w:t xml:space="preserve"> Data w kontekście przestrzegania terminów</w:t>
      </w:r>
    </w:p>
    <w:p w14:paraId="5C4D249A" w14:textId="1D49259B" w:rsidR="00805576" w:rsidRPr="00507E4B" w:rsidRDefault="00805576" w:rsidP="00805576">
      <w:pPr>
        <w:pStyle w:val="Bezodstpw"/>
        <w:numPr>
          <w:ilvl w:val="0"/>
          <w:numId w:val="12"/>
        </w:numPr>
        <w:spacing w:after="60"/>
        <w:contextualSpacing w:val="0"/>
      </w:pPr>
      <w:r>
        <w:t>Za datę, w której skarżący pomyślnie złożył dokument elektronicznie Trybunałowi</w:t>
      </w:r>
      <w:r w:rsidR="00ED460E">
        <w:t>,</w:t>
      </w:r>
      <w:r>
        <w:t xml:space="preserve"> będzie uważana data</w:t>
      </w:r>
      <w:r w:rsidRPr="007143D0">
        <w:t xml:space="preserve"> </w:t>
      </w:r>
      <w:r>
        <w:t xml:space="preserve">wysyłki, zgodnie z czasem strasburskim, w rozumieniu </w:t>
      </w:r>
      <w:r w:rsidR="00ED460E">
        <w:t xml:space="preserve">Reguły </w:t>
      </w:r>
      <w:r>
        <w:t xml:space="preserve">38 </w:t>
      </w:r>
      <w:r w:rsidR="00ED460E">
        <w:rPr>
          <w:rFonts w:ascii="Calibri" w:hAnsi="Calibri" w:cs="Calibri"/>
        </w:rPr>
        <w:t xml:space="preserve">§ 2 </w:t>
      </w:r>
      <w:r>
        <w:rPr>
          <w:rFonts w:ascii="Calibri" w:hAnsi="Calibri" w:cs="Calibri"/>
        </w:rPr>
        <w:t xml:space="preserve">lub data złożenia dla celów </w:t>
      </w:r>
      <w:r w:rsidR="00ED460E">
        <w:rPr>
          <w:rFonts w:ascii="Calibri" w:hAnsi="Calibri" w:cs="Calibri"/>
        </w:rPr>
        <w:t xml:space="preserve">Reguły </w:t>
      </w:r>
      <w:r>
        <w:rPr>
          <w:rFonts w:ascii="Calibri" w:hAnsi="Calibri" w:cs="Calibri"/>
        </w:rPr>
        <w:t xml:space="preserve">73 </w:t>
      </w:r>
      <w:r w:rsidR="00ED460E">
        <w:rPr>
          <w:rFonts w:ascii="Calibri" w:hAnsi="Calibri" w:cs="Calibri"/>
        </w:rPr>
        <w:t xml:space="preserve">§ </w:t>
      </w:r>
      <w:r>
        <w:rPr>
          <w:rFonts w:ascii="Calibri" w:hAnsi="Calibri" w:cs="Calibri"/>
        </w:rPr>
        <w:t>1</w:t>
      </w:r>
      <w:r w:rsidR="00781065">
        <w:rPr>
          <w:rFonts w:ascii="Calibri" w:hAnsi="Calibri" w:cs="Calibri"/>
        </w:rPr>
        <w:t>.</w:t>
      </w:r>
    </w:p>
    <w:p w14:paraId="168203A9" w14:textId="13624137" w:rsidR="00805576" w:rsidRPr="00507E4B" w:rsidRDefault="00ED460E" w:rsidP="00805576">
      <w:pPr>
        <w:pStyle w:val="Bezodstpw"/>
        <w:numPr>
          <w:ilvl w:val="0"/>
          <w:numId w:val="12"/>
        </w:numPr>
        <w:spacing w:before="60"/>
        <w:contextualSpacing w:val="0"/>
      </w:pPr>
      <w:r>
        <w:rPr>
          <w:rFonts w:ascii="Calibri" w:hAnsi="Calibri" w:cs="Calibri"/>
        </w:rPr>
        <w:t>W celu uła</w:t>
      </w:r>
      <w:r w:rsidR="00805576">
        <w:rPr>
          <w:rFonts w:ascii="Calibri" w:hAnsi="Calibri" w:cs="Calibri"/>
        </w:rPr>
        <w:t xml:space="preserve">twienia śledzenia wymienianej korespondencji i zapewnienia </w:t>
      </w:r>
      <w:r>
        <w:rPr>
          <w:rFonts w:ascii="Calibri" w:hAnsi="Calibri" w:cs="Calibri"/>
        </w:rPr>
        <w:t>przestrzegania</w:t>
      </w:r>
      <w:r w:rsidR="00805576">
        <w:rPr>
          <w:rFonts w:ascii="Calibri" w:hAnsi="Calibri" w:cs="Calibri"/>
        </w:rPr>
        <w:t xml:space="preserve"> terminów wyznaczonych przez Trybunał skarżący powinien regularnie sprawdzać </w:t>
      </w:r>
      <w:r>
        <w:rPr>
          <w:rFonts w:ascii="Calibri" w:hAnsi="Calibri" w:cs="Calibri"/>
        </w:rPr>
        <w:t xml:space="preserve">swoje </w:t>
      </w:r>
      <w:r w:rsidR="00805576">
        <w:rPr>
          <w:rFonts w:ascii="Calibri" w:hAnsi="Calibri" w:cs="Calibri"/>
        </w:rPr>
        <w:t xml:space="preserve">konto e-mail i konto </w:t>
      </w:r>
      <w:r>
        <w:rPr>
          <w:rFonts w:ascii="Calibri" w:hAnsi="Calibri" w:cs="Calibri"/>
        </w:rPr>
        <w:t xml:space="preserve">w </w:t>
      </w:r>
      <w:proofErr w:type="spellStart"/>
      <w:r w:rsidR="00805576" w:rsidRPr="00ED460E">
        <w:rPr>
          <w:rFonts w:ascii="Calibri" w:hAnsi="Calibri" w:cs="Calibri"/>
          <w:i/>
        </w:rPr>
        <w:t>EC</w:t>
      </w:r>
      <w:r w:rsidRPr="00ED460E">
        <w:rPr>
          <w:rFonts w:ascii="Calibri" w:hAnsi="Calibri" w:cs="Calibri"/>
          <w:i/>
        </w:rPr>
        <w:t>omms</w:t>
      </w:r>
      <w:proofErr w:type="spellEnd"/>
      <w:r w:rsidR="00805576">
        <w:rPr>
          <w:rFonts w:ascii="Calibri" w:hAnsi="Calibri" w:cs="Calibri"/>
        </w:rPr>
        <w:t>.</w:t>
      </w:r>
    </w:p>
    <w:p w14:paraId="14D32A76" w14:textId="77777777" w:rsidR="00805576" w:rsidRPr="006832EC" w:rsidRDefault="00805576" w:rsidP="00805576">
      <w:pPr>
        <w:pStyle w:val="Nagwek1"/>
        <w:numPr>
          <w:ilvl w:val="0"/>
          <w:numId w:val="11"/>
        </w:numPr>
        <w:tabs>
          <w:tab w:val="left" w:pos="420"/>
        </w:tabs>
        <w:spacing w:line="240" w:lineRule="auto"/>
        <w:ind w:left="284" w:hanging="284"/>
      </w:pPr>
      <w:r>
        <w:lastRenderedPageBreak/>
        <w:t>Różne wersje tego samego dokumentu</w:t>
      </w:r>
    </w:p>
    <w:p w14:paraId="0410AFF6" w14:textId="3B6CA0BD" w:rsidR="00805576" w:rsidRDefault="00805576" w:rsidP="00805576">
      <w:pPr>
        <w:pStyle w:val="Bezodstpw"/>
        <w:numPr>
          <w:ilvl w:val="0"/>
          <w:numId w:val="12"/>
        </w:numPr>
        <w:spacing w:before="60"/>
        <w:contextualSpacing w:val="0"/>
      </w:pPr>
      <w:proofErr w:type="spellStart"/>
      <w:r w:rsidRPr="00ED460E">
        <w:rPr>
          <w:i/>
        </w:rPr>
        <w:t>EC</w:t>
      </w:r>
      <w:r w:rsidR="00ED460E" w:rsidRPr="00ED460E">
        <w:rPr>
          <w:i/>
        </w:rPr>
        <w:t>omms</w:t>
      </w:r>
      <w:proofErr w:type="spellEnd"/>
      <w:r>
        <w:t xml:space="preserve"> nie zezwala na zmianę, zamianę ani usunięcie złożonego dokumentu. Jeśli zajdzie potrzeba, aby skarżący zmienił dokument, który złożył, tworzy nowy dokument o innej nazwie (przykładowo poprzez dodanie słowa „zmieniony” (</w:t>
      </w:r>
      <w:proofErr w:type="spellStart"/>
      <w:r>
        <w:rPr>
          <w:i/>
        </w:rPr>
        <w:t>modified</w:t>
      </w:r>
      <w:proofErr w:type="spellEnd"/>
      <w:r>
        <w:t>) w nazwie dokumentu). Taka możliwość powinna być wykorzystana tam, gdzie jest to rzeczywiście konieczne</w:t>
      </w:r>
      <w:r w:rsidR="007E0E1F">
        <w:t>,</w:t>
      </w:r>
      <w:r>
        <w:t xml:space="preserve"> i nie powinna być wykorzystywana do poprawiania drobnych błędów.</w:t>
      </w:r>
    </w:p>
    <w:p w14:paraId="0F3B2199" w14:textId="3FC62881" w:rsidR="00805576" w:rsidRPr="00E62059" w:rsidRDefault="00805576" w:rsidP="00805576">
      <w:pPr>
        <w:pStyle w:val="Bezodstpw"/>
        <w:numPr>
          <w:ilvl w:val="0"/>
          <w:numId w:val="12"/>
        </w:numPr>
        <w:spacing w:before="60"/>
        <w:contextualSpacing w:val="0"/>
      </w:pPr>
      <w:r>
        <w:t>Jeśli skarżący złożył więcej niż jedną wersję tego samego dokumentu, wyłącznie dokument złożony w terminie jest brany pod uwagę. Jeśli więcej niż jedna wersja została złożona w</w:t>
      </w:r>
      <w:r w:rsidR="00D77A76">
        <w:t> </w:t>
      </w:r>
      <w:r>
        <w:t>terminie, pod uwagę brana jest ostatnia wersja, chyba, że Przewodniczący Izby zdecyduje inaczej.</w:t>
      </w:r>
    </w:p>
    <w:p w14:paraId="6A84AB05" w14:textId="77777777" w:rsidR="00805576" w:rsidRPr="00E07E31" w:rsidRDefault="00805576" w:rsidP="00805576">
      <w:pPr>
        <w:spacing w:line="240" w:lineRule="auto"/>
        <w:jc w:val="left"/>
        <w:rPr>
          <w:iCs/>
          <w:color w:val="000000" w:themeColor="text1"/>
          <w:szCs w:val="24"/>
        </w:rPr>
      </w:pPr>
    </w:p>
    <w:p w14:paraId="7EA1C0BF" w14:textId="77777777" w:rsidR="00854CA7" w:rsidRDefault="00854CA7"/>
    <w:sectPr w:rsidR="00854CA7" w:rsidSect="0080557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0D13F" w14:textId="77777777" w:rsidR="000760B1" w:rsidRDefault="000760B1" w:rsidP="00805576">
      <w:pPr>
        <w:spacing w:after="0" w:line="240" w:lineRule="auto"/>
      </w:pPr>
      <w:r>
        <w:separator/>
      </w:r>
    </w:p>
  </w:endnote>
  <w:endnote w:type="continuationSeparator" w:id="0">
    <w:p w14:paraId="0B4B85E9" w14:textId="77777777" w:rsidR="000760B1" w:rsidRDefault="000760B1" w:rsidP="00805576">
      <w:pPr>
        <w:spacing w:after="0" w:line="240" w:lineRule="auto"/>
      </w:pPr>
      <w:r>
        <w:continuationSeparator/>
      </w:r>
    </w:p>
  </w:endnote>
  <w:endnote w:type="continuationNotice" w:id="1">
    <w:p w14:paraId="65B8FC2B" w14:textId="77777777" w:rsidR="000760B1" w:rsidRDefault="00076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38370" w14:textId="77777777" w:rsidR="002A3335" w:rsidRDefault="002A333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8000185"/>
      <w:docPartObj>
        <w:docPartGallery w:val="Page Numbers (Bottom of Page)"/>
        <w:docPartUnique/>
      </w:docPartObj>
    </w:sdtPr>
    <w:sdtEndPr/>
    <w:sdtContent>
      <w:p w14:paraId="2FA56875" w14:textId="36E473EB" w:rsidR="002A3335" w:rsidRDefault="002A3335">
        <w:pPr>
          <w:pStyle w:val="Stopka"/>
          <w:jc w:val="right"/>
        </w:pPr>
        <w:r>
          <w:fldChar w:fldCharType="begin"/>
        </w:r>
        <w:r>
          <w:instrText>PAGE   \* MERGEFORMAT</w:instrText>
        </w:r>
        <w:r>
          <w:fldChar w:fldCharType="separate"/>
        </w:r>
        <w:r w:rsidR="00836516">
          <w:rPr>
            <w:noProof/>
          </w:rPr>
          <w:t>17</w:t>
        </w:r>
        <w:r>
          <w:fldChar w:fldCharType="end"/>
        </w:r>
      </w:p>
    </w:sdtContent>
  </w:sdt>
  <w:p w14:paraId="77A520AD" w14:textId="77777777" w:rsidR="002A3335" w:rsidRDefault="002A333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F2BD6" w14:textId="77777777" w:rsidR="002A3335" w:rsidRDefault="002A33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CC1DA" w14:textId="77777777" w:rsidR="000760B1" w:rsidRDefault="000760B1" w:rsidP="00805576">
      <w:pPr>
        <w:spacing w:after="0" w:line="240" w:lineRule="auto"/>
      </w:pPr>
      <w:r>
        <w:separator/>
      </w:r>
    </w:p>
  </w:footnote>
  <w:footnote w:type="continuationSeparator" w:id="0">
    <w:p w14:paraId="147DCCE8" w14:textId="77777777" w:rsidR="000760B1" w:rsidRDefault="000760B1" w:rsidP="00805576">
      <w:pPr>
        <w:spacing w:after="0" w:line="240" w:lineRule="auto"/>
      </w:pPr>
      <w:r>
        <w:continuationSeparator/>
      </w:r>
    </w:p>
  </w:footnote>
  <w:footnote w:type="continuationNotice" w:id="1">
    <w:p w14:paraId="327E9F1F" w14:textId="77777777" w:rsidR="000760B1" w:rsidRDefault="000760B1">
      <w:pPr>
        <w:spacing w:after="0" w:line="240" w:lineRule="auto"/>
      </w:pPr>
    </w:p>
  </w:footnote>
  <w:footnote w:id="2">
    <w:p w14:paraId="1E6C48BD" w14:textId="515F509F" w:rsidR="002A3335" w:rsidRPr="00781065" w:rsidRDefault="002A3335" w:rsidP="00805576">
      <w:pPr>
        <w:pStyle w:val="Tekstprzypisudolnego"/>
      </w:pPr>
      <w:r w:rsidRPr="00781065">
        <w:rPr>
          <w:rStyle w:val="Odwoanieprzypisudolnego"/>
        </w:rPr>
        <w:footnoteRef/>
      </w:r>
      <w:r w:rsidRPr="00781065">
        <w:t xml:space="preserve"> Wytyczne dotyczące praktyki wydane przez Prezesa Trybunału zgodnie z Regułą 32 Regulaminu Trybunału dnia 5 marca 2003 r. i zmienione dnia 16 października 2009 r. i dnia 7 lipca 2011 r.</w:t>
      </w:r>
    </w:p>
  </w:footnote>
  <w:footnote w:id="3">
    <w:p w14:paraId="3B2F3D1F" w14:textId="77777777" w:rsidR="002A3335" w:rsidRPr="00781065" w:rsidRDefault="002A3335" w:rsidP="00805576">
      <w:pPr>
        <w:pStyle w:val="Tekstprzypisudolnego"/>
      </w:pPr>
      <w:r w:rsidRPr="00781065">
        <w:rPr>
          <w:rStyle w:val="Odwoanieprzypisudolnego"/>
        </w:rPr>
        <w:footnoteRef/>
      </w:r>
      <w:r w:rsidRPr="00781065">
        <w:t xml:space="preserve"> Istotne znaczenie ma podanie pełnych danych kontaktowych.</w:t>
      </w:r>
    </w:p>
  </w:footnote>
  <w:footnote w:id="4">
    <w:p w14:paraId="1E48AC86" w14:textId="77777777" w:rsidR="002A3335" w:rsidRPr="00781065" w:rsidRDefault="002A3335" w:rsidP="00805576">
      <w:pPr>
        <w:pStyle w:val="Tekstprzypisudolnego"/>
      </w:pPr>
      <w:r w:rsidRPr="00781065">
        <w:rPr>
          <w:rStyle w:val="Odwoanieprzypisudolnego"/>
        </w:rPr>
        <w:footnoteRef/>
      </w:r>
      <w:r w:rsidRPr="00781065">
        <w:t xml:space="preserve"> Odpowiednio do stopnia pilności oraz biorąc pod uwagę to, że pisemne wnioski nie mogą być wysyłane zwykłą pocztą.</w:t>
      </w:r>
    </w:p>
  </w:footnote>
  <w:footnote w:id="5">
    <w:p w14:paraId="650F577C" w14:textId="3E761676" w:rsidR="002A3335" w:rsidRPr="00781065" w:rsidRDefault="002A3335" w:rsidP="00805576">
      <w:pPr>
        <w:pStyle w:val="Tekstprzypisudolnego"/>
      </w:pPr>
      <w:r w:rsidRPr="00781065">
        <w:rPr>
          <w:rStyle w:val="Odwoanieprzypisudolnego"/>
        </w:rPr>
        <w:footnoteRef/>
      </w:r>
      <w:r w:rsidRPr="00781065">
        <w:t xml:space="preserve"> Lista publicznych i innych dni wolnych, podczas których Kancelaria Trybunału jest nieczynna, znajduje się na</w:t>
      </w:r>
      <w:r w:rsidR="00D77A76">
        <w:t> </w:t>
      </w:r>
      <w:r w:rsidRPr="00781065">
        <w:t xml:space="preserve">stronie internetowej Trybunału: </w:t>
      </w:r>
      <w:hyperlink r:id="rId1" w:history="1">
        <w:r w:rsidRPr="00781065">
          <w:rPr>
            <w:rStyle w:val="Hipercze"/>
            <w:u w:val="none"/>
          </w:rPr>
          <w:t>www.echr.coe.int/contact</w:t>
        </w:r>
      </w:hyperlink>
      <w:r w:rsidRPr="00781065">
        <w:t xml:space="preserve">.  </w:t>
      </w:r>
    </w:p>
  </w:footnote>
  <w:footnote w:id="6">
    <w:p w14:paraId="189C22D7" w14:textId="2377887F" w:rsidR="002A3335" w:rsidRPr="00781065" w:rsidRDefault="002A3335" w:rsidP="00805576">
      <w:pPr>
        <w:pStyle w:val="Tekstprzypisudolnego"/>
      </w:pPr>
      <w:r w:rsidRPr="00781065">
        <w:rPr>
          <w:rStyle w:val="Odwoanieprzypisudolnego"/>
        </w:rPr>
        <w:footnoteRef/>
      </w:r>
      <w:r w:rsidRPr="00781065">
        <w:t xml:space="preserve"> Wytyczne dotyczące praktyki wydane przez Prezesa Trybunału zgodnie z Regułą 32 Regulaminu Trybunału dnia 1 listopada 2003 r. i zmienione dnia 22 września 2008 r., 24 czerwca 2009 r., 6 listopada 2013 r., 5 października 2015 r., 27 listopada 2019 r., 25 stycznia 2021 r. oraz 1 lutego 2022 r. Niniejsze wytyczne dotyczące praktyki uzupełniają Reguły 45 i 47.</w:t>
      </w:r>
    </w:p>
  </w:footnote>
  <w:footnote w:id="7">
    <w:p w14:paraId="38F15012" w14:textId="3BBC275C" w:rsidR="002A3335" w:rsidRPr="00781065" w:rsidRDefault="002A3335" w:rsidP="00805576">
      <w:pPr>
        <w:pStyle w:val="Tekstprzypisudolnego"/>
      </w:pPr>
      <w:r w:rsidRPr="00781065">
        <w:rPr>
          <w:rStyle w:val="Odwoanieprzypisudolnego"/>
        </w:rPr>
        <w:footnoteRef/>
      </w:r>
      <w:r w:rsidRPr="00781065">
        <w:t xml:space="preserve"> </w:t>
      </w:r>
      <w:hyperlink r:id="rId2" w:history="1">
        <w:r w:rsidRPr="00781065">
          <w:rPr>
            <w:rStyle w:val="Hipercze"/>
            <w:u w:val="none"/>
          </w:rPr>
          <w:t>www.echr.coe.int</w:t>
        </w:r>
      </w:hyperlink>
    </w:p>
  </w:footnote>
  <w:footnote w:id="8">
    <w:p w14:paraId="1C99A4B3" w14:textId="77777777" w:rsidR="002A3335" w:rsidRPr="00781065" w:rsidRDefault="002A3335" w:rsidP="00805576">
      <w:pPr>
        <w:pStyle w:val="Tekstprzypisudolnego"/>
      </w:pPr>
      <w:r w:rsidRPr="00781065">
        <w:rPr>
          <w:rStyle w:val="Odwoanieprzypisudolnego"/>
        </w:rPr>
        <w:footnoteRef/>
      </w:r>
      <w:r w:rsidRPr="00781065">
        <w:t xml:space="preserve"> </w:t>
      </w:r>
      <w:hyperlink r:id="rId3" w:history="1">
        <w:r w:rsidRPr="00781065">
          <w:rPr>
            <w:rStyle w:val="Hipercze"/>
            <w:u w:val="none"/>
          </w:rPr>
          <w:t>www.echr.coe.int</w:t>
        </w:r>
      </w:hyperlink>
      <w:r w:rsidRPr="00781065">
        <w:t>.</w:t>
      </w:r>
    </w:p>
  </w:footnote>
  <w:footnote w:id="9">
    <w:p w14:paraId="4D50188E" w14:textId="4BBB6D34" w:rsidR="002A3335" w:rsidRPr="00781065" w:rsidRDefault="002A3335" w:rsidP="00805576">
      <w:pPr>
        <w:pStyle w:val="Tekstprzypisudolnego"/>
      </w:pPr>
      <w:r w:rsidRPr="00781065">
        <w:rPr>
          <w:rStyle w:val="Odwoanieprzypisudolnego"/>
        </w:rPr>
        <w:footnoteRef/>
      </w:r>
      <w:r w:rsidRPr="00781065">
        <w:t xml:space="preserve"> Wytyczne dotyczące praktyki wydane przez Prezesa Trybunału zgodnie z Regułą 32 Regulaminu Trybunału dnia</w:t>
      </w:r>
      <w:r w:rsidR="00D77A76">
        <w:t> </w:t>
      </w:r>
      <w:r w:rsidRPr="00781065">
        <w:t>1 listopada 2003 r. i zmienione dnia 22 września 2008 r. i 29 września 2014 r.</w:t>
      </w:r>
    </w:p>
  </w:footnote>
  <w:footnote w:id="10">
    <w:p w14:paraId="14CADBE7" w14:textId="3C3EC93E" w:rsidR="002A3335" w:rsidRPr="00781065" w:rsidRDefault="002A3335" w:rsidP="00805576">
      <w:pPr>
        <w:pStyle w:val="Tekstprzypisudolnego"/>
      </w:pPr>
      <w:r w:rsidRPr="00781065">
        <w:rPr>
          <w:rStyle w:val="Odwoanieprzypisudolnego"/>
        </w:rPr>
        <w:footnoteRef/>
      </w:r>
      <w:r w:rsidRPr="00781065">
        <w:t xml:space="preserve"> Nr faksu: +33 (0)3 88 41 27 30; pozostałe numery faksu mogą znajdują się na stronie internetowej Trybunału (</w:t>
      </w:r>
      <w:hyperlink r:id="rId4" w:history="1">
        <w:r w:rsidRPr="00781065">
          <w:rPr>
            <w:rStyle w:val="Hipercze"/>
            <w:u w:val="none"/>
          </w:rPr>
          <w:t>www.echr.coe.int</w:t>
        </w:r>
      </w:hyperlink>
      <w:r w:rsidRPr="00781065">
        <w:t>).</w:t>
      </w:r>
    </w:p>
  </w:footnote>
  <w:footnote w:id="11">
    <w:p w14:paraId="4562D800" w14:textId="77777777" w:rsidR="002A3335" w:rsidRPr="00781065" w:rsidRDefault="002A3335" w:rsidP="00805576">
      <w:pPr>
        <w:pStyle w:val="Tekstprzypisudolnego"/>
      </w:pPr>
      <w:r w:rsidRPr="00781065">
        <w:rPr>
          <w:rStyle w:val="Odwoanieprzypisudolnego"/>
        </w:rPr>
        <w:footnoteRef/>
      </w:r>
      <w:r w:rsidRPr="00781065">
        <w:t xml:space="preserve"> Wytyczne dotyczące praktyki wydane przez Prezesa Trybunału zgodnie z Regułą 32 Regulaminu Trybunału dnia 28 marca 2007 r.</w:t>
      </w:r>
    </w:p>
  </w:footnote>
  <w:footnote w:id="12">
    <w:p w14:paraId="7C0562D8" w14:textId="4FBB1AAD" w:rsidR="002A3335" w:rsidRPr="00781065" w:rsidRDefault="002A3335" w:rsidP="00805576">
      <w:pPr>
        <w:pStyle w:val="Tekstprzypisudolnego"/>
      </w:pPr>
      <w:r w:rsidRPr="00781065">
        <w:rPr>
          <w:rStyle w:val="Odwoanieprzypisudolnego"/>
        </w:rPr>
        <w:footnoteRef/>
      </w:r>
      <w:r w:rsidRPr="00781065">
        <w:t xml:space="preserve"> Wytyczne dotyczące praktyki wydane przez Prezesa Trybunału zgodnie z Regułą 32 Regulaminu Trybunału dnia 14 stycznia 2010.</w:t>
      </w:r>
    </w:p>
  </w:footnote>
  <w:footnote w:id="13">
    <w:p w14:paraId="75ADF96B" w14:textId="77777777" w:rsidR="002A3335" w:rsidRPr="00781065" w:rsidRDefault="002A3335" w:rsidP="00805576">
      <w:pPr>
        <w:pStyle w:val="Tekstprzypisudolnego"/>
      </w:pPr>
      <w:r w:rsidRPr="00781065">
        <w:rPr>
          <w:rStyle w:val="Odwoanieprzypisudolnego"/>
        </w:rPr>
        <w:footnoteRef/>
      </w:r>
      <w:r w:rsidRPr="00781065">
        <w:t xml:space="preserve"> </w:t>
      </w:r>
      <w:hyperlink r:id="rId5" w:history="1">
        <w:r w:rsidRPr="00781065">
          <w:rPr>
            <w:rStyle w:val="Hipercze"/>
            <w:u w:val="none"/>
          </w:rPr>
          <w:t>http://hudoc.echr.coe.int/</w:t>
        </w:r>
      </w:hyperlink>
      <w:r w:rsidRPr="00781065">
        <w:t xml:space="preserve"> </w:t>
      </w:r>
    </w:p>
  </w:footnote>
  <w:footnote w:id="14">
    <w:p w14:paraId="2E466EF0" w14:textId="5CCB9D52" w:rsidR="002A3335" w:rsidRPr="00781065" w:rsidRDefault="002A3335" w:rsidP="00805576">
      <w:pPr>
        <w:pStyle w:val="Tekstprzypisudolnego"/>
      </w:pPr>
      <w:r w:rsidRPr="00781065">
        <w:rPr>
          <w:rStyle w:val="Odwoanieprzypisudolnego"/>
        </w:rPr>
        <w:footnoteRef/>
      </w:r>
      <w:r w:rsidRPr="00781065">
        <w:t xml:space="preserve"> Wydane przez Prezesa Trybunału dnia 29 września 2014</w:t>
      </w:r>
      <w:r>
        <w:t xml:space="preserve"> r. </w:t>
      </w:r>
      <w:r w:rsidRPr="00781065">
        <w:t>zgodnie z Regułą 32 Regulaminu Trybunału. Wytyczne dotyczące praktyki weszły w życie w dniu 6 września 2018 r.</w:t>
      </w:r>
    </w:p>
  </w:footnote>
  <w:footnote w:id="15">
    <w:p w14:paraId="5F1ACAC5" w14:textId="38CD9BCC" w:rsidR="002A3335" w:rsidRPr="00781065" w:rsidRDefault="002A3335" w:rsidP="00805576">
      <w:pPr>
        <w:pStyle w:val="Tekstprzypisudolnego"/>
      </w:pPr>
      <w:r w:rsidRPr="00781065">
        <w:rPr>
          <w:rStyle w:val="Odwoanieprzypisudolnego"/>
        </w:rPr>
        <w:footnoteRef/>
      </w:r>
      <w:r w:rsidRPr="00781065">
        <w:t xml:space="preserve"> Przykład: </w:t>
      </w:r>
      <w:r w:rsidRPr="00781065">
        <w:rPr>
          <w:i/>
        </w:rPr>
        <w:t xml:space="preserve">65051/01 </w:t>
      </w:r>
      <w:proofErr w:type="spellStart"/>
      <w:r w:rsidRPr="00781065">
        <w:rPr>
          <w:i/>
        </w:rPr>
        <w:t>Karagyozov</w:t>
      </w:r>
      <w:proofErr w:type="spellEnd"/>
      <w:r w:rsidRPr="00781065">
        <w:t xml:space="preserve"> </w:t>
      </w:r>
      <w:proofErr w:type="spellStart"/>
      <w:r w:rsidRPr="00781065">
        <w:rPr>
          <w:i/>
        </w:rPr>
        <w:t>Observ</w:t>
      </w:r>
      <w:proofErr w:type="spellEnd"/>
      <w:r w:rsidRPr="00781065">
        <w:rPr>
          <w:i/>
        </w:rPr>
        <w:t xml:space="preserve"> </w:t>
      </w:r>
      <w:proofErr w:type="spellStart"/>
      <w:r w:rsidRPr="00781065">
        <w:rPr>
          <w:i/>
        </w:rPr>
        <w:t>Adm</w:t>
      </w:r>
      <w:proofErr w:type="spellEnd"/>
      <w:r w:rsidRPr="00781065">
        <w:rPr>
          <w:i/>
        </w:rPr>
        <w:t xml:space="preserve"> </w:t>
      </w:r>
      <w:proofErr w:type="spellStart"/>
      <w:r w:rsidRPr="00781065">
        <w:rPr>
          <w:i/>
        </w:rPr>
        <w:t>Merits</w:t>
      </w:r>
      <w:proofErr w:type="spellEnd"/>
      <w:r>
        <w:t xml:space="preserve"> [tłumaczenie przykładu: </w:t>
      </w:r>
      <w:r w:rsidRPr="00781065">
        <w:t xml:space="preserve">65051/01 </w:t>
      </w:r>
      <w:proofErr w:type="spellStart"/>
      <w:r w:rsidRPr="00781065">
        <w:t>Karagyozov</w:t>
      </w:r>
      <w:proofErr w:type="spellEnd"/>
      <w:r w:rsidRPr="00781065">
        <w:t xml:space="preserve"> Obserwacje D</w:t>
      </w:r>
      <w:r>
        <w:t>opuszczalność Przedmiot Skargi]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1E2C0" w14:textId="77777777" w:rsidR="002A3335" w:rsidRDefault="002A333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D40E1" w14:textId="77777777" w:rsidR="002A3335" w:rsidRPr="00841559" w:rsidRDefault="002A3335" w:rsidP="00040340">
    <w:pPr>
      <w:pStyle w:val="Nagwek"/>
      <w:spacing w:after="240"/>
      <w:jc w:val="right"/>
      <w:rPr>
        <w:i/>
        <w:u w:val="single"/>
      </w:rPr>
    </w:pPr>
    <w:r w:rsidRPr="00841559">
      <w:rPr>
        <w:i/>
        <w:u w:val="single"/>
      </w:rPr>
      <w:t xml:space="preserve">Nieoficjalne tłumaczenie </w:t>
    </w:r>
    <w:r>
      <w:rPr>
        <w:i/>
        <w:u w:val="single"/>
      </w:rPr>
      <w:br/>
    </w:r>
    <w:r w:rsidRPr="00841559">
      <w:rPr>
        <w:i/>
        <w:u w:val="single"/>
      </w:rPr>
      <w:t>przygotowane przez Ministerstwo Spraw Zagranicznych</w:t>
    </w:r>
  </w:p>
  <w:p w14:paraId="630EAD03" w14:textId="77777777" w:rsidR="002A3335" w:rsidRDefault="002A333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26825" w14:textId="77777777" w:rsidR="002A3335" w:rsidRDefault="002A333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3912"/>
    <w:multiLevelType w:val="hybridMultilevel"/>
    <w:tmpl w:val="2012B812"/>
    <w:lvl w:ilvl="0" w:tplc="B17EBC6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0B2D7A"/>
    <w:multiLevelType w:val="hybridMultilevel"/>
    <w:tmpl w:val="36723536"/>
    <w:lvl w:ilvl="0" w:tplc="604C9C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896F1E"/>
    <w:multiLevelType w:val="hybridMultilevel"/>
    <w:tmpl w:val="36723536"/>
    <w:lvl w:ilvl="0" w:tplc="604C9C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3C79CD"/>
    <w:multiLevelType w:val="hybridMultilevel"/>
    <w:tmpl w:val="2012B812"/>
    <w:lvl w:ilvl="0" w:tplc="B17EBC6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1064758"/>
    <w:multiLevelType w:val="multilevel"/>
    <w:tmpl w:val="CE7E4FF0"/>
    <w:lvl w:ilvl="0">
      <w:start w:val="1"/>
      <w:numFmt w:val="decimal"/>
      <w:pStyle w:val="Bezodstpw"/>
      <w:lvlText w:val="%1."/>
      <w:lvlJc w:val="left"/>
      <w:pPr>
        <w:ind w:left="-348" w:hanging="360"/>
      </w:pPr>
      <w:rPr>
        <w:rFonts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2."/>
      <w:lvlJc w:val="left"/>
      <w:pPr>
        <w:ind w:left="590" w:hanging="360"/>
      </w:pPr>
      <w:rPr>
        <w:rFonts w:hint="default"/>
      </w:rPr>
    </w:lvl>
    <w:lvl w:ilvl="2">
      <w:start w:val="1"/>
      <w:numFmt w:val="lowerLetter"/>
      <w:lvlText w:val="%3)"/>
      <w:lvlJc w:val="left"/>
      <w:pPr>
        <w:ind w:left="1490" w:hanging="360"/>
      </w:pPr>
      <w:rPr>
        <w:rFonts w:hint="default"/>
      </w:rPr>
    </w:lvl>
    <w:lvl w:ilvl="3">
      <w:start w:val="1"/>
      <w:numFmt w:val="decimal"/>
      <w:lvlText w:val="%4."/>
      <w:lvlJc w:val="left"/>
      <w:pPr>
        <w:ind w:left="2030" w:hanging="360"/>
      </w:pPr>
      <w:rPr>
        <w:rFonts w:hint="default"/>
      </w:rPr>
    </w:lvl>
    <w:lvl w:ilvl="4">
      <w:start w:val="1"/>
      <w:numFmt w:val="lowerLetter"/>
      <w:lvlText w:val="%5)"/>
      <w:lvlJc w:val="left"/>
      <w:pPr>
        <w:ind w:left="2750" w:hanging="360"/>
      </w:pPr>
      <w:rPr>
        <w:rFonts w:hint="default"/>
      </w:rPr>
    </w:lvl>
    <w:lvl w:ilvl="5">
      <w:start w:val="1"/>
      <w:numFmt w:val="decimal"/>
      <w:lvlText w:val="%6."/>
      <w:lvlJc w:val="right"/>
      <w:pPr>
        <w:ind w:left="3470" w:hanging="180"/>
      </w:pPr>
      <w:rPr>
        <w:rFonts w:asciiTheme="minorHAnsi" w:eastAsiaTheme="minorHAnsi" w:hAnsiTheme="minorHAnsi" w:cstheme="minorBidi"/>
      </w:rPr>
    </w:lvl>
    <w:lvl w:ilvl="6">
      <w:start w:val="1"/>
      <w:numFmt w:val="decimal"/>
      <w:lvlText w:val="%7."/>
      <w:lvlJc w:val="left"/>
      <w:pPr>
        <w:ind w:left="4190" w:hanging="360"/>
      </w:pPr>
      <w:rPr>
        <w:rFonts w:hint="default"/>
      </w:rPr>
    </w:lvl>
    <w:lvl w:ilvl="7">
      <w:start w:val="1"/>
      <w:numFmt w:val="lowerLetter"/>
      <w:lvlText w:val="%8."/>
      <w:lvlJc w:val="left"/>
      <w:pPr>
        <w:ind w:left="4910" w:hanging="360"/>
      </w:pPr>
      <w:rPr>
        <w:rFonts w:hint="default"/>
      </w:rPr>
    </w:lvl>
    <w:lvl w:ilvl="8">
      <w:start w:val="1"/>
      <w:numFmt w:val="lowerRoman"/>
      <w:lvlText w:val="%9."/>
      <w:lvlJc w:val="right"/>
      <w:pPr>
        <w:ind w:left="5630" w:hanging="180"/>
      </w:pPr>
      <w:rPr>
        <w:rFonts w:hint="default"/>
      </w:rPr>
    </w:lvl>
  </w:abstractNum>
  <w:abstractNum w:abstractNumId="5" w15:restartNumberingAfterBreak="0">
    <w:nsid w:val="41AB09E9"/>
    <w:multiLevelType w:val="hybridMultilevel"/>
    <w:tmpl w:val="AB323E9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80352E8"/>
    <w:multiLevelType w:val="hybridMultilevel"/>
    <w:tmpl w:val="B930EF28"/>
    <w:lvl w:ilvl="0" w:tplc="85B29156">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6433EF"/>
    <w:multiLevelType w:val="hybridMultilevel"/>
    <w:tmpl w:val="4684BC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3C03326"/>
    <w:multiLevelType w:val="hybridMultilevel"/>
    <w:tmpl w:val="1122AB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64F964DC"/>
    <w:multiLevelType w:val="hybridMultilevel"/>
    <w:tmpl w:val="36723536"/>
    <w:lvl w:ilvl="0" w:tplc="604C9C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9B0626C"/>
    <w:multiLevelType w:val="hybridMultilevel"/>
    <w:tmpl w:val="3D5A273E"/>
    <w:lvl w:ilvl="0" w:tplc="85B29156">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50484B"/>
    <w:multiLevelType w:val="hybridMultilevel"/>
    <w:tmpl w:val="3870AD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71AA5759"/>
    <w:multiLevelType w:val="hybridMultilevel"/>
    <w:tmpl w:val="36723536"/>
    <w:lvl w:ilvl="0" w:tplc="604C9C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6FB4B3D"/>
    <w:multiLevelType w:val="hybridMultilevel"/>
    <w:tmpl w:val="65921258"/>
    <w:lvl w:ilvl="0" w:tplc="85B29156">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C5942C4"/>
    <w:multiLevelType w:val="hybridMultilevel"/>
    <w:tmpl w:val="2C0AD56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9"/>
  </w:num>
  <w:num w:numId="3">
    <w:abstractNumId w:val="2"/>
  </w:num>
  <w:num w:numId="4">
    <w:abstractNumId w:val="3"/>
  </w:num>
  <w:num w:numId="5">
    <w:abstractNumId w:val="12"/>
  </w:num>
  <w:num w:numId="6">
    <w:abstractNumId w:val="13"/>
  </w:num>
  <w:num w:numId="7">
    <w:abstractNumId w:val="6"/>
  </w:num>
  <w:num w:numId="8">
    <w:abstractNumId w:val="10"/>
  </w:num>
  <w:num w:numId="9">
    <w:abstractNumId w:val="0"/>
  </w:num>
  <w:num w:numId="10">
    <w:abstractNumId w:val="11"/>
  </w:num>
  <w:num w:numId="11">
    <w:abstractNumId w:val="1"/>
  </w:num>
  <w:num w:numId="12">
    <w:abstractNumId w:val="8"/>
  </w:num>
  <w:num w:numId="13">
    <w:abstractNumId w:val="7"/>
  </w:num>
  <w:num w:numId="14">
    <w:abstractNumId w:val="5"/>
  </w:num>
  <w:num w:numId="15">
    <w:abstractNumId w:val="1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576"/>
    <w:rsid w:val="00000FCC"/>
    <w:rsid w:val="00001064"/>
    <w:rsid w:val="000208DF"/>
    <w:rsid w:val="00023C78"/>
    <w:rsid w:val="0002458C"/>
    <w:rsid w:val="00026675"/>
    <w:rsid w:val="00031BF6"/>
    <w:rsid w:val="00032CBB"/>
    <w:rsid w:val="000363FC"/>
    <w:rsid w:val="00040340"/>
    <w:rsid w:val="00043A4D"/>
    <w:rsid w:val="00044F31"/>
    <w:rsid w:val="00046433"/>
    <w:rsid w:val="00047055"/>
    <w:rsid w:val="00052E9A"/>
    <w:rsid w:val="00054F47"/>
    <w:rsid w:val="0005518B"/>
    <w:rsid w:val="00055AB0"/>
    <w:rsid w:val="000574FB"/>
    <w:rsid w:val="000612AB"/>
    <w:rsid w:val="000633CD"/>
    <w:rsid w:val="00064152"/>
    <w:rsid w:val="000656FE"/>
    <w:rsid w:val="000741BD"/>
    <w:rsid w:val="000760B1"/>
    <w:rsid w:val="00080A07"/>
    <w:rsid w:val="0008216B"/>
    <w:rsid w:val="00084DAC"/>
    <w:rsid w:val="00090EE5"/>
    <w:rsid w:val="000A1365"/>
    <w:rsid w:val="000A423F"/>
    <w:rsid w:val="000A6729"/>
    <w:rsid w:val="000B0072"/>
    <w:rsid w:val="000C12D2"/>
    <w:rsid w:val="000C472C"/>
    <w:rsid w:val="000D20B1"/>
    <w:rsid w:val="000D5A38"/>
    <w:rsid w:val="000E11DE"/>
    <w:rsid w:val="000E15B3"/>
    <w:rsid w:val="000E7BD7"/>
    <w:rsid w:val="000E7DEB"/>
    <w:rsid w:val="000F01B7"/>
    <w:rsid w:val="000F0CBC"/>
    <w:rsid w:val="000F1145"/>
    <w:rsid w:val="000F3FB1"/>
    <w:rsid w:val="001033B6"/>
    <w:rsid w:val="00112E0E"/>
    <w:rsid w:val="00124E34"/>
    <w:rsid w:val="0012718C"/>
    <w:rsid w:val="00137A38"/>
    <w:rsid w:val="00152D8D"/>
    <w:rsid w:val="0016062D"/>
    <w:rsid w:val="00176136"/>
    <w:rsid w:val="00181042"/>
    <w:rsid w:val="00191D6D"/>
    <w:rsid w:val="00193EBD"/>
    <w:rsid w:val="001A0DDC"/>
    <w:rsid w:val="001A6FAA"/>
    <w:rsid w:val="001B19A6"/>
    <w:rsid w:val="001B501F"/>
    <w:rsid w:val="001B67F2"/>
    <w:rsid w:val="001C1823"/>
    <w:rsid w:val="001D24F6"/>
    <w:rsid w:val="001D5D9D"/>
    <w:rsid w:val="001D7EA2"/>
    <w:rsid w:val="001E0DD2"/>
    <w:rsid w:val="001E2DD4"/>
    <w:rsid w:val="001E7D78"/>
    <w:rsid w:val="001F268D"/>
    <w:rsid w:val="00205BAB"/>
    <w:rsid w:val="00206624"/>
    <w:rsid w:val="00214463"/>
    <w:rsid w:val="00233733"/>
    <w:rsid w:val="00235C86"/>
    <w:rsid w:val="00236A7A"/>
    <w:rsid w:val="00236C30"/>
    <w:rsid w:val="0024370E"/>
    <w:rsid w:val="002437FD"/>
    <w:rsid w:val="00245BF0"/>
    <w:rsid w:val="0024649F"/>
    <w:rsid w:val="00252732"/>
    <w:rsid w:val="00252E69"/>
    <w:rsid w:val="002645CD"/>
    <w:rsid w:val="002668BB"/>
    <w:rsid w:val="002754E9"/>
    <w:rsid w:val="00276C7A"/>
    <w:rsid w:val="00286BE0"/>
    <w:rsid w:val="002A19CF"/>
    <w:rsid w:val="002A1BDA"/>
    <w:rsid w:val="002A1F94"/>
    <w:rsid w:val="002A2B81"/>
    <w:rsid w:val="002A3335"/>
    <w:rsid w:val="002A3CCA"/>
    <w:rsid w:val="002A5A85"/>
    <w:rsid w:val="002A5ACF"/>
    <w:rsid w:val="002A7486"/>
    <w:rsid w:val="002B7AED"/>
    <w:rsid w:val="002C0EC7"/>
    <w:rsid w:val="002C1903"/>
    <w:rsid w:val="002C25BF"/>
    <w:rsid w:val="002C29D0"/>
    <w:rsid w:val="002C2E4A"/>
    <w:rsid w:val="002D28FB"/>
    <w:rsid w:val="002D3082"/>
    <w:rsid w:val="002D391F"/>
    <w:rsid w:val="002D6A4A"/>
    <w:rsid w:val="002E33C6"/>
    <w:rsid w:val="002E441F"/>
    <w:rsid w:val="002E44B6"/>
    <w:rsid w:val="002E5F47"/>
    <w:rsid w:val="002E6ED8"/>
    <w:rsid w:val="002F0769"/>
    <w:rsid w:val="002F0E03"/>
    <w:rsid w:val="002F26DC"/>
    <w:rsid w:val="002F3E24"/>
    <w:rsid w:val="002F46A1"/>
    <w:rsid w:val="002F64F6"/>
    <w:rsid w:val="00300E14"/>
    <w:rsid w:val="00300F89"/>
    <w:rsid w:val="00307542"/>
    <w:rsid w:val="00311E46"/>
    <w:rsid w:val="0031303B"/>
    <w:rsid w:val="00320BC3"/>
    <w:rsid w:val="00322BAE"/>
    <w:rsid w:val="003236F2"/>
    <w:rsid w:val="003256B0"/>
    <w:rsid w:val="00333D4E"/>
    <w:rsid w:val="00334BAA"/>
    <w:rsid w:val="0033530D"/>
    <w:rsid w:val="00337D70"/>
    <w:rsid w:val="00350A74"/>
    <w:rsid w:val="00354B08"/>
    <w:rsid w:val="003742D2"/>
    <w:rsid w:val="003743DC"/>
    <w:rsid w:val="003777BB"/>
    <w:rsid w:val="00377F18"/>
    <w:rsid w:val="00382CF0"/>
    <w:rsid w:val="003831F0"/>
    <w:rsid w:val="00384FB0"/>
    <w:rsid w:val="00395068"/>
    <w:rsid w:val="00395EBD"/>
    <w:rsid w:val="0039607F"/>
    <w:rsid w:val="0039678E"/>
    <w:rsid w:val="003A1D79"/>
    <w:rsid w:val="003A4F8C"/>
    <w:rsid w:val="003A54FD"/>
    <w:rsid w:val="003A5868"/>
    <w:rsid w:val="003A6458"/>
    <w:rsid w:val="003B496A"/>
    <w:rsid w:val="003C1665"/>
    <w:rsid w:val="003C5FB1"/>
    <w:rsid w:val="003C6573"/>
    <w:rsid w:val="003D3703"/>
    <w:rsid w:val="003D68E3"/>
    <w:rsid w:val="003D6B4E"/>
    <w:rsid w:val="003E081F"/>
    <w:rsid w:val="003E3033"/>
    <w:rsid w:val="003F10EC"/>
    <w:rsid w:val="0040596B"/>
    <w:rsid w:val="00421229"/>
    <w:rsid w:val="004214FE"/>
    <w:rsid w:val="00421622"/>
    <w:rsid w:val="00423D94"/>
    <w:rsid w:val="00424E66"/>
    <w:rsid w:val="00427510"/>
    <w:rsid w:val="0043354E"/>
    <w:rsid w:val="004436EE"/>
    <w:rsid w:val="00457094"/>
    <w:rsid w:val="004704AE"/>
    <w:rsid w:val="004711B1"/>
    <w:rsid w:val="00473354"/>
    <w:rsid w:val="004802F1"/>
    <w:rsid w:val="00480E43"/>
    <w:rsid w:val="0049526A"/>
    <w:rsid w:val="004B436C"/>
    <w:rsid w:val="004B7285"/>
    <w:rsid w:val="004C04F1"/>
    <w:rsid w:val="004C1B9B"/>
    <w:rsid w:val="004C2982"/>
    <w:rsid w:val="004D1B2B"/>
    <w:rsid w:val="004D1F1E"/>
    <w:rsid w:val="004E05C7"/>
    <w:rsid w:val="004E29FF"/>
    <w:rsid w:val="004E45D2"/>
    <w:rsid w:val="004E63B7"/>
    <w:rsid w:val="004E7494"/>
    <w:rsid w:val="004F16C9"/>
    <w:rsid w:val="004F2222"/>
    <w:rsid w:val="004F5277"/>
    <w:rsid w:val="004F5728"/>
    <w:rsid w:val="004F5A49"/>
    <w:rsid w:val="005007F0"/>
    <w:rsid w:val="0050112B"/>
    <w:rsid w:val="0050133E"/>
    <w:rsid w:val="00502408"/>
    <w:rsid w:val="0050301A"/>
    <w:rsid w:val="00504C7D"/>
    <w:rsid w:val="0050667E"/>
    <w:rsid w:val="005072F1"/>
    <w:rsid w:val="0051092C"/>
    <w:rsid w:val="00510B12"/>
    <w:rsid w:val="005131A8"/>
    <w:rsid w:val="00513F02"/>
    <w:rsid w:val="00516023"/>
    <w:rsid w:val="00526DB0"/>
    <w:rsid w:val="0053394D"/>
    <w:rsid w:val="00533BD2"/>
    <w:rsid w:val="005356F8"/>
    <w:rsid w:val="005379ED"/>
    <w:rsid w:val="00541200"/>
    <w:rsid w:val="005458EE"/>
    <w:rsid w:val="00547EDA"/>
    <w:rsid w:val="00556346"/>
    <w:rsid w:val="00565803"/>
    <w:rsid w:val="00567044"/>
    <w:rsid w:val="005701AF"/>
    <w:rsid w:val="00582B2D"/>
    <w:rsid w:val="00582F85"/>
    <w:rsid w:val="00590E65"/>
    <w:rsid w:val="0059103A"/>
    <w:rsid w:val="00594CFE"/>
    <w:rsid w:val="005A180D"/>
    <w:rsid w:val="005A3828"/>
    <w:rsid w:val="005A5656"/>
    <w:rsid w:val="005A7092"/>
    <w:rsid w:val="005B1D7D"/>
    <w:rsid w:val="005B2709"/>
    <w:rsid w:val="005C012B"/>
    <w:rsid w:val="005C4580"/>
    <w:rsid w:val="005D08AC"/>
    <w:rsid w:val="005D1FF3"/>
    <w:rsid w:val="005D35B4"/>
    <w:rsid w:val="005E2B3A"/>
    <w:rsid w:val="005F2636"/>
    <w:rsid w:val="005F2659"/>
    <w:rsid w:val="0060229A"/>
    <w:rsid w:val="00607484"/>
    <w:rsid w:val="00611412"/>
    <w:rsid w:val="006166A0"/>
    <w:rsid w:val="00624B42"/>
    <w:rsid w:val="00626336"/>
    <w:rsid w:val="006312F0"/>
    <w:rsid w:val="00636748"/>
    <w:rsid w:val="00642F8E"/>
    <w:rsid w:val="00652702"/>
    <w:rsid w:val="00653A95"/>
    <w:rsid w:val="00660FD3"/>
    <w:rsid w:val="006647B8"/>
    <w:rsid w:val="006663C4"/>
    <w:rsid w:val="006744B9"/>
    <w:rsid w:val="0067524D"/>
    <w:rsid w:val="006808DC"/>
    <w:rsid w:val="006832EC"/>
    <w:rsid w:val="006922F4"/>
    <w:rsid w:val="00693B47"/>
    <w:rsid w:val="00696489"/>
    <w:rsid w:val="006A351E"/>
    <w:rsid w:val="006A45ED"/>
    <w:rsid w:val="006B1A5C"/>
    <w:rsid w:val="006B1DE1"/>
    <w:rsid w:val="006B490A"/>
    <w:rsid w:val="006B6214"/>
    <w:rsid w:val="006C0E41"/>
    <w:rsid w:val="006C1D54"/>
    <w:rsid w:val="006C6E84"/>
    <w:rsid w:val="006D633F"/>
    <w:rsid w:val="006E0236"/>
    <w:rsid w:val="006E09F5"/>
    <w:rsid w:val="006E35B3"/>
    <w:rsid w:val="006E7FAD"/>
    <w:rsid w:val="006F27DB"/>
    <w:rsid w:val="006F71D9"/>
    <w:rsid w:val="007143D0"/>
    <w:rsid w:val="007259A3"/>
    <w:rsid w:val="00732A2B"/>
    <w:rsid w:val="007377F3"/>
    <w:rsid w:val="007378BF"/>
    <w:rsid w:val="00737D35"/>
    <w:rsid w:val="00760375"/>
    <w:rsid w:val="00760588"/>
    <w:rsid w:val="00763224"/>
    <w:rsid w:val="007632C3"/>
    <w:rsid w:val="00763ED7"/>
    <w:rsid w:val="00781065"/>
    <w:rsid w:val="00787ADA"/>
    <w:rsid w:val="00791F97"/>
    <w:rsid w:val="00796AC9"/>
    <w:rsid w:val="007B0960"/>
    <w:rsid w:val="007B2914"/>
    <w:rsid w:val="007B5BA4"/>
    <w:rsid w:val="007C531E"/>
    <w:rsid w:val="007D0456"/>
    <w:rsid w:val="007D34A2"/>
    <w:rsid w:val="007D50B9"/>
    <w:rsid w:val="007D58C7"/>
    <w:rsid w:val="007D5C5D"/>
    <w:rsid w:val="007D5F8B"/>
    <w:rsid w:val="007E0123"/>
    <w:rsid w:val="007E0E1F"/>
    <w:rsid w:val="007E1025"/>
    <w:rsid w:val="007E7666"/>
    <w:rsid w:val="007F72B7"/>
    <w:rsid w:val="007F754C"/>
    <w:rsid w:val="00802C99"/>
    <w:rsid w:val="00803BE6"/>
    <w:rsid w:val="00805576"/>
    <w:rsid w:val="00807546"/>
    <w:rsid w:val="00810C46"/>
    <w:rsid w:val="00813BC0"/>
    <w:rsid w:val="00822762"/>
    <w:rsid w:val="00826C53"/>
    <w:rsid w:val="00833EC2"/>
    <w:rsid w:val="00834D00"/>
    <w:rsid w:val="00836516"/>
    <w:rsid w:val="008430E6"/>
    <w:rsid w:val="00845E06"/>
    <w:rsid w:val="00854CA7"/>
    <w:rsid w:val="0085513F"/>
    <w:rsid w:val="00861CEF"/>
    <w:rsid w:val="0087195D"/>
    <w:rsid w:val="00871D8E"/>
    <w:rsid w:val="00873177"/>
    <w:rsid w:val="00877CD7"/>
    <w:rsid w:val="00892379"/>
    <w:rsid w:val="008A41EF"/>
    <w:rsid w:val="008A5E34"/>
    <w:rsid w:val="008A6EB8"/>
    <w:rsid w:val="008B2183"/>
    <w:rsid w:val="008B66DF"/>
    <w:rsid w:val="008C4627"/>
    <w:rsid w:val="008C6293"/>
    <w:rsid w:val="008E10FD"/>
    <w:rsid w:val="008E728F"/>
    <w:rsid w:val="008E7728"/>
    <w:rsid w:val="008F32E2"/>
    <w:rsid w:val="009015AE"/>
    <w:rsid w:val="00932217"/>
    <w:rsid w:val="00934029"/>
    <w:rsid w:val="00934A13"/>
    <w:rsid w:val="00935305"/>
    <w:rsid w:val="00941010"/>
    <w:rsid w:val="00944931"/>
    <w:rsid w:val="00947F1C"/>
    <w:rsid w:val="00952C6D"/>
    <w:rsid w:val="009553DE"/>
    <w:rsid w:val="00961012"/>
    <w:rsid w:val="00961CC3"/>
    <w:rsid w:val="00962BC3"/>
    <w:rsid w:val="00967592"/>
    <w:rsid w:val="009677F1"/>
    <w:rsid w:val="0097235D"/>
    <w:rsid w:val="00981B17"/>
    <w:rsid w:val="00991F04"/>
    <w:rsid w:val="00997EC5"/>
    <w:rsid w:val="009A1013"/>
    <w:rsid w:val="009A4269"/>
    <w:rsid w:val="009B3095"/>
    <w:rsid w:val="009B4006"/>
    <w:rsid w:val="009B46C2"/>
    <w:rsid w:val="009B5DBE"/>
    <w:rsid w:val="009C204C"/>
    <w:rsid w:val="009C46FC"/>
    <w:rsid w:val="009C609F"/>
    <w:rsid w:val="009C64E3"/>
    <w:rsid w:val="009E01CB"/>
    <w:rsid w:val="009E23CE"/>
    <w:rsid w:val="009E24A4"/>
    <w:rsid w:val="009F7824"/>
    <w:rsid w:val="00A111F8"/>
    <w:rsid w:val="00A13BF2"/>
    <w:rsid w:val="00A16DCD"/>
    <w:rsid w:val="00A21F00"/>
    <w:rsid w:val="00A245C5"/>
    <w:rsid w:val="00A26F45"/>
    <w:rsid w:val="00A30007"/>
    <w:rsid w:val="00A30B08"/>
    <w:rsid w:val="00A32F10"/>
    <w:rsid w:val="00A338F6"/>
    <w:rsid w:val="00A40287"/>
    <w:rsid w:val="00A43CFB"/>
    <w:rsid w:val="00A50EC5"/>
    <w:rsid w:val="00A51764"/>
    <w:rsid w:val="00A52464"/>
    <w:rsid w:val="00A54761"/>
    <w:rsid w:val="00A6650C"/>
    <w:rsid w:val="00A82AB0"/>
    <w:rsid w:val="00A8341D"/>
    <w:rsid w:val="00A87CDC"/>
    <w:rsid w:val="00A95C93"/>
    <w:rsid w:val="00A96619"/>
    <w:rsid w:val="00A9677F"/>
    <w:rsid w:val="00AA0571"/>
    <w:rsid w:val="00AA408E"/>
    <w:rsid w:val="00AA73ED"/>
    <w:rsid w:val="00AB6B12"/>
    <w:rsid w:val="00AB7AC5"/>
    <w:rsid w:val="00AC2DA3"/>
    <w:rsid w:val="00AC4B3B"/>
    <w:rsid w:val="00AC5D42"/>
    <w:rsid w:val="00AD02DB"/>
    <w:rsid w:val="00AD5CEA"/>
    <w:rsid w:val="00AE1ADB"/>
    <w:rsid w:val="00AE1BB6"/>
    <w:rsid w:val="00AE1FB0"/>
    <w:rsid w:val="00AE6FB3"/>
    <w:rsid w:val="00AF222A"/>
    <w:rsid w:val="00AF749F"/>
    <w:rsid w:val="00AF771D"/>
    <w:rsid w:val="00B024D3"/>
    <w:rsid w:val="00B024EB"/>
    <w:rsid w:val="00B062AE"/>
    <w:rsid w:val="00B114D5"/>
    <w:rsid w:val="00B126CE"/>
    <w:rsid w:val="00B13F3C"/>
    <w:rsid w:val="00B14497"/>
    <w:rsid w:val="00B201DF"/>
    <w:rsid w:val="00B2096F"/>
    <w:rsid w:val="00B218EC"/>
    <w:rsid w:val="00B22F15"/>
    <w:rsid w:val="00B300A1"/>
    <w:rsid w:val="00B33ADE"/>
    <w:rsid w:val="00B36169"/>
    <w:rsid w:val="00B375DE"/>
    <w:rsid w:val="00B44EE2"/>
    <w:rsid w:val="00B4605A"/>
    <w:rsid w:val="00B46A84"/>
    <w:rsid w:val="00B504A4"/>
    <w:rsid w:val="00B53999"/>
    <w:rsid w:val="00B60CCC"/>
    <w:rsid w:val="00B70306"/>
    <w:rsid w:val="00B70DFA"/>
    <w:rsid w:val="00B76BCC"/>
    <w:rsid w:val="00B826F7"/>
    <w:rsid w:val="00B828FD"/>
    <w:rsid w:val="00BA1B52"/>
    <w:rsid w:val="00BA536F"/>
    <w:rsid w:val="00BB1077"/>
    <w:rsid w:val="00BB475F"/>
    <w:rsid w:val="00BB5BC3"/>
    <w:rsid w:val="00BC1A97"/>
    <w:rsid w:val="00BC3C4B"/>
    <w:rsid w:val="00BC3C5A"/>
    <w:rsid w:val="00BD4374"/>
    <w:rsid w:val="00BE0285"/>
    <w:rsid w:val="00BE0CB6"/>
    <w:rsid w:val="00BE0FC6"/>
    <w:rsid w:val="00BE22CC"/>
    <w:rsid w:val="00BE6A91"/>
    <w:rsid w:val="00BF2080"/>
    <w:rsid w:val="00BF4E5D"/>
    <w:rsid w:val="00C04D13"/>
    <w:rsid w:val="00C0701B"/>
    <w:rsid w:val="00C160BB"/>
    <w:rsid w:val="00C218DF"/>
    <w:rsid w:val="00C23CFB"/>
    <w:rsid w:val="00C2549A"/>
    <w:rsid w:val="00C262D2"/>
    <w:rsid w:val="00C3024C"/>
    <w:rsid w:val="00C37A1C"/>
    <w:rsid w:val="00C413FF"/>
    <w:rsid w:val="00C431B8"/>
    <w:rsid w:val="00C453FC"/>
    <w:rsid w:val="00C47109"/>
    <w:rsid w:val="00C54BAF"/>
    <w:rsid w:val="00C60FBA"/>
    <w:rsid w:val="00C62C0E"/>
    <w:rsid w:val="00C652FE"/>
    <w:rsid w:val="00C80188"/>
    <w:rsid w:val="00C8018B"/>
    <w:rsid w:val="00C80BB9"/>
    <w:rsid w:val="00C817F2"/>
    <w:rsid w:val="00C81DA5"/>
    <w:rsid w:val="00C85DD5"/>
    <w:rsid w:val="00C86598"/>
    <w:rsid w:val="00C86E3A"/>
    <w:rsid w:val="00C90960"/>
    <w:rsid w:val="00C93B37"/>
    <w:rsid w:val="00CA3628"/>
    <w:rsid w:val="00CA654D"/>
    <w:rsid w:val="00CB00FD"/>
    <w:rsid w:val="00CB0B07"/>
    <w:rsid w:val="00CB57FD"/>
    <w:rsid w:val="00CC68E3"/>
    <w:rsid w:val="00CD3A77"/>
    <w:rsid w:val="00CD3AD1"/>
    <w:rsid w:val="00CD60E4"/>
    <w:rsid w:val="00CD72F8"/>
    <w:rsid w:val="00CE2B0A"/>
    <w:rsid w:val="00CE4776"/>
    <w:rsid w:val="00CE6618"/>
    <w:rsid w:val="00CF0416"/>
    <w:rsid w:val="00CF2EEC"/>
    <w:rsid w:val="00CF539A"/>
    <w:rsid w:val="00CF781E"/>
    <w:rsid w:val="00D025BE"/>
    <w:rsid w:val="00D10CC1"/>
    <w:rsid w:val="00D130BE"/>
    <w:rsid w:val="00D13EF8"/>
    <w:rsid w:val="00D13F24"/>
    <w:rsid w:val="00D15A5E"/>
    <w:rsid w:val="00D31E6B"/>
    <w:rsid w:val="00D356DB"/>
    <w:rsid w:val="00D42917"/>
    <w:rsid w:val="00D4417E"/>
    <w:rsid w:val="00D539B1"/>
    <w:rsid w:val="00D55FDC"/>
    <w:rsid w:val="00D57157"/>
    <w:rsid w:val="00D60038"/>
    <w:rsid w:val="00D60F26"/>
    <w:rsid w:val="00D63163"/>
    <w:rsid w:val="00D646E9"/>
    <w:rsid w:val="00D65393"/>
    <w:rsid w:val="00D6780F"/>
    <w:rsid w:val="00D77A76"/>
    <w:rsid w:val="00D810A5"/>
    <w:rsid w:val="00D855DE"/>
    <w:rsid w:val="00D85FEF"/>
    <w:rsid w:val="00D914CF"/>
    <w:rsid w:val="00D92B27"/>
    <w:rsid w:val="00D93DC9"/>
    <w:rsid w:val="00DB55DE"/>
    <w:rsid w:val="00DB71C2"/>
    <w:rsid w:val="00DC077E"/>
    <w:rsid w:val="00DC4607"/>
    <w:rsid w:val="00DC5B01"/>
    <w:rsid w:val="00DC70A3"/>
    <w:rsid w:val="00DD0FF6"/>
    <w:rsid w:val="00DD2BF2"/>
    <w:rsid w:val="00DD3816"/>
    <w:rsid w:val="00DD4A6A"/>
    <w:rsid w:val="00DD4E7F"/>
    <w:rsid w:val="00DD582A"/>
    <w:rsid w:val="00DE08E9"/>
    <w:rsid w:val="00DE16FA"/>
    <w:rsid w:val="00DE1943"/>
    <w:rsid w:val="00DE5794"/>
    <w:rsid w:val="00E026D4"/>
    <w:rsid w:val="00E030AD"/>
    <w:rsid w:val="00E071A0"/>
    <w:rsid w:val="00E07E31"/>
    <w:rsid w:val="00E101FB"/>
    <w:rsid w:val="00E10483"/>
    <w:rsid w:val="00E160C8"/>
    <w:rsid w:val="00E16349"/>
    <w:rsid w:val="00E26550"/>
    <w:rsid w:val="00E26F01"/>
    <w:rsid w:val="00E31025"/>
    <w:rsid w:val="00E341CC"/>
    <w:rsid w:val="00E3498B"/>
    <w:rsid w:val="00E418AC"/>
    <w:rsid w:val="00E443E3"/>
    <w:rsid w:val="00E5363D"/>
    <w:rsid w:val="00E62059"/>
    <w:rsid w:val="00E63567"/>
    <w:rsid w:val="00E852EF"/>
    <w:rsid w:val="00E8595B"/>
    <w:rsid w:val="00E86341"/>
    <w:rsid w:val="00E9791E"/>
    <w:rsid w:val="00EA2915"/>
    <w:rsid w:val="00EC052B"/>
    <w:rsid w:val="00EC1DEE"/>
    <w:rsid w:val="00EC2EA1"/>
    <w:rsid w:val="00EC41FC"/>
    <w:rsid w:val="00EC522A"/>
    <w:rsid w:val="00EC657F"/>
    <w:rsid w:val="00ED460E"/>
    <w:rsid w:val="00ED5423"/>
    <w:rsid w:val="00EE4FF0"/>
    <w:rsid w:val="00EF3AAA"/>
    <w:rsid w:val="00EF4ECB"/>
    <w:rsid w:val="00EF6070"/>
    <w:rsid w:val="00F02BF4"/>
    <w:rsid w:val="00F037D2"/>
    <w:rsid w:val="00F05B64"/>
    <w:rsid w:val="00F0605C"/>
    <w:rsid w:val="00F1793D"/>
    <w:rsid w:val="00F23869"/>
    <w:rsid w:val="00F251C7"/>
    <w:rsid w:val="00F276FB"/>
    <w:rsid w:val="00F27B94"/>
    <w:rsid w:val="00F305F2"/>
    <w:rsid w:val="00F31B42"/>
    <w:rsid w:val="00F41875"/>
    <w:rsid w:val="00F42D56"/>
    <w:rsid w:val="00F44499"/>
    <w:rsid w:val="00F44DF9"/>
    <w:rsid w:val="00F459A9"/>
    <w:rsid w:val="00F507A1"/>
    <w:rsid w:val="00F52263"/>
    <w:rsid w:val="00F60771"/>
    <w:rsid w:val="00F733BB"/>
    <w:rsid w:val="00F758AE"/>
    <w:rsid w:val="00F82B43"/>
    <w:rsid w:val="00F83CCE"/>
    <w:rsid w:val="00F94299"/>
    <w:rsid w:val="00F95560"/>
    <w:rsid w:val="00FA0A2B"/>
    <w:rsid w:val="00FA22B0"/>
    <w:rsid w:val="00FA354B"/>
    <w:rsid w:val="00FB0CEE"/>
    <w:rsid w:val="00FB3E56"/>
    <w:rsid w:val="00FB6D53"/>
    <w:rsid w:val="00FC1E23"/>
    <w:rsid w:val="00FC377F"/>
    <w:rsid w:val="00FC4A69"/>
    <w:rsid w:val="00FC681D"/>
    <w:rsid w:val="00FD14BA"/>
    <w:rsid w:val="00FD3854"/>
    <w:rsid w:val="00FE101F"/>
    <w:rsid w:val="00FE25C8"/>
    <w:rsid w:val="00FE2762"/>
    <w:rsid w:val="00FE44FE"/>
    <w:rsid w:val="00FF20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E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05576"/>
    <w:pPr>
      <w:jc w:val="both"/>
    </w:pPr>
    <w:rPr>
      <w:sz w:val="24"/>
    </w:rPr>
  </w:style>
  <w:style w:type="paragraph" w:styleId="Nagwek1">
    <w:name w:val="heading 1"/>
    <w:basedOn w:val="Normalny"/>
    <w:next w:val="Normalny"/>
    <w:link w:val="Nagwek1Znak"/>
    <w:uiPriority w:val="9"/>
    <w:qFormat/>
    <w:rsid w:val="00805576"/>
    <w:pPr>
      <w:keepNext/>
      <w:keepLines/>
      <w:spacing w:before="240" w:after="0"/>
      <w:outlineLvl w:val="0"/>
    </w:pPr>
    <w:rPr>
      <w:rFonts w:eastAsiaTheme="majorEastAsia" w:cstheme="maj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5576"/>
    <w:rPr>
      <w:rFonts w:eastAsiaTheme="majorEastAsia" w:cstheme="majorBidi"/>
      <w:b/>
      <w:bCs/>
      <w:sz w:val="24"/>
      <w:szCs w:val="28"/>
    </w:rPr>
  </w:style>
  <w:style w:type="paragraph" w:styleId="Akapitzlist">
    <w:name w:val="List Paragraph"/>
    <w:basedOn w:val="Normalny"/>
    <w:uiPriority w:val="34"/>
    <w:qFormat/>
    <w:rsid w:val="00805576"/>
    <w:pPr>
      <w:ind w:left="720"/>
      <w:contextualSpacing/>
    </w:pPr>
  </w:style>
  <w:style w:type="paragraph" w:styleId="Tekstprzypisudolnego">
    <w:name w:val="footnote text"/>
    <w:basedOn w:val="Normalny"/>
    <w:link w:val="TekstprzypisudolnegoZnak"/>
    <w:uiPriority w:val="99"/>
    <w:semiHidden/>
    <w:unhideWhenUsed/>
    <w:rsid w:val="0080557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05576"/>
    <w:rPr>
      <w:sz w:val="20"/>
      <w:szCs w:val="20"/>
    </w:rPr>
  </w:style>
  <w:style w:type="character" w:styleId="Odwoanieprzypisudolnego">
    <w:name w:val="footnote reference"/>
    <w:basedOn w:val="Domylnaczcionkaakapitu"/>
    <w:uiPriority w:val="99"/>
    <w:semiHidden/>
    <w:unhideWhenUsed/>
    <w:rsid w:val="00805576"/>
    <w:rPr>
      <w:vertAlign w:val="superscript"/>
    </w:rPr>
  </w:style>
  <w:style w:type="character" w:styleId="Hipercze">
    <w:name w:val="Hyperlink"/>
    <w:basedOn w:val="Domylnaczcionkaakapitu"/>
    <w:uiPriority w:val="99"/>
    <w:unhideWhenUsed/>
    <w:rsid w:val="00805576"/>
    <w:rPr>
      <w:color w:val="0000FF" w:themeColor="hyperlink"/>
      <w:u w:val="single"/>
    </w:rPr>
  </w:style>
  <w:style w:type="paragraph" w:styleId="Cytat">
    <w:name w:val="Quote"/>
    <w:basedOn w:val="Normalny"/>
    <w:next w:val="Normalny"/>
    <w:link w:val="CytatZnak"/>
    <w:uiPriority w:val="29"/>
    <w:qFormat/>
    <w:rsid w:val="00805576"/>
    <w:pPr>
      <w:spacing w:before="120" w:after="0" w:line="240" w:lineRule="auto"/>
    </w:pPr>
    <w:rPr>
      <w:i/>
      <w:iCs/>
      <w:color w:val="000000" w:themeColor="text1"/>
    </w:rPr>
  </w:style>
  <w:style w:type="character" w:customStyle="1" w:styleId="CytatZnak">
    <w:name w:val="Cytat Znak"/>
    <w:basedOn w:val="Domylnaczcionkaakapitu"/>
    <w:link w:val="Cytat"/>
    <w:uiPriority w:val="29"/>
    <w:rsid w:val="00805576"/>
    <w:rPr>
      <w:i/>
      <w:iCs/>
      <w:color w:val="000000" w:themeColor="text1"/>
      <w:sz w:val="24"/>
    </w:rPr>
  </w:style>
  <w:style w:type="paragraph" w:styleId="Bezodstpw">
    <w:name w:val="No Spacing"/>
    <w:basedOn w:val="Akapitzlist"/>
    <w:uiPriority w:val="1"/>
    <w:qFormat/>
    <w:rsid w:val="00805576"/>
    <w:pPr>
      <w:numPr>
        <w:numId w:val="1"/>
      </w:numPr>
      <w:spacing w:after="0" w:line="240" w:lineRule="auto"/>
    </w:pPr>
  </w:style>
  <w:style w:type="paragraph" w:styleId="Nagwek">
    <w:name w:val="header"/>
    <w:basedOn w:val="Normalny"/>
    <w:link w:val="NagwekZnak"/>
    <w:uiPriority w:val="99"/>
    <w:unhideWhenUsed/>
    <w:rsid w:val="000403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0340"/>
    <w:rPr>
      <w:sz w:val="24"/>
    </w:rPr>
  </w:style>
  <w:style w:type="paragraph" w:styleId="Stopka">
    <w:name w:val="footer"/>
    <w:basedOn w:val="Normalny"/>
    <w:link w:val="StopkaZnak"/>
    <w:uiPriority w:val="99"/>
    <w:unhideWhenUsed/>
    <w:rsid w:val="000403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0340"/>
    <w:rPr>
      <w:sz w:val="24"/>
    </w:rPr>
  </w:style>
  <w:style w:type="paragraph" w:styleId="Tytu">
    <w:name w:val="Title"/>
    <w:basedOn w:val="Normalny"/>
    <w:next w:val="Normalny"/>
    <w:link w:val="TytuZnak"/>
    <w:uiPriority w:val="10"/>
    <w:qFormat/>
    <w:rsid w:val="000403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040340"/>
    <w:rPr>
      <w:rFonts w:asciiTheme="majorHAnsi" w:eastAsiaTheme="majorEastAsia" w:hAnsiTheme="majorHAnsi" w:cstheme="majorBidi"/>
      <w:color w:val="17365D" w:themeColor="text2" w:themeShade="BF"/>
      <w:spacing w:val="5"/>
      <w:kern w:val="28"/>
      <w:sz w:val="52"/>
      <w:szCs w:val="52"/>
    </w:rPr>
  </w:style>
  <w:style w:type="paragraph" w:styleId="Tekstprzypisukocowego">
    <w:name w:val="endnote text"/>
    <w:basedOn w:val="Normalny"/>
    <w:link w:val="TekstprzypisukocowegoZnak"/>
    <w:uiPriority w:val="99"/>
    <w:semiHidden/>
    <w:unhideWhenUsed/>
    <w:rsid w:val="00090EE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90EE5"/>
    <w:rPr>
      <w:sz w:val="20"/>
      <w:szCs w:val="20"/>
    </w:rPr>
  </w:style>
  <w:style w:type="character" w:styleId="Odwoanieprzypisukocowego">
    <w:name w:val="endnote reference"/>
    <w:basedOn w:val="Domylnaczcionkaakapitu"/>
    <w:uiPriority w:val="99"/>
    <w:semiHidden/>
    <w:unhideWhenUsed/>
    <w:rsid w:val="00090E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65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chr.coe.int" TargetMode="External"/><Relationship Id="rId2" Type="http://schemas.openxmlformats.org/officeDocument/2006/relationships/hyperlink" Target="http://www.echr.coe.int" TargetMode="External"/><Relationship Id="rId1" Type="http://schemas.openxmlformats.org/officeDocument/2006/relationships/hyperlink" Target="http://www.echr.coe.int/contact" TargetMode="External"/><Relationship Id="rId5" Type="http://schemas.openxmlformats.org/officeDocument/2006/relationships/hyperlink" Target="http://hudoc.echr.coe.int/" TargetMode="External"/><Relationship Id="rId4" Type="http://schemas.openxmlformats.org/officeDocument/2006/relationships/hyperlink" Target="http://www.echr.coe.in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F135C-0973-40B9-BA23-8E997E899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5163</Words>
  <Characters>30982</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2019-07-08T14:23:00Z</dcterms:created>
  <dcterms:modified xsi:type="dcterms:W3CDTF">2022-02-02T13:50:00Z</dcterms:modified>
</cp:coreProperties>
</file>