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08B2" w14:textId="77777777" w:rsidR="00027CA6" w:rsidRDefault="00027CA6" w:rsidP="00EC2E32">
      <w:pPr>
        <w:pStyle w:val="Tytu"/>
        <w:rPr>
          <w:b/>
          <w:bCs/>
          <w:sz w:val="24"/>
        </w:rPr>
      </w:pPr>
    </w:p>
    <w:p w14:paraId="43A981F5" w14:textId="117B6D1B" w:rsidR="00592520" w:rsidRDefault="003413D1" w:rsidP="00592520">
      <w:pPr>
        <w:pStyle w:val="Tytu"/>
        <w:jc w:val="center"/>
        <w:rPr>
          <w:color w:val="0070C0"/>
        </w:rPr>
      </w:pPr>
      <w:bookmarkStart w:id="0" w:name="_Hlk189225700"/>
      <w:r w:rsidRPr="00592520">
        <w:rPr>
          <w:color w:val="0070C0"/>
        </w:rPr>
        <w:t>Aktualizacja oceny ex-</w:t>
      </w:r>
      <w:proofErr w:type="spellStart"/>
      <w:r w:rsidRPr="00592520">
        <w:rPr>
          <w:color w:val="0070C0"/>
        </w:rPr>
        <w:t>ante</w:t>
      </w:r>
      <w:proofErr w:type="spellEnd"/>
      <w:r w:rsidRPr="00592520">
        <w:rPr>
          <w:color w:val="0070C0"/>
        </w:rPr>
        <w:t xml:space="preserve"> </w:t>
      </w:r>
    </w:p>
    <w:p w14:paraId="2461C9F4" w14:textId="0485F8E9" w:rsidR="00DC46A2" w:rsidRPr="00592520" w:rsidRDefault="003413D1" w:rsidP="00592520">
      <w:pPr>
        <w:pStyle w:val="Tytu"/>
        <w:jc w:val="center"/>
        <w:rPr>
          <w:color w:val="0070C0"/>
        </w:rPr>
      </w:pPr>
      <w:r w:rsidRPr="00592520">
        <w:rPr>
          <w:color w:val="0070C0"/>
        </w:rPr>
        <w:t>w zakresie</w:t>
      </w:r>
      <w:r w:rsidR="00DC46A2" w:rsidRPr="00592520">
        <w:rPr>
          <w:color w:val="0070C0"/>
        </w:rPr>
        <w:t xml:space="preserve"> inwestycji dotyczących poprawy efektywności energetycznej </w:t>
      </w:r>
      <w:r w:rsidR="003962D9" w:rsidRPr="00592520">
        <w:rPr>
          <w:color w:val="0070C0"/>
        </w:rPr>
        <w:t>niezabytkowych</w:t>
      </w:r>
      <w:r w:rsidR="00B52EEE" w:rsidRPr="00592520">
        <w:rPr>
          <w:color w:val="0070C0"/>
        </w:rPr>
        <w:t xml:space="preserve"> </w:t>
      </w:r>
      <w:r w:rsidR="00DC46A2" w:rsidRPr="00592520">
        <w:rPr>
          <w:color w:val="0070C0"/>
        </w:rPr>
        <w:t xml:space="preserve">budynków użyteczności publicznej w ramach </w:t>
      </w:r>
      <w:r w:rsidR="00B52EEE" w:rsidRPr="00592520">
        <w:rPr>
          <w:color w:val="0070C0"/>
        </w:rPr>
        <w:t>programu Fundusze Europejskie na Infrastrukturę, Klimat, Środowisko 2021-2027 (</w:t>
      </w:r>
      <w:r w:rsidR="00DC46A2" w:rsidRPr="00592520">
        <w:rPr>
          <w:color w:val="0070C0"/>
        </w:rPr>
        <w:t>FEnIKS</w:t>
      </w:r>
      <w:r w:rsidR="00B52EEE" w:rsidRPr="00592520">
        <w:rPr>
          <w:color w:val="0070C0"/>
        </w:rPr>
        <w:t>)</w:t>
      </w:r>
      <w:r w:rsidR="00DC46A2" w:rsidRPr="00592520">
        <w:rPr>
          <w:color w:val="0070C0"/>
        </w:rPr>
        <w:t xml:space="preserve"> </w:t>
      </w:r>
      <w:r w:rsidR="00932923" w:rsidRPr="00592520">
        <w:rPr>
          <w:color w:val="0070C0"/>
        </w:rPr>
        <w:t>z</w:t>
      </w:r>
      <w:r w:rsidR="00B52EEE" w:rsidRPr="00592520">
        <w:rPr>
          <w:color w:val="0070C0"/>
        </w:rPr>
        <w:t> </w:t>
      </w:r>
      <w:r w:rsidR="00932923" w:rsidRPr="00592520">
        <w:rPr>
          <w:color w:val="0070C0"/>
        </w:rPr>
        <w:t xml:space="preserve"> </w:t>
      </w:r>
      <w:r w:rsidR="00C2566A">
        <w:rPr>
          <w:color w:val="0070C0"/>
        </w:rPr>
        <w:t xml:space="preserve">obligatoryjnym </w:t>
      </w:r>
      <w:r w:rsidR="00932923" w:rsidRPr="00592520">
        <w:rPr>
          <w:color w:val="0070C0"/>
        </w:rPr>
        <w:t>wykorzystaniem formuły</w:t>
      </w:r>
      <w:r w:rsidR="00342989" w:rsidRPr="00592520">
        <w:rPr>
          <w:color w:val="0070C0"/>
        </w:rPr>
        <w:t xml:space="preserve"> </w:t>
      </w:r>
      <w:r w:rsidR="00DC46A2" w:rsidRPr="00592520">
        <w:rPr>
          <w:color w:val="0070C0"/>
        </w:rPr>
        <w:t>EPC</w:t>
      </w:r>
      <w:r w:rsidR="00342989" w:rsidRPr="00592520">
        <w:rPr>
          <w:color w:val="0070C0"/>
        </w:rPr>
        <w:t>/ESCO</w:t>
      </w:r>
    </w:p>
    <w:bookmarkEnd w:id="0"/>
    <w:p w14:paraId="568D6896" w14:textId="77777777" w:rsidR="000C3A9A" w:rsidRDefault="000C3A9A" w:rsidP="008B613D">
      <w:pPr>
        <w:pStyle w:val="Podtytu"/>
      </w:pPr>
    </w:p>
    <w:p w14:paraId="3632F402" w14:textId="77777777" w:rsidR="00592520" w:rsidRDefault="00592520" w:rsidP="00EC2E32">
      <w:pPr>
        <w:pStyle w:val="Podtytu"/>
      </w:pPr>
    </w:p>
    <w:p w14:paraId="18854771" w14:textId="77777777" w:rsidR="00592520" w:rsidRDefault="00592520" w:rsidP="00EC2E32">
      <w:pPr>
        <w:pStyle w:val="Podtytu"/>
      </w:pPr>
    </w:p>
    <w:p w14:paraId="7903B118" w14:textId="77777777" w:rsidR="00592520" w:rsidRDefault="00592520" w:rsidP="00EC2E32">
      <w:pPr>
        <w:pStyle w:val="Podtytu"/>
      </w:pPr>
    </w:p>
    <w:p w14:paraId="30244578" w14:textId="77777777" w:rsidR="00592520" w:rsidRDefault="00592520" w:rsidP="00EC2E32">
      <w:pPr>
        <w:pStyle w:val="Podtytu"/>
      </w:pPr>
    </w:p>
    <w:p w14:paraId="16BBE91D" w14:textId="77777777" w:rsidR="00592520" w:rsidRDefault="00592520" w:rsidP="00EC2E32">
      <w:pPr>
        <w:pStyle w:val="Podtytu"/>
      </w:pPr>
    </w:p>
    <w:p w14:paraId="6300187C" w14:textId="77777777" w:rsidR="00592520" w:rsidRDefault="00592520" w:rsidP="00EC2E32">
      <w:pPr>
        <w:pStyle w:val="Podtytu"/>
      </w:pPr>
    </w:p>
    <w:p w14:paraId="5805BE1D" w14:textId="77777777" w:rsidR="00592520" w:rsidRDefault="00592520" w:rsidP="00EC2E32">
      <w:pPr>
        <w:pStyle w:val="Podtytu"/>
      </w:pPr>
    </w:p>
    <w:p w14:paraId="1BE471A6" w14:textId="77777777" w:rsidR="00592520" w:rsidRDefault="00592520" w:rsidP="00EC2E32">
      <w:pPr>
        <w:pStyle w:val="Podtytu"/>
      </w:pPr>
    </w:p>
    <w:p w14:paraId="6C273F64" w14:textId="77777777" w:rsidR="00592520" w:rsidRDefault="00592520" w:rsidP="00EC2E32">
      <w:pPr>
        <w:pStyle w:val="Podtytu"/>
      </w:pPr>
    </w:p>
    <w:p w14:paraId="7D24A2E5" w14:textId="77777777" w:rsidR="00592520" w:rsidRDefault="00592520" w:rsidP="00EC2E32">
      <w:pPr>
        <w:pStyle w:val="Podtytu"/>
      </w:pPr>
    </w:p>
    <w:p w14:paraId="2EA0DCFE" w14:textId="77777777" w:rsidR="00592520" w:rsidRDefault="00592520" w:rsidP="00EC2E32">
      <w:pPr>
        <w:pStyle w:val="Podtytu"/>
      </w:pPr>
    </w:p>
    <w:p w14:paraId="0A983B28" w14:textId="77777777" w:rsidR="00592520" w:rsidRDefault="00592520" w:rsidP="00EC2E32">
      <w:pPr>
        <w:pStyle w:val="Podtytu"/>
      </w:pPr>
    </w:p>
    <w:p w14:paraId="72225258" w14:textId="77777777" w:rsidR="00592520" w:rsidRDefault="00592520" w:rsidP="00EC2E32">
      <w:pPr>
        <w:pStyle w:val="Podtytu"/>
      </w:pPr>
    </w:p>
    <w:p w14:paraId="75255EE8" w14:textId="77777777" w:rsidR="00592520" w:rsidRDefault="00592520" w:rsidP="00EC2E32">
      <w:pPr>
        <w:pStyle w:val="Podtytu"/>
      </w:pPr>
    </w:p>
    <w:p w14:paraId="41CAB159" w14:textId="77777777" w:rsidR="00592520" w:rsidRDefault="00592520" w:rsidP="00EC2E32">
      <w:pPr>
        <w:pStyle w:val="Podtytu"/>
      </w:pPr>
    </w:p>
    <w:p w14:paraId="32637457" w14:textId="77777777" w:rsidR="00592520" w:rsidRDefault="00592520" w:rsidP="00EC2E32">
      <w:pPr>
        <w:pStyle w:val="Podtytu"/>
      </w:pPr>
    </w:p>
    <w:p w14:paraId="5067FAD3" w14:textId="77777777" w:rsidR="00592520" w:rsidRDefault="00592520" w:rsidP="00EC2E32">
      <w:pPr>
        <w:pStyle w:val="Podtytu"/>
      </w:pPr>
    </w:p>
    <w:p w14:paraId="7E4CC0F4" w14:textId="77777777" w:rsidR="00592520" w:rsidRDefault="00592520" w:rsidP="00EC2E32">
      <w:pPr>
        <w:pStyle w:val="Podtytu"/>
      </w:pPr>
    </w:p>
    <w:p w14:paraId="68F93E03" w14:textId="77777777" w:rsidR="00592520" w:rsidRDefault="00592520" w:rsidP="00EC2E32">
      <w:pPr>
        <w:pStyle w:val="Podtytu"/>
      </w:pPr>
    </w:p>
    <w:p w14:paraId="1D6230FB" w14:textId="77777777" w:rsidR="00592520" w:rsidRDefault="00592520" w:rsidP="00EC2E32">
      <w:pPr>
        <w:pStyle w:val="Podtytu"/>
      </w:pPr>
    </w:p>
    <w:p w14:paraId="75C98F6E" w14:textId="05EEA49F" w:rsidR="000C7E10" w:rsidRPr="00EC2E32" w:rsidRDefault="00417568" w:rsidP="00592520">
      <w:pPr>
        <w:pStyle w:val="Podtytu"/>
        <w:jc w:val="center"/>
      </w:pPr>
      <w:r>
        <w:t xml:space="preserve">Styczeń </w:t>
      </w:r>
      <w:r w:rsidR="000C7E10">
        <w:t>202</w:t>
      </w:r>
      <w:r>
        <w:t>5</w:t>
      </w:r>
    </w:p>
    <w:p w14:paraId="09F21F42" w14:textId="16B2EDDB" w:rsidR="00FB4E60" w:rsidRPr="00EC2E32" w:rsidRDefault="00D8383A" w:rsidP="00EC2E32">
      <w:pPr>
        <w:pStyle w:val="Nagwek1"/>
        <w:numPr>
          <w:ilvl w:val="0"/>
          <w:numId w:val="0"/>
        </w:numPr>
      </w:pPr>
      <w:bookmarkStart w:id="1" w:name="_Toc156255379"/>
      <w:bookmarkStart w:id="2" w:name="_Toc156258089"/>
      <w:bookmarkStart w:id="3" w:name="_Toc156258171"/>
      <w:bookmarkStart w:id="4" w:name="_Toc187745748"/>
      <w:r w:rsidRPr="00EC2E32">
        <w:lastRenderedPageBreak/>
        <w:t xml:space="preserve">Spis </w:t>
      </w:r>
      <w:r w:rsidR="008C721C">
        <w:t>t</w:t>
      </w:r>
      <w:r w:rsidRPr="00D8383A">
        <w:t>reści</w:t>
      </w:r>
      <w:bookmarkEnd w:id="1"/>
      <w:bookmarkEnd w:id="2"/>
      <w:bookmarkEnd w:id="3"/>
      <w:bookmarkEnd w:id="4"/>
    </w:p>
    <w:sdt>
      <w:sdtPr>
        <w:id w:val="1313980222"/>
        <w:docPartObj>
          <w:docPartGallery w:val="Table of Contents"/>
          <w:docPartUnique/>
        </w:docPartObj>
      </w:sdtPr>
      <w:sdtEndPr>
        <w:rPr>
          <w:sz w:val="24"/>
        </w:rPr>
      </w:sdtEndPr>
      <w:sdtContent>
        <w:p w14:paraId="311AA119" w14:textId="15F3E1B9" w:rsidR="00F608CC" w:rsidRDefault="0036003E">
          <w:pPr>
            <w:pStyle w:val="Spistreci1"/>
            <w:tabs>
              <w:tab w:val="right" w:leader="dot" w:pos="9062"/>
            </w:tabs>
            <w:rPr>
              <w:rFonts w:eastAsiaTheme="minorEastAsia"/>
              <w:noProof/>
              <w:sz w:val="24"/>
              <w:szCs w:val="24"/>
              <w:lang w:eastAsia="pl-PL"/>
            </w:rPr>
          </w:pPr>
          <w:r>
            <w:rPr>
              <w:b/>
              <w:bCs/>
            </w:rPr>
            <w:fldChar w:fldCharType="begin"/>
          </w:r>
          <w:r>
            <w:rPr>
              <w:b/>
              <w:bCs/>
            </w:rPr>
            <w:instrText xml:space="preserve"> TOC \o "1-3" \h \z \u </w:instrText>
          </w:r>
          <w:r>
            <w:rPr>
              <w:b/>
              <w:bCs/>
            </w:rPr>
            <w:fldChar w:fldCharType="separate"/>
          </w:r>
          <w:hyperlink w:anchor="_Toc187745748" w:history="1">
            <w:r w:rsidR="00F608CC" w:rsidRPr="00AF634F">
              <w:rPr>
                <w:rStyle w:val="Hipercze"/>
                <w:noProof/>
              </w:rPr>
              <w:t>Spis treści</w:t>
            </w:r>
            <w:r w:rsidR="00F608CC">
              <w:rPr>
                <w:noProof/>
                <w:webHidden/>
              </w:rPr>
              <w:tab/>
            </w:r>
            <w:r w:rsidR="00F608CC">
              <w:rPr>
                <w:noProof/>
                <w:webHidden/>
              </w:rPr>
              <w:fldChar w:fldCharType="begin"/>
            </w:r>
            <w:r w:rsidR="00F608CC">
              <w:rPr>
                <w:noProof/>
                <w:webHidden/>
              </w:rPr>
              <w:instrText xml:space="preserve"> PAGEREF _Toc187745748 \h </w:instrText>
            </w:r>
            <w:r w:rsidR="00F608CC">
              <w:rPr>
                <w:noProof/>
                <w:webHidden/>
              </w:rPr>
            </w:r>
            <w:r w:rsidR="00F608CC">
              <w:rPr>
                <w:noProof/>
                <w:webHidden/>
              </w:rPr>
              <w:fldChar w:fldCharType="separate"/>
            </w:r>
            <w:r w:rsidR="00DA0958">
              <w:rPr>
                <w:noProof/>
                <w:webHidden/>
              </w:rPr>
              <w:t>2</w:t>
            </w:r>
            <w:r w:rsidR="00F608CC">
              <w:rPr>
                <w:noProof/>
                <w:webHidden/>
              </w:rPr>
              <w:fldChar w:fldCharType="end"/>
            </w:r>
          </w:hyperlink>
        </w:p>
        <w:p w14:paraId="65A30E0D" w14:textId="20D74F61" w:rsidR="00F608CC" w:rsidRDefault="00F608CC">
          <w:pPr>
            <w:pStyle w:val="Spistreci1"/>
            <w:tabs>
              <w:tab w:val="right" w:leader="dot" w:pos="9062"/>
            </w:tabs>
            <w:rPr>
              <w:rFonts w:eastAsiaTheme="minorEastAsia"/>
              <w:noProof/>
              <w:sz w:val="24"/>
              <w:szCs w:val="24"/>
              <w:lang w:eastAsia="pl-PL"/>
            </w:rPr>
          </w:pPr>
          <w:hyperlink w:anchor="_Toc187745749" w:history="1">
            <w:r w:rsidRPr="00AF634F">
              <w:rPr>
                <w:rStyle w:val="Hipercze"/>
                <w:noProof/>
              </w:rPr>
              <w:t>Wykaz skrótów</w:t>
            </w:r>
            <w:r>
              <w:rPr>
                <w:noProof/>
                <w:webHidden/>
              </w:rPr>
              <w:tab/>
            </w:r>
            <w:r>
              <w:rPr>
                <w:noProof/>
                <w:webHidden/>
              </w:rPr>
              <w:fldChar w:fldCharType="begin"/>
            </w:r>
            <w:r>
              <w:rPr>
                <w:noProof/>
                <w:webHidden/>
              </w:rPr>
              <w:instrText xml:space="preserve"> PAGEREF _Toc187745749 \h </w:instrText>
            </w:r>
            <w:r>
              <w:rPr>
                <w:noProof/>
                <w:webHidden/>
              </w:rPr>
            </w:r>
            <w:r>
              <w:rPr>
                <w:noProof/>
                <w:webHidden/>
              </w:rPr>
              <w:fldChar w:fldCharType="separate"/>
            </w:r>
            <w:r w:rsidR="00DA0958">
              <w:rPr>
                <w:noProof/>
                <w:webHidden/>
              </w:rPr>
              <w:t>3</w:t>
            </w:r>
            <w:r>
              <w:rPr>
                <w:noProof/>
                <w:webHidden/>
              </w:rPr>
              <w:fldChar w:fldCharType="end"/>
            </w:r>
          </w:hyperlink>
        </w:p>
        <w:p w14:paraId="3B5EFDFC" w14:textId="2E551127" w:rsidR="00F608CC" w:rsidRDefault="00F608CC">
          <w:pPr>
            <w:pStyle w:val="Spistreci1"/>
            <w:tabs>
              <w:tab w:val="left" w:pos="440"/>
              <w:tab w:val="right" w:leader="dot" w:pos="9062"/>
            </w:tabs>
            <w:rPr>
              <w:rFonts w:eastAsiaTheme="minorEastAsia"/>
              <w:noProof/>
              <w:sz w:val="24"/>
              <w:szCs w:val="24"/>
              <w:lang w:eastAsia="pl-PL"/>
            </w:rPr>
          </w:pPr>
          <w:hyperlink w:anchor="_Toc187745750" w:history="1">
            <w:r w:rsidRPr="00AF634F">
              <w:rPr>
                <w:rStyle w:val="Hipercze"/>
                <w:noProof/>
                <w14:scene3d>
                  <w14:camera w14:prst="orthographicFront"/>
                  <w14:lightRig w14:rig="threePt" w14:dir="t">
                    <w14:rot w14:lat="0" w14:lon="0" w14:rev="0"/>
                  </w14:lightRig>
                </w14:scene3d>
              </w:rPr>
              <w:t>1.</w:t>
            </w:r>
            <w:r>
              <w:rPr>
                <w:rFonts w:eastAsiaTheme="minorEastAsia"/>
                <w:noProof/>
                <w:sz w:val="24"/>
                <w:szCs w:val="24"/>
                <w:lang w:eastAsia="pl-PL"/>
              </w:rPr>
              <w:tab/>
            </w:r>
            <w:r w:rsidRPr="00AF634F">
              <w:rPr>
                <w:rStyle w:val="Hipercze"/>
                <w:noProof/>
              </w:rPr>
              <w:t>Cel i podstawa prawna opracowania</w:t>
            </w:r>
            <w:r>
              <w:rPr>
                <w:noProof/>
                <w:webHidden/>
              </w:rPr>
              <w:tab/>
            </w:r>
            <w:r>
              <w:rPr>
                <w:noProof/>
                <w:webHidden/>
              </w:rPr>
              <w:fldChar w:fldCharType="begin"/>
            </w:r>
            <w:r>
              <w:rPr>
                <w:noProof/>
                <w:webHidden/>
              </w:rPr>
              <w:instrText xml:space="preserve"> PAGEREF _Toc187745750 \h </w:instrText>
            </w:r>
            <w:r>
              <w:rPr>
                <w:noProof/>
                <w:webHidden/>
              </w:rPr>
            </w:r>
            <w:r>
              <w:rPr>
                <w:noProof/>
                <w:webHidden/>
              </w:rPr>
              <w:fldChar w:fldCharType="separate"/>
            </w:r>
            <w:r w:rsidR="00DA0958">
              <w:rPr>
                <w:noProof/>
                <w:webHidden/>
              </w:rPr>
              <w:t>4</w:t>
            </w:r>
            <w:r>
              <w:rPr>
                <w:noProof/>
                <w:webHidden/>
              </w:rPr>
              <w:fldChar w:fldCharType="end"/>
            </w:r>
          </w:hyperlink>
        </w:p>
        <w:p w14:paraId="464290A7" w14:textId="148FA1EB" w:rsidR="00F608CC" w:rsidRDefault="00F608CC">
          <w:pPr>
            <w:pStyle w:val="Spistreci1"/>
            <w:tabs>
              <w:tab w:val="left" w:pos="440"/>
              <w:tab w:val="right" w:leader="dot" w:pos="9062"/>
            </w:tabs>
            <w:rPr>
              <w:rFonts w:eastAsiaTheme="minorEastAsia"/>
              <w:noProof/>
              <w:sz w:val="24"/>
              <w:szCs w:val="24"/>
              <w:lang w:eastAsia="pl-PL"/>
            </w:rPr>
          </w:pPr>
          <w:hyperlink w:anchor="_Toc187745751" w:history="1">
            <w:r w:rsidRPr="00AF634F">
              <w:rPr>
                <w:rStyle w:val="Hipercze"/>
                <w:noProof/>
                <w14:scene3d>
                  <w14:camera w14:prst="orthographicFront"/>
                  <w14:lightRig w14:rig="threePt" w14:dir="t">
                    <w14:rot w14:lat="0" w14:lon="0" w14:rev="0"/>
                  </w14:lightRig>
                </w14:scene3d>
              </w:rPr>
              <w:t>2.</w:t>
            </w:r>
            <w:r>
              <w:rPr>
                <w:rFonts w:eastAsiaTheme="minorEastAsia"/>
                <w:noProof/>
                <w:sz w:val="24"/>
                <w:szCs w:val="24"/>
                <w:lang w:eastAsia="pl-PL"/>
              </w:rPr>
              <w:tab/>
            </w:r>
            <w:r w:rsidRPr="00AF634F">
              <w:rPr>
                <w:rStyle w:val="Hipercze"/>
                <w:noProof/>
              </w:rPr>
              <w:t>Aktualizacja oceny rynku</w:t>
            </w:r>
            <w:r>
              <w:rPr>
                <w:noProof/>
                <w:webHidden/>
              </w:rPr>
              <w:tab/>
            </w:r>
            <w:r>
              <w:rPr>
                <w:noProof/>
                <w:webHidden/>
              </w:rPr>
              <w:fldChar w:fldCharType="begin"/>
            </w:r>
            <w:r>
              <w:rPr>
                <w:noProof/>
                <w:webHidden/>
              </w:rPr>
              <w:instrText xml:space="preserve"> PAGEREF _Toc187745751 \h </w:instrText>
            </w:r>
            <w:r>
              <w:rPr>
                <w:noProof/>
                <w:webHidden/>
              </w:rPr>
            </w:r>
            <w:r>
              <w:rPr>
                <w:noProof/>
                <w:webHidden/>
              </w:rPr>
              <w:fldChar w:fldCharType="separate"/>
            </w:r>
            <w:r w:rsidR="00DA0958">
              <w:rPr>
                <w:noProof/>
                <w:webHidden/>
              </w:rPr>
              <w:t>5</w:t>
            </w:r>
            <w:r>
              <w:rPr>
                <w:noProof/>
                <w:webHidden/>
              </w:rPr>
              <w:fldChar w:fldCharType="end"/>
            </w:r>
          </w:hyperlink>
        </w:p>
        <w:p w14:paraId="02B423EC" w14:textId="685AE5D3" w:rsidR="00F608CC" w:rsidRDefault="00F608CC">
          <w:pPr>
            <w:pStyle w:val="Spistreci2"/>
            <w:rPr>
              <w:rFonts w:eastAsiaTheme="minorEastAsia"/>
              <w:noProof/>
              <w:sz w:val="24"/>
              <w:szCs w:val="24"/>
              <w:lang w:eastAsia="pl-PL"/>
            </w:rPr>
          </w:pPr>
          <w:hyperlink w:anchor="_Toc187745752" w:history="1">
            <w:r w:rsidRPr="00AF634F">
              <w:rPr>
                <w:rStyle w:val="Hipercze"/>
                <w:noProof/>
              </w:rPr>
              <w:t>2.1.</w:t>
            </w:r>
            <w:r>
              <w:rPr>
                <w:rFonts w:eastAsiaTheme="minorEastAsia"/>
                <w:noProof/>
                <w:sz w:val="24"/>
                <w:szCs w:val="24"/>
                <w:lang w:eastAsia="pl-PL"/>
              </w:rPr>
              <w:tab/>
            </w:r>
            <w:r w:rsidRPr="00AF634F">
              <w:rPr>
                <w:rStyle w:val="Hipercze"/>
                <w:noProof/>
              </w:rPr>
              <w:t>Ocena rynku w raporcie EBOiR</w:t>
            </w:r>
            <w:r>
              <w:rPr>
                <w:noProof/>
                <w:webHidden/>
              </w:rPr>
              <w:tab/>
            </w:r>
            <w:r>
              <w:rPr>
                <w:noProof/>
                <w:webHidden/>
              </w:rPr>
              <w:fldChar w:fldCharType="begin"/>
            </w:r>
            <w:r>
              <w:rPr>
                <w:noProof/>
                <w:webHidden/>
              </w:rPr>
              <w:instrText xml:space="preserve"> PAGEREF _Toc187745752 \h </w:instrText>
            </w:r>
            <w:r>
              <w:rPr>
                <w:noProof/>
                <w:webHidden/>
              </w:rPr>
            </w:r>
            <w:r>
              <w:rPr>
                <w:noProof/>
                <w:webHidden/>
              </w:rPr>
              <w:fldChar w:fldCharType="separate"/>
            </w:r>
            <w:r w:rsidR="00DA0958">
              <w:rPr>
                <w:noProof/>
                <w:webHidden/>
              </w:rPr>
              <w:t>5</w:t>
            </w:r>
            <w:r>
              <w:rPr>
                <w:noProof/>
                <w:webHidden/>
              </w:rPr>
              <w:fldChar w:fldCharType="end"/>
            </w:r>
          </w:hyperlink>
        </w:p>
        <w:p w14:paraId="53D2D2A0" w14:textId="7F45D63A" w:rsidR="00F608CC" w:rsidRDefault="00F608CC">
          <w:pPr>
            <w:pStyle w:val="Spistreci2"/>
            <w:rPr>
              <w:rFonts w:eastAsiaTheme="minorEastAsia"/>
              <w:noProof/>
              <w:sz w:val="24"/>
              <w:szCs w:val="24"/>
              <w:lang w:eastAsia="pl-PL"/>
            </w:rPr>
          </w:pPr>
          <w:hyperlink w:anchor="_Toc187745753" w:history="1">
            <w:r w:rsidRPr="00AF634F">
              <w:rPr>
                <w:rStyle w:val="Hipercze"/>
                <w:noProof/>
              </w:rPr>
              <w:t>2.2.</w:t>
            </w:r>
            <w:r>
              <w:rPr>
                <w:rFonts w:eastAsiaTheme="minorEastAsia"/>
                <w:noProof/>
                <w:sz w:val="24"/>
                <w:szCs w:val="24"/>
                <w:lang w:eastAsia="pl-PL"/>
              </w:rPr>
              <w:tab/>
            </w:r>
            <w:r w:rsidRPr="00AF634F">
              <w:rPr>
                <w:rStyle w:val="Hipercze"/>
                <w:noProof/>
              </w:rPr>
              <w:t>Uaktualnienie oceny rynku</w:t>
            </w:r>
            <w:r>
              <w:rPr>
                <w:noProof/>
                <w:webHidden/>
              </w:rPr>
              <w:tab/>
            </w:r>
            <w:r>
              <w:rPr>
                <w:noProof/>
                <w:webHidden/>
              </w:rPr>
              <w:fldChar w:fldCharType="begin"/>
            </w:r>
            <w:r>
              <w:rPr>
                <w:noProof/>
                <w:webHidden/>
              </w:rPr>
              <w:instrText xml:space="preserve"> PAGEREF _Toc187745753 \h </w:instrText>
            </w:r>
            <w:r>
              <w:rPr>
                <w:noProof/>
                <w:webHidden/>
              </w:rPr>
            </w:r>
            <w:r>
              <w:rPr>
                <w:noProof/>
                <w:webHidden/>
              </w:rPr>
              <w:fldChar w:fldCharType="separate"/>
            </w:r>
            <w:r w:rsidR="00DA0958">
              <w:rPr>
                <w:noProof/>
                <w:webHidden/>
              </w:rPr>
              <w:t>6</w:t>
            </w:r>
            <w:r>
              <w:rPr>
                <w:noProof/>
                <w:webHidden/>
              </w:rPr>
              <w:fldChar w:fldCharType="end"/>
            </w:r>
          </w:hyperlink>
        </w:p>
        <w:p w14:paraId="59E71F50" w14:textId="510079E1" w:rsidR="00F608CC" w:rsidRDefault="00F608CC">
          <w:pPr>
            <w:pStyle w:val="Spistreci3"/>
            <w:rPr>
              <w:rFonts w:eastAsiaTheme="minorEastAsia"/>
              <w:noProof/>
              <w:sz w:val="24"/>
              <w:szCs w:val="24"/>
              <w:lang w:eastAsia="pl-PL"/>
            </w:rPr>
          </w:pPr>
          <w:hyperlink w:anchor="_Toc187745754" w:history="1">
            <w:r w:rsidRPr="00AF634F">
              <w:rPr>
                <w:rStyle w:val="Hipercze"/>
                <w:noProof/>
              </w:rPr>
              <w:t>2.2.1.</w:t>
            </w:r>
            <w:r>
              <w:rPr>
                <w:rFonts w:eastAsiaTheme="minorEastAsia"/>
                <w:noProof/>
                <w:sz w:val="24"/>
                <w:szCs w:val="24"/>
                <w:lang w:eastAsia="pl-PL"/>
              </w:rPr>
              <w:tab/>
            </w:r>
            <w:r w:rsidRPr="00AF634F">
              <w:rPr>
                <w:rStyle w:val="Hipercze"/>
                <w:noProof/>
              </w:rPr>
              <w:t>Strona podażowa</w:t>
            </w:r>
            <w:r>
              <w:rPr>
                <w:noProof/>
                <w:webHidden/>
              </w:rPr>
              <w:tab/>
            </w:r>
            <w:r>
              <w:rPr>
                <w:noProof/>
                <w:webHidden/>
              </w:rPr>
              <w:fldChar w:fldCharType="begin"/>
            </w:r>
            <w:r>
              <w:rPr>
                <w:noProof/>
                <w:webHidden/>
              </w:rPr>
              <w:instrText xml:space="preserve"> PAGEREF _Toc187745754 \h </w:instrText>
            </w:r>
            <w:r>
              <w:rPr>
                <w:noProof/>
                <w:webHidden/>
              </w:rPr>
            </w:r>
            <w:r>
              <w:rPr>
                <w:noProof/>
                <w:webHidden/>
              </w:rPr>
              <w:fldChar w:fldCharType="separate"/>
            </w:r>
            <w:r w:rsidR="00DA0958">
              <w:rPr>
                <w:noProof/>
                <w:webHidden/>
              </w:rPr>
              <w:t>6</w:t>
            </w:r>
            <w:r>
              <w:rPr>
                <w:noProof/>
                <w:webHidden/>
              </w:rPr>
              <w:fldChar w:fldCharType="end"/>
            </w:r>
          </w:hyperlink>
        </w:p>
        <w:p w14:paraId="12A93315" w14:textId="208F3330" w:rsidR="00F608CC" w:rsidRDefault="00F608CC">
          <w:pPr>
            <w:pStyle w:val="Spistreci3"/>
            <w:rPr>
              <w:rFonts w:eastAsiaTheme="minorEastAsia"/>
              <w:noProof/>
              <w:sz w:val="24"/>
              <w:szCs w:val="24"/>
              <w:lang w:eastAsia="pl-PL"/>
            </w:rPr>
          </w:pPr>
          <w:hyperlink w:anchor="_Toc187745755" w:history="1">
            <w:r w:rsidRPr="00AF634F">
              <w:rPr>
                <w:rStyle w:val="Hipercze"/>
                <w:noProof/>
              </w:rPr>
              <w:t>2.2.2.</w:t>
            </w:r>
            <w:r>
              <w:rPr>
                <w:rFonts w:eastAsiaTheme="minorEastAsia"/>
                <w:noProof/>
                <w:sz w:val="24"/>
                <w:szCs w:val="24"/>
                <w:lang w:eastAsia="pl-PL"/>
              </w:rPr>
              <w:tab/>
            </w:r>
            <w:r w:rsidRPr="00AF634F">
              <w:rPr>
                <w:rStyle w:val="Hipercze"/>
                <w:noProof/>
              </w:rPr>
              <w:t>Strona popytowa</w:t>
            </w:r>
            <w:r>
              <w:rPr>
                <w:noProof/>
                <w:webHidden/>
              </w:rPr>
              <w:tab/>
            </w:r>
            <w:r>
              <w:rPr>
                <w:noProof/>
                <w:webHidden/>
              </w:rPr>
              <w:fldChar w:fldCharType="begin"/>
            </w:r>
            <w:r>
              <w:rPr>
                <w:noProof/>
                <w:webHidden/>
              </w:rPr>
              <w:instrText xml:space="preserve"> PAGEREF _Toc187745755 \h </w:instrText>
            </w:r>
            <w:r>
              <w:rPr>
                <w:noProof/>
                <w:webHidden/>
              </w:rPr>
            </w:r>
            <w:r>
              <w:rPr>
                <w:noProof/>
                <w:webHidden/>
              </w:rPr>
              <w:fldChar w:fldCharType="separate"/>
            </w:r>
            <w:r w:rsidR="00DA0958">
              <w:rPr>
                <w:noProof/>
                <w:webHidden/>
              </w:rPr>
              <w:t>7</w:t>
            </w:r>
            <w:r>
              <w:rPr>
                <w:noProof/>
                <w:webHidden/>
              </w:rPr>
              <w:fldChar w:fldCharType="end"/>
            </w:r>
          </w:hyperlink>
        </w:p>
        <w:p w14:paraId="00195924" w14:textId="3C6315A7" w:rsidR="00F608CC" w:rsidRDefault="00F608CC">
          <w:pPr>
            <w:pStyle w:val="Spistreci1"/>
            <w:tabs>
              <w:tab w:val="left" w:pos="440"/>
              <w:tab w:val="right" w:leader="dot" w:pos="9062"/>
            </w:tabs>
            <w:rPr>
              <w:rFonts w:eastAsiaTheme="minorEastAsia"/>
              <w:noProof/>
              <w:sz w:val="24"/>
              <w:szCs w:val="24"/>
              <w:lang w:eastAsia="pl-PL"/>
            </w:rPr>
          </w:pPr>
          <w:hyperlink w:anchor="_Toc187745756" w:history="1">
            <w:r w:rsidRPr="00AF634F">
              <w:rPr>
                <w:rStyle w:val="Hipercze"/>
                <w:noProof/>
                <w14:scene3d>
                  <w14:camera w14:prst="orthographicFront"/>
                  <w14:lightRig w14:rig="threePt" w14:dir="t">
                    <w14:rot w14:lat="0" w14:lon="0" w14:rev="0"/>
                  </w14:lightRig>
                </w14:scene3d>
              </w:rPr>
              <w:t>3.</w:t>
            </w:r>
            <w:r>
              <w:rPr>
                <w:rFonts w:eastAsiaTheme="minorEastAsia"/>
                <w:noProof/>
                <w:sz w:val="24"/>
                <w:szCs w:val="24"/>
                <w:lang w:eastAsia="pl-PL"/>
              </w:rPr>
              <w:tab/>
            </w:r>
            <w:r w:rsidRPr="00AF634F">
              <w:rPr>
                <w:rStyle w:val="Hipercze"/>
                <w:noProof/>
              </w:rPr>
              <w:t>Aktualizacja produktów finansowych adresowanych do docelowych grup odbiorców ostatecznych</w:t>
            </w:r>
            <w:r>
              <w:rPr>
                <w:noProof/>
                <w:webHidden/>
              </w:rPr>
              <w:tab/>
            </w:r>
            <w:r>
              <w:rPr>
                <w:noProof/>
                <w:webHidden/>
              </w:rPr>
              <w:fldChar w:fldCharType="begin"/>
            </w:r>
            <w:r>
              <w:rPr>
                <w:noProof/>
                <w:webHidden/>
              </w:rPr>
              <w:instrText xml:space="preserve"> PAGEREF _Toc187745756 \h </w:instrText>
            </w:r>
            <w:r>
              <w:rPr>
                <w:noProof/>
                <w:webHidden/>
              </w:rPr>
            </w:r>
            <w:r>
              <w:rPr>
                <w:noProof/>
                <w:webHidden/>
              </w:rPr>
              <w:fldChar w:fldCharType="separate"/>
            </w:r>
            <w:r w:rsidR="00DA0958">
              <w:rPr>
                <w:noProof/>
                <w:webHidden/>
              </w:rPr>
              <w:t>8</w:t>
            </w:r>
            <w:r>
              <w:rPr>
                <w:noProof/>
                <w:webHidden/>
              </w:rPr>
              <w:fldChar w:fldCharType="end"/>
            </w:r>
          </w:hyperlink>
        </w:p>
        <w:p w14:paraId="677D6981" w14:textId="526C4A07" w:rsidR="00F608CC" w:rsidRDefault="00F608CC">
          <w:pPr>
            <w:pStyle w:val="Spistreci2"/>
            <w:rPr>
              <w:rFonts w:eastAsiaTheme="minorEastAsia"/>
              <w:noProof/>
              <w:sz w:val="24"/>
              <w:szCs w:val="24"/>
              <w:lang w:eastAsia="pl-PL"/>
            </w:rPr>
          </w:pPr>
          <w:hyperlink w:anchor="_Toc187745757" w:history="1">
            <w:r w:rsidRPr="00AF634F">
              <w:rPr>
                <w:rStyle w:val="Hipercze"/>
                <w:noProof/>
              </w:rPr>
              <w:t>3.1.</w:t>
            </w:r>
            <w:r>
              <w:rPr>
                <w:rFonts w:eastAsiaTheme="minorEastAsia"/>
                <w:noProof/>
                <w:sz w:val="24"/>
                <w:szCs w:val="24"/>
                <w:lang w:eastAsia="pl-PL"/>
              </w:rPr>
              <w:tab/>
            </w:r>
            <w:r w:rsidRPr="00AF634F">
              <w:rPr>
                <w:rStyle w:val="Hipercze"/>
                <w:noProof/>
              </w:rPr>
              <w:t>Analiza modeli wsparcia zaproponowanych przez EBOiR</w:t>
            </w:r>
            <w:r>
              <w:rPr>
                <w:noProof/>
                <w:webHidden/>
              </w:rPr>
              <w:tab/>
            </w:r>
            <w:r>
              <w:rPr>
                <w:noProof/>
                <w:webHidden/>
              </w:rPr>
              <w:fldChar w:fldCharType="begin"/>
            </w:r>
            <w:r>
              <w:rPr>
                <w:noProof/>
                <w:webHidden/>
              </w:rPr>
              <w:instrText xml:space="preserve"> PAGEREF _Toc187745757 \h </w:instrText>
            </w:r>
            <w:r>
              <w:rPr>
                <w:noProof/>
                <w:webHidden/>
              </w:rPr>
            </w:r>
            <w:r>
              <w:rPr>
                <w:noProof/>
                <w:webHidden/>
              </w:rPr>
              <w:fldChar w:fldCharType="separate"/>
            </w:r>
            <w:r w:rsidR="00DA0958">
              <w:rPr>
                <w:noProof/>
                <w:webHidden/>
              </w:rPr>
              <w:t>8</w:t>
            </w:r>
            <w:r>
              <w:rPr>
                <w:noProof/>
                <w:webHidden/>
              </w:rPr>
              <w:fldChar w:fldCharType="end"/>
            </w:r>
          </w:hyperlink>
        </w:p>
        <w:p w14:paraId="5145793E" w14:textId="5F8102EF" w:rsidR="00F608CC" w:rsidRDefault="00F608CC">
          <w:pPr>
            <w:pStyle w:val="Spistreci3"/>
            <w:rPr>
              <w:rFonts w:eastAsiaTheme="minorEastAsia"/>
              <w:noProof/>
              <w:sz w:val="24"/>
              <w:szCs w:val="24"/>
              <w:lang w:eastAsia="pl-PL"/>
            </w:rPr>
          </w:pPr>
          <w:hyperlink w:anchor="_Toc187745758" w:history="1">
            <w:r w:rsidRPr="00AF634F">
              <w:rPr>
                <w:rStyle w:val="Hipercze"/>
                <w:noProof/>
              </w:rPr>
              <w:t>3.1.1.</w:t>
            </w:r>
            <w:r>
              <w:rPr>
                <w:rFonts w:eastAsiaTheme="minorEastAsia"/>
                <w:noProof/>
                <w:sz w:val="24"/>
                <w:szCs w:val="24"/>
                <w:lang w:eastAsia="pl-PL"/>
              </w:rPr>
              <w:tab/>
            </w:r>
            <w:r w:rsidRPr="00AF634F">
              <w:rPr>
                <w:rStyle w:val="Hipercze"/>
                <w:noProof/>
              </w:rPr>
              <w:t>Scenariusz dla nie-pjb</w:t>
            </w:r>
            <w:r>
              <w:rPr>
                <w:noProof/>
                <w:webHidden/>
              </w:rPr>
              <w:tab/>
            </w:r>
            <w:r>
              <w:rPr>
                <w:noProof/>
                <w:webHidden/>
              </w:rPr>
              <w:fldChar w:fldCharType="begin"/>
            </w:r>
            <w:r>
              <w:rPr>
                <w:noProof/>
                <w:webHidden/>
              </w:rPr>
              <w:instrText xml:space="preserve"> PAGEREF _Toc187745758 \h </w:instrText>
            </w:r>
            <w:r>
              <w:rPr>
                <w:noProof/>
                <w:webHidden/>
              </w:rPr>
            </w:r>
            <w:r>
              <w:rPr>
                <w:noProof/>
                <w:webHidden/>
              </w:rPr>
              <w:fldChar w:fldCharType="separate"/>
            </w:r>
            <w:r w:rsidR="00DA0958">
              <w:rPr>
                <w:noProof/>
                <w:webHidden/>
              </w:rPr>
              <w:t>8</w:t>
            </w:r>
            <w:r>
              <w:rPr>
                <w:noProof/>
                <w:webHidden/>
              </w:rPr>
              <w:fldChar w:fldCharType="end"/>
            </w:r>
          </w:hyperlink>
        </w:p>
        <w:p w14:paraId="71491EE8" w14:textId="71FF0F72" w:rsidR="00F608CC" w:rsidRDefault="00F608CC">
          <w:pPr>
            <w:pStyle w:val="Spistreci3"/>
            <w:rPr>
              <w:rFonts w:eastAsiaTheme="minorEastAsia"/>
              <w:noProof/>
              <w:sz w:val="24"/>
              <w:szCs w:val="24"/>
              <w:lang w:eastAsia="pl-PL"/>
            </w:rPr>
          </w:pPr>
          <w:hyperlink w:anchor="_Toc187745759" w:history="1">
            <w:r w:rsidRPr="00AF634F">
              <w:rPr>
                <w:rStyle w:val="Hipercze"/>
                <w:noProof/>
              </w:rPr>
              <w:t>3.1.2.</w:t>
            </w:r>
            <w:r>
              <w:rPr>
                <w:rFonts w:eastAsiaTheme="minorEastAsia"/>
                <w:noProof/>
                <w:sz w:val="24"/>
                <w:szCs w:val="24"/>
                <w:lang w:eastAsia="pl-PL"/>
              </w:rPr>
              <w:tab/>
            </w:r>
            <w:r w:rsidRPr="00AF634F">
              <w:rPr>
                <w:rStyle w:val="Hipercze"/>
                <w:noProof/>
              </w:rPr>
              <w:t>Scenariusz dla pjb</w:t>
            </w:r>
            <w:r>
              <w:rPr>
                <w:noProof/>
                <w:webHidden/>
              </w:rPr>
              <w:tab/>
            </w:r>
            <w:r>
              <w:rPr>
                <w:noProof/>
                <w:webHidden/>
              </w:rPr>
              <w:fldChar w:fldCharType="begin"/>
            </w:r>
            <w:r>
              <w:rPr>
                <w:noProof/>
                <w:webHidden/>
              </w:rPr>
              <w:instrText xml:space="preserve"> PAGEREF _Toc187745759 \h </w:instrText>
            </w:r>
            <w:r>
              <w:rPr>
                <w:noProof/>
                <w:webHidden/>
              </w:rPr>
            </w:r>
            <w:r>
              <w:rPr>
                <w:noProof/>
                <w:webHidden/>
              </w:rPr>
              <w:fldChar w:fldCharType="separate"/>
            </w:r>
            <w:r w:rsidR="00DA0958">
              <w:rPr>
                <w:noProof/>
                <w:webHidden/>
              </w:rPr>
              <w:t>8</w:t>
            </w:r>
            <w:r>
              <w:rPr>
                <w:noProof/>
                <w:webHidden/>
              </w:rPr>
              <w:fldChar w:fldCharType="end"/>
            </w:r>
          </w:hyperlink>
        </w:p>
        <w:p w14:paraId="1D338CE4" w14:textId="6D4F1E17" w:rsidR="00F608CC" w:rsidRDefault="00F608CC">
          <w:pPr>
            <w:pStyle w:val="Spistreci2"/>
            <w:rPr>
              <w:rFonts w:eastAsiaTheme="minorEastAsia"/>
              <w:noProof/>
              <w:sz w:val="24"/>
              <w:szCs w:val="24"/>
              <w:lang w:eastAsia="pl-PL"/>
            </w:rPr>
          </w:pPr>
          <w:hyperlink w:anchor="_Toc187745760" w:history="1">
            <w:r w:rsidRPr="00AF634F">
              <w:rPr>
                <w:rStyle w:val="Hipercze"/>
                <w:noProof/>
              </w:rPr>
              <w:t>3.2.</w:t>
            </w:r>
            <w:r>
              <w:rPr>
                <w:rFonts w:eastAsiaTheme="minorEastAsia"/>
                <w:noProof/>
                <w:sz w:val="24"/>
                <w:szCs w:val="24"/>
                <w:lang w:eastAsia="pl-PL"/>
              </w:rPr>
              <w:tab/>
            </w:r>
            <w:r w:rsidRPr="00AF634F">
              <w:rPr>
                <w:rStyle w:val="Hipercze"/>
                <w:noProof/>
              </w:rPr>
              <w:t>Analiza zarządcza doświadczeń z dotychczasowego wdrażania modelu EPC/ESCO w ramach Funduszu Modernizacyjnego przez NFOŚiGW.</w:t>
            </w:r>
            <w:r>
              <w:rPr>
                <w:noProof/>
                <w:webHidden/>
              </w:rPr>
              <w:tab/>
            </w:r>
            <w:r>
              <w:rPr>
                <w:noProof/>
                <w:webHidden/>
              </w:rPr>
              <w:fldChar w:fldCharType="begin"/>
            </w:r>
            <w:r>
              <w:rPr>
                <w:noProof/>
                <w:webHidden/>
              </w:rPr>
              <w:instrText xml:space="preserve"> PAGEREF _Toc187745760 \h </w:instrText>
            </w:r>
            <w:r>
              <w:rPr>
                <w:noProof/>
                <w:webHidden/>
              </w:rPr>
            </w:r>
            <w:r>
              <w:rPr>
                <w:noProof/>
                <w:webHidden/>
              </w:rPr>
              <w:fldChar w:fldCharType="separate"/>
            </w:r>
            <w:r w:rsidR="00DA0958">
              <w:rPr>
                <w:noProof/>
                <w:webHidden/>
              </w:rPr>
              <w:t>10</w:t>
            </w:r>
            <w:r>
              <w:rPr>
                <w:noProof/>
                <w:webHidden/>
              </w:rPr>
              <w:fldChar w:fldCharType="end"/>
            </w:r>
          </w:hyperlink>
        </w:p>
        <w:p w14:paraId="5DB0BBCD" w14:textId="7D49AEC4" w:rsidR="00F608CC" w:rsidRDefault="00F608CC">
          <w:pPr>
            <w:pStyle w:val="Spistreci3"/>
            <w:rPr>
              <w:rFonts w:eastAsiaTheme="minorEastAsia"/>
              <w:noProof/>
              <w:sz w:val="24"/>
              <w:szCs w:val="24"/>
              <w:lang w:eastAsia="pl-PL"/>
            </w:rPr>
          </w:pPr>
          <w:hyperlink w:anchor="_Toc187745761" w:history="1">
            <w:r w:rsidRPr="00AF634F">
              <w:rPr>
                <w:rStyle w:val="Hipercze"/>
                <w:noProof/>
              </w:rPr>
              <w:t>3.2.1.</w:t>
            </w:r>
            <w:r>
              <w:rPr>
                <w:rFonts w:eastAsiaTheme="minorEastAsia"/>
                <w:noProof/>
                <w:sz w:val="24"/>
                <w:szCs w:val="24"/>
                <w:lang w:eastAsia="pl-PL"/>
              </w:rPr>
              <w:tab/>
            </w:r>
            <w:r w:rsidRPr="00AF634F">
              <w:rPr>
                <w:rStyle w:val="Hipercze"/>
                <w:noProof/>
              </w:rPr>
              <w:t>Doświadczenia z dotychczasowego wdrażania modelu EPC/ESCO</w:t>
            </w:r>
            <w:r>
              <w:rPr>
                <w:noProof/>
                <w:webHidden/>
              </w:rPr>
              <w:tab/>
            </w:r>
            <w:r>
              <w:rPr>
                <w:noProof/>
                <w:webHidden/>
              </w:rPr>
              <w:fldChar w:fldCharType="begin"/>
            </w:r>
            <w:r>
              <w:rPr>
                <w:noProof/>
                <w:webHidden/>
              </w:rPr>
              <w:instrText xml:space="preserve"> PAGEREF _Toc187745761 \h </w:instrText>
            </w:r>
            <w:r>
              <w:rPr>
                <w:noProof/>
                <w:webHidden/>
              </w:rPr>
            </w:r>
            <w:r>
              <w:rPr>
                <w:noProof/>
                <w:webHidden/>
              </w:rPr>
              <w:fldChar w:fldCharType="separate"/>
            </w:r>
            <w:r w:rsidR="00DA0958">
              <w:rPr>
                <w:noProof/>
                <w:webHidden/>
              </w:rPr>
              <w:t>10</w:t>
            </w:r>
            <w:r>
              <w:rPr>
                <w:noProof/>
                <w:webHidden/>
              </w:rPr>
              <w:fldChar w:fldCharType="end"/>
            </w:r>
          </w:hyperlink>
        </w:p>
        <w:p w14:paraId="6021916B" w14:textId="5B299A3F" w:rsidR="00F608CC" w:rsidRDefault="00F608CC">
          <w:pPr>
            <w:pStyle w:val="Spistreci3"/>
            <w:rPr>
              <w:rFonts w:eastAsiaTheme="minorEastAsia"/>
              <w:noProof/>
              <w:sz w:val="24"/>
              <w:szCs w:val="24"/>
              <w:lang w:eastAsia="pl-PL"/>
            </w:rPr>
          </w:pPr>
          <w:hyperlink w:anchor="_Toc187745762" w:history="1">
            <w:r w:rsidRPr="00AF634F">
              <w:rPr>
                <w:rStyle w:val="Hipercze"/>
                <w:noProof/>
              </w:rPr>
              <w:t>3.2.2.</w:t>
            </w:r>
            <w:r>
              <w:rPr>
                <w:rFonts w:eastAsiaTheme="minorEastAsia"/>
                <w:noProof/>
                <w:sz w:val="24"/>
                <w:szCs w:val="24"/>
                <w:lang w:eastAsia="pl-PL"/>
              </w:rPr>
              <w:tab/>
            </w:r>
            <w:r w:rsidRPr="00AF634F">
              <w:rPr>
                <w:rStyle w:val="Hipercze"/>
                <w:noProof/>
              </w:rPr>
              <w:t>Wnioski z dotychczasowego wdrażania modelu EPC/ESCO</w:t>
            </w:r>
            <w:r>
              <w:rPr>
                <w:noProof/>
                <w:webHidden/>
              </w:rPr>
              <w:tab/>
            </w:r>
            <w:r>
              <w:rPr>
                <w:noProof/>
                <w:webHidden/>
              </w:rPr>
              <w:fldChar w:fldCharType="begin"/>
            </w:r>
            <w:r>
              <w:rPr>
                <w:noProof/>
                <w:webHidden/>
              </w:rPr>
              <w:instrText xml:space="preserve"> PAGEREF _Toc187745762 \h </w:instrText>
            </w:r>
            <w:r>
              <w:rPr>
                <w:noProof/>
                <w:webHidden/>
              </w:rPr>
            </w:r>
            <w:r>
              <w:rPr>
                <w:noProof/>
                <w:webHidden/>
              </w:rPr>
              <w:fldChar w:fldCharType="separate"/>
            </w:r>
            <w:r w:rsidR="00DA0958">
              <w:rPr>
                <w:noProof/>
                <w:webHidden/>
              </w:rPr>
              <w:t>11</w:t>
            </w:r>
            <w:r>
              <w:rPr>
                <w:noProof/>
                <w:webHidden/>
              </w:rPr>
              <w:fldChar w:fldCharType="end"/>
            </w:r>
          </w:hyperlink>
        </w:p>
        <w:p w14:paraId="02D4AFEF" w14:textId="740F00EB" w:rsidR="00F608CC" w:rsidRDefault="00F608CC">
          <w:pPr>
            <w:pStyle w:val="Spistreci2"/>
            <w:rPr>
              <w:rFonts w:eastAsiaTheme="minorEastAsia"/>
              <w:noProof/>
              <w:sz w:val="24"/>
              <w:szCs w:val="24"/>
              <w:lang w:eastAsia="pl-PL"/>
            </w:rPr>
          </w:pPr>
          <w:hyperlink w:anchor="_Toc187745763" w:history="1">
            <w:r w:rsidRPr="00AF634F">
              <w:rPr>
                <w:rStyle w:val="Hipercze"/>
                <w:noProof/>
              </w:rPr>
              <w:t>3.3.</w:t>
            </w:r>
            <w:r>
              <w:rPr>
                <w:rFonts w:eastAsiaTheme="minorEastAsia"/>
                <w:noProof/>
                <w:sz w:val="24"/>
                <w:szCs w:val="24"/>
                <w:lang w:eastAsia="pl-PL"/>
              </w:rPr>
              <w:tab/>
            </w:r>
            <w:r w:rsidRPr="00AF634F">
              <w:rPr>
                <w:rStyle w:val="Hipercze"/>
                <w:noProof/>
              </w:rPr>
              <w:t>Założenia aktualizacji produktów finansowych</w:t>
            </w:r>
            <w:r>
              <w:rPr>
                <w:noProof/>
                <w:webHidden/>
              </w:rPr>
              <w:tab/>
            </w:r>
            <w:r>
              <w:rPr>
                <w:noProof/>
                <w:webHidden/>
              </w:rPr>
              <w:fldChar w:fldCharType="begin"/>
            </w:r>
            <w:r>
              <w:rPr>
                <w:noProof/>
                <w:webHidden/>
              </w:rPr>
              <w:instrText xml:space="preserve"> PAGEREF _Toc187745763 \h </w:instrText>
            </w:r>
            <w:r>
              <w:rPr>
                <w:noProof/>
                <w:webHidden/>
              </w:rPr>
            </w:r>
            <w:r>
              <w:rPr>
                <w:noProof/>
                <w:webHidden/>
              </w:rPr>
              <w:fldChar w:fldCharType="separate"/>
            </w:r>
            <w:r w:rsidR="00DA0958">
              <w:rPr>
                <w:noProof/>
                <w:webHidden/>
              </w:rPr>
              <w:t>12</w:t>
            </w:r>
            <w:r>
              <w:rPr>
                <w:noProof/>
                <w:webHidden/>
              </w:rPr>
              <w:fldChar w:fldCharType="end"/>
            </w:r>
          </w:hyperlink>
        </w:p>
        <w:p w14:paraId="346E132E" w14:textId="538157A3" w:rsidR="00F608CC" w:rsidRDefault="00F608CC">
          <w:pPr>
            <w:pStyle w:val="Spistreci2"/>
            <w:rPr>
              <w:rFonts w:eastAsiaTheme="minorEastAsia"/>
              <w:noProof/>
              <w:sz w:val="24"/>
              <w:szCs w:val="24"/>
              <w:lang w:eastAsia="pl-PL"/>
            </w:rPr>
          </w:pPr>
          <w:hyperlink w:anchor="_Toc187745764" w:history="1">
            <w:r w:rsidRPr="00AF634F">
              <w:rPr>
                <w:rStyle w:val="Hipercze"/>
                <w:noProof/>
              </w:rPr>
              <w:t>3.4.</w:t>
            </w:r>
            <w:r>
              <w:rPr>
                <w:rFonts w:eastAsiaTheme="minorEastAsia"/>
                <w:noProof/>
                <w:sz w:val="24"/>
                <w:szCs w:val="24"/>
                <w:lang w:eastAsia="pl-PL"/>
              </w:rPr>
              <w:tab/>
            </w:r>
            <w:r w:rsidRPr="00AF634F">
              <w:rPr>
                <w:rStyle w:val="Hipercze"/>
                <w:noProof/>
              </w:rPr>
              <w:t>Uwarunkowania wsparcia wynikające z wykorzystania środków FEnIKS:</w:t>
            </w:r>
            <w:r>
              <w:rPr>
                <w:noProof/>
                <w:webHidden/>
              </w:rPr>
              <w:tab/>
            </w:r>
            <w:r>
              <w:rPr>
                <w:noProof/>
                <w:webHidden/>
              </w:rPr>
              <w:fldChar w:fldCharType="begin"/>
            </w:r>
            <w:r>
              <w:rPr>
                <w:noProof/>
                <w:webHidden/>
              </w:rPr>
              <w:instrText xml:space="preserve"> PAGEREF _Toc187745764 \h </w:instrText>
            </w:r>
            <w:r>
              <w:rPr>
                <w:noProof/>
                <w:webHidden/>
              </w:rPr>
            </w:r>
            <w:r>
              <w:rPr>
                <w:noProof/>
                <w:webHidden/>
              </w:rPr>
              <w:fldChar w:fldCharType="separate"/>
            </w:r>
            <w:r w:rsidR="00DA0958">
              <w:rPr>
                <w:noProof/>
                <w:webHidden/>
              </w:rPr>
              <w:t>14</w:t>
            </w:r>
            <w:r>
              <w:rPr>
                <w:noProof/>
                <w:webHidden/>
              </w:rPr>
              <w:fldChar w:fldCharType="end"/>
            </w:r>
          </w:hyperlink>
        </w:p>
        <w:p w14:paraId="7DE29DC2" w14:textId="79F9E194" w:rsidR="00F608CC" w:rsidRDefault="00F608CC">
          <w:pPr>
            <w:pStyle w:val="Spistreci2"/>
            <w:rPr>
              <w:rFonts w:eastAsiaTheme="minorEastAsia"/>
              <w:noProof/>
              <w:sz w:val="24"/>
              <w:szCs w:val="24"/>
              <w:lang w:eastAsia="pl-PL"/>
            </w:rPr>
          </w:pPr>
          <w:hyperlink w:anchor="_Toc187745765" w:history="1">
            <w:r w:rsidRPr="00AF634F">
              <w:rPr>
                <w:rStyle w:val="Hipercze"/>
                <w:noProof/>
              </w:rPr>
              <w:t>3.5.</w:t>
            </w:r>
            <w:r>
              <w:rPr>
                <w:rFonts w:eastAsiaTheme="minorEastAsia"/>
                <w:noProof/>
                <w:sz w:val="24"/>
                <w:szCs w:val="24"/>
                <w:lang w:eastAsia="pl-PL"/>
              </w:rPr>
              <w:tab/>
            </w:r>
            <w:r w:rsidRPr="00AF634F">
              <w:rPr>
                <w:rStyle w:val="Hipercze"/>
                <w:noProof/>
              </w:rPr>
              <w:t>Proponowany model wsparcia dla wspierania termomodernizacji dla niezabytkowych budynków użyteczności publicznej dla nie-pjb:</w:t>
            </w:r>
            <w:r>
              <w:rPr>
                <w:noProof/>
                <w:webHidden/>
              </w:rPr>
              <w:tab/>
            </w:r>
            <w:r>
              <w:rPr>
                <w:noProof/>
                <w:webHidden/>
              </w:rPr>
              <w:fldChar w:fldCharType="begin"/>
            </w:r>
            <w:r>
              <w:rPr>
                <w:noProof/>
                <w:webHidden/>
              </w:rPr>
              <w:instrText xml:space="preserve"> PAGEREF _Toc187745765 \h </w:instrText>
            </w:r>
            <w:r>
              <w:rPr>
                <w:noProof/>
                <w:webHidden/>
              </w:rPr>
            </w:r>
            <w:r>
              <w:rPr>
                <w:noProof/>
                <w:webHidden/>
              </w:rPr>
              <w:fldChar w:fldCharType="separate"/>
            </w:r>
            <w:r w:rsidR="00DA0958">
              <w:rPr>
                <w:noProof/>
                <w:webHidden/>
              </w:rPr>
              <w:t>14</w:t>
            </w:r>
            <w:r>
              <w:rPr>
                <w:noProof/>
                <w:webHidden/>
              </w:rPr>
              <w:fldChar w:fldCharType="end"/>
            </w:r>
          </w:hyperlink>
        </w:p>
        <w:p w14:paraId="79CB0858" w14:textId="4DA2CD1A" w:rsidR="00F608CC" w:rsidRDefault="00F608CC">
          <w:pPr>
            <w:pStyle w:val="Spistreci3"/>
            <w:rPr>
              <w:rFonts w:eastAsiaTheme="minorEastAsia"/>
              <w:noProof/>
              <w:sz w:val="24"/>
              <w:szCs w:val="24"/>
              <w:lang w:eastAsia="pl-PL"/>
            </w:rPr>
          </w:pPr>
          <w:hyperlink w:anchor="_Toc187745766" w:history="1">
            <w:r w:rsidRPr="00AF634F">
              <w:rPr>
                <w:rStyle w:val="Hipercze"/>
                <w:noProof/>
              </w:rPr>
              <w:t>3.5.1.</w:t>
            </w:r>
            <w:r>
              <w:rPr>
                <w:rFonts w:eastAsiaTheme="minorEastAsia"/>
                <w:noProof/>
                <w:sz w:val="24"/>
                <w:szCs w:val="24"/>
                <w:lang w:eastAsia="pl-PL"/>
              </w:rPr>
              <w:tab/>
            </w:r>
            <w:r w:rsidRPr="00AF634F">
              <w:rPr>
                <w:rStyle w:val="Hipercze"/>
                <w:noProof/>
              </w:rPr>
              <w:t>Model wsparcia dla nie-pjb</w:t>
            </w:r>
            <w:r>
              <w:rPr>
                <w:noProof/>
                <w:webHidden/>
              </w:rPr>
              <w:tab/>
            </w:r>
            <w:r>
              <w:rPr>
                <w:noProof/>
                <w:webHidden/>
              </w:rPr>
              <w:fldChar w:fldCharType="begin"/>
            </w:r>
            <w:r>
              <w:rPr>
                <w:noProof/>
                <w:webHidden/>
              </w:rPr>
              <w:instrText xml:space="preserve"> PAGEREF _Toc187745766 \h </w:instrText>
            </w:r>
            <w:r>
              <w:rPr>
                <w:noProof/>
                <w:webHidden/>
              </w:rPr>
            </w:r>
            <w:r>
              <w:rPr>
                <w:noProof/>
                <w:webHidden/>
              </w:rPr>
              <w:fldChar w:fldCharType="separate"/>
            </w:r>
            <w:r w:rsidR="00DA0958">
              <w:rPr>
                <w:noProof/>
                <w:webHidden/>
              </w:rPr>
              <w:t>16</w:t>
            </w:r>
            <w:r>
              <w:rPr>
                <w:noProof/>
                <w:webHidden/>
              </w:rPr>
              <w:fldChar w:fldCharType="end"/>
            </w:r>
          </w:hyperlink>
        </w:p>
        <w:p w14:paraId="7D0C1552" w14:textId="04D01B6A" w:rsidR="00F608CC" w:rsidRDefault="00F608CC">
          <w:pPr>
            <w:pStyle w:val="Spistreci3"/>
            <w:rPr>
              <w:rFonts w:eastAsiaTheme="minorEastAsia"/>
              <w:noProof/>
              <w:sz w:val="24"/>
              <w:szCs w:val="24"/>
              <w:lang w:eastAsia="pl-PL"/>
            </w:rPr>
          </w:pPr>
          <w:hyperlink w:anchor="_Toc187745767" w:history="1">
            <w:r w:rsidRPr="00AF634F">
              <w:rPr>
                <w:rStyle w:val="Hipercze"/>
                <w:noProof/>
              </w:rPr>
              <w:t>3.5.2.</w:t>
            </w:r>
            <w:r>
              <w:rPr>
                <w:rFonts w:eastAsiaTheme="minorEastAsia"/>
                <w:noProof/>
                <w:sz w:val="24"/>
                <w:szCs w:val="24"/>
                <w:lang w:eastAsia="pl-PL"/>
              </w:rPr>
              <w:tab/>
            </w:r>
            <w:r w:rsidRPr="00AF634F">
              <w:rPr>
                <w:rStyle w:val="Hipercze"/>
                <w:noProof/>
              </w:rPr>
              <w:t>Schemat modelu wsparcia dla n-pjb</w:t>
            </w:r>
            <w:r>
              <w:rPr>
                <w:noProof/>
                <w:webHidden/>
              </w:rPr>
              <w:tab/>
            </w:r>
            <w:r>
              <w:rPr>
                <w:noProof/>
                <w:webHidden/>
              </w:rPr>
              <w:fldChar w:fldCharType="begin"/>
            </w:r>
            <w:r>
              <w:rPr>
                <w:noProof/>
                <w:webHidden/>
              </w:rPr>
              <w:instrText xml:space="preserve"> PAGEREF _Toc187745767 \h </w:instrText>
            </w:r>
            <w:r>
              <w:rPr>
                <w:noProof/>
                <w:webHidden/>
              </w:rPr>
            </w:r>
            <w:r>
              <w:rPr>
                <w:noProof/>
                <w:webHidden/>
              </w:rPr>
              <w:fldChar w:fldCharType="separate"/>
            </w:r>
            <w:r w:rsidR="00DA0958">
              <w:rPr>
                <w:noProof/>
                <w:webHidden/>
              </w:rPr>
              <w:t>20</w:t>
            </w:r>
            <w:r>
              <w:rPr>
                <w:noProof/>
                <w:webHidden/>
              </w:rPr>
              <w:fldChar w:fldCharType="end"/>
            </w:r>
          </w:hyperlink>
        </w:p>
        <w:p w14:paraId="539AE6A5" w14:textId="446B592F" w:rsidR="00F608CC" w:rsidRDefault="00F608CC">
          <w:pPr>
            <w:pStyle w:val="Spistreci2"/>
            <w:rPr>
              <w:rFonts w:eastAsiaTheme="minorEastAsia"/>
              <w:noProof/>
              <w:sz w:val="24"/>
              <w:szCs w:val="24"/>
              <w:lang w:eastAsia="pl-PL"/>
            </w:rPr>
          </w:pPr>
          <w:hyperlink w:anchor="_Toc187745768" w:history="1">
            <w:r w:rsidRPr="00AF634F">
              <w:rPr>
                <w:rStyle w:val="Hipercze"/>
                <w:noProof/>
              </w:rPr>
              <w:t>3.6.</w:t>
            </w:r>
            <w:r>
              <w:rPr>
                <w:rFonts w:eastAsiaTheme="minorEastAsia"/>
                <w:noProof/>
                <w:sz w:val="24"/>
                <w:szCs w:val="24"/>
                <w:lang w:eastAsia="pl-PL"/>
              </w:rPr>
              <w:tab/>
            </w:r>
            <w:r w:rsidRPr="00AF634F">
              <w:rPr>
                <w:rStyle w:val="Hipercze"/>
                <w:noProof/>
              </w:rPr>
              <w:t>Uproszczony proces podpisywania i rozliczania Umów o dofinansowanie z NFOŚiGW oraz Umowy EPC</w:t>
            </w:r>
            <w:r>
              <w:rPr>
                <w:noProof/>
                <w:webHidden/>
              </w:rPr>
              <w:tab/>
            </w:r>
            <w:r>
              <w:rPr>
                <w:noProof/>
                <w:webHidden/>
              </w:rPr>
              <w:fldChar w:fldCharType="begin"/>
            </w:r>
            <w:r>
              <w:rPr>
                <w:noProof/>
                <w:webHidden/>
              </w:rPr>
              <w:instrText xml:space="preserve"> PAGEREF _Toc187745768 \h </w:instrText>
            </w:r>
            <w:r>
              <w:rPr>
                <w:noProof/>
                <w:webHidden/>
              </w:rPr>
            </w:r>
            <w:r>
              <w:rPr>
                <w:noProof/>
                <w:webHidden/>
              </w:rPr>
              <w:fldChar w:fldCharType="separate"/>
            </w:r>
            <w:r w:rsidR="00DA0958">
              <w:rPr>
                <w:noProof/>
                <w:webHidden/>
              </w:rPr>
              <w:t>20</w:t>
            </w:r>
            <w:r>
              <w:rPr>
                <w:noProof/>
                <w:webHidden/>
              </w:rPr>
              <w:fldChar w:fldCharType="end"/>
            </w:r>
          </w:hyperlink>
        </w:p>
        <w:p w14:paraId="6F666768" w14:textId="788F2B85" w:rsidR="008B613D" w:rsidRDefault="0036003E">
          <w:pPr>
            <w:rPr>
              <w:sz w:val="24"/>
            </w:rPr>
          </w:pPr>
          <w:r>
            <w:rPr>
              <w:b/>
              <w:bCs/>
            </w:rPr>
            <w:fldChar w:fldCharType="end"/>
          </w:r>
        </w:p>
      </w:sdtContent>
    </w:sdt>
    <w:p w14:paraId="0814E2EB" w14:textId="482C87E6" w:rsidR="00071311" w:rsidRPr="008B613D" w:rsidRDefault="00071311">
      <w:pPr>
        <w:rPr>
          <w:sz w:val="24"/>
        </w:rPr>
      </w:pPr>
      <w:r>
        <w:br w:type="page"/>
      </w:r>
    </w:p>
    <w:p w14:paraId="469815D3" w14:textId="752ADAB2" w:rsidR="00071311" w:rsidRDefault="00071311" w:rsidP="008B613D">
      <w:pPr>
        <w:pStyle w:val="Nagwek1"/>
        <w:numPr>
          <w:ilvl w:val="0"/>
          <w:numId w:val="0"/>
        </w:numPr>
      </w:pPr>
      <w:bookmarkStart w:id="5" w:name="_Toc156258090"/>
      <w:bookmarkStart w:id="6" w:name="_Toc156258172"/>
      <w:bookmarkStart w:id="7" w:name="_Toc187745749"/>
      <w:r>
        <w:lastRenderedPageBreak/>
        <w:t>Wykaz skrótów</w:t>
      </w:r>
      <w:bookmarkEnd w:id="5"/>
      <w:bookmarkEnd w:id="6"/>
      <w:bookmarkEnd w:id="7"/>
    </w:p>
    <w:tbl>
      <w:tblPr>
        <w:tblStyle w:val="Tabela-Siatka"/>
        <w:tblW w:w="0" w:type="auto"/>
        <w:tblInd w:w="-5" w:type="dxa"/>
        <w:tblLook w:val="04A0" w:firstRow="1" w:lastRow="0" w:firstColumn="1" w:lastColumn="0" w:noHBand="0" w:noVBand="1"/>
      </w:tblPr>
      <w:tblGrid>
        <w:gridCol w:w="1088"/>
        <w:gridCol w:w="7491"/>
      </w:tblGrid>
      <w:tr w:rsidR="00910EB5" w:rsidRPr="008B613D" w14:paraId="1D33F58D" w14:textId="77777777" w:rsidTr="00592520">
        <w:tc>
          <w:tcPr>
            <w:tcW w:w="1088" w:type="dxa"/>
            <w:vAlign w:val="center"/>
          </w:tcPr>
          <w:p w14:paraId="3570D31B" w14:textId="4D1C8ED6" w:rsidR="00910EB5" w:rsidRPr="008B613D" w:rsidRDefault="00910EB5" w:rsidP="00910EB5">
            <w:r w:rsidRPr="008B613D">
              <w:t>BMS</w:t>
            </w:r>
          </w:p>
        </w:tc>
        <w:tc>
          <w:tcPr>
            <w:tcW w:w="7491" w:type="dxa"/>
            <w:vAlign w:val="center"/>
          </w:tcPr>
          <w:p w14:paraId="445F75B8" w14:textId="46928553" w:rsidR="00910EB5" w:rsidRPr="008B613D" w:rsidRDefault="00910EB5" w:rsidP="00910EB5">
            <w:proofErr w:type="spellStart"/>
            <w:r>
              <w:t>Building</w:t>
            </w:r>
            <w:proofErr w:type="spellEnd"/>
            <w:r>
              <w:t xml:space="preserve"> Management System – system zarządzania energi</w:t>
            </w:r>
            <w:r w:rsidR="00BD0BB5">
              <w:t xml:space="preserve">ą </w:t>
            </w:r>
            <w:r>
              <w:t>w budynku</w:t>
            </w:r>
          </w:p>
        </w:tc>
      </w:tr>
      <w:tr w:rsidR="00910EB5" w:rsidRPr="008B613D" w14:paraId="77ADCA5E" w14:textId="77777777" w:rsidTr="00592520">
        <w:tc>
          <w:tcPr>
            <w:tcW w:w="1088" w:type="dxa"/>
            <w:vAlign w:val="center"/>
          </w:tcPr>
          <w:p w14:paraId="7F383656" w14:textId="386139C0" w:rsidR="00910EB5" w:rsidRPr="008B613D" w:rsidRDefault="00910EB5" w:rsidP="00910EB5">
            <w:r>
              <w:t>EBOiR</w:t>
            </w:r>
          </w:p>
        </w:tc>
        <w:tc>
          <w:tcPr>
            <w:tcW w:w="7491" w:type="dxa"/>
            <w:vAlign w:val="center"/>
          </w:tcPr>
          <w:p w14:paraId="2A897DD9" w14:textId="04F14036" w:rsidR="00910EB5" w:rsidRPr="008B613D" w:rsidRDefault="00910EB5" w:rsidP="00910EB5">
            <w:r>
              <w:t>Europejski Bank Odbudowy i Rozwoju</w:t>
            </w:r>
          </w:p>
        </w:tc>
      </w:tr>
      <w:tr w:rsidR="00910EB5" w:rsidRPr="008B613D" w14:paraId="6F6B7D75" w14:textId="77777777" w:rsidTr="00592520">
        <w:tc>
          <w:tcPr>
            <w:tcW w:w="1088" w:type="dxa"/>
            <w:vAlign w:val="center"/>
          </w:tcPr>
          <w:p w14:paraId="6D5FF6AA" w14:textId="363919B4" w:rsidR="00910EB5" w:rsidRPr="008B613D" w:rsidRDefault="00910EB5" w:rsidP="00910EB5">
            <w:r>
              <w:t>EE</w:t>
            </w:r>
          </w:p>
        </w:tc>
        <w:tc>
          <w:tcPr>
            <w:tcW w:w="7491" w:type="dxa"/>
            <w:vAlign w:val="center"/>
          </w:tcPr>
          <w:p w14:paraId="1586CCCC" w14:textId="1318E7C7" w:rsidR="00910EB5" w:rsidRPr="008B613D" w:rsidRDefault="00910EB5" w:rsidP="00910EB5">
            <w:r>
              <w:t>Efektywność Energetyczna</w:t>
            </w:r>
          </w:p>
        </w:tc>
      </w:tr>
      <w:tr w:rsidR="00910EB5" w:rsidRPr="008B613D" w14:paraId="4C74B085" w14:textId="77777777" w:rsidTr="00592520">
        <w:tc>
          <w:tcPr>
            <w:tcW w:w="1088" w:type="dxa"/>
            <w:vAlign w:val="center"/>
          </w:tcPr>
          <w:p w14:paraId="2040D3AC" w14:textId="479BF02C" w:rsidR="00910EB5" w:rsidRPr="008B613D" w:rsidRDefault="00910EB5" w:rsidP="00910EB5">
            <w:r>
              <w:t>ELENA</w:t>
            </w:r>
          </w:p>
        </w:tc>
        <w:tc>
          <w:tcPr>
            <w:tcW w:w="7491" w:type="dxa"/>
            <w:vAlign w:val="center"/>
          </w:tcPr>
          <w:p w14:paraId="720532A4" w14:textId="747F17A2" w:rsidR="00910EB5" w:rsidRPr="008B613D" w:rsidRDefault="00910EB5" w:rsidP="00910EB5">
            <w:r>
              <w:t>Instrument Elena (</w:t>
            </w:r>
            <w:proofErr w:type="spellStart"/>
            <w:r>
              <w:t>European</w:t>
            </w:r>
            <w:proofErr w:type="spellEnd"/>
            <w:r>
              <w:t xml:space="preserve"> </w:t>
            </w:r>
            <w:proofErr w:type="spellStart"/>
            <w:r>
              <w:t>Local</w:t>
            </w:r>
            <w:proofErr w:type="spellEnd"/>
            <w:r>
              <w:t xml:space="preserve"> </w:t>
            </w:r>
            <w:proofErr w:type="spellStart"/>
            <w:r>
              <w:t>ENergy</w:t>
            </w:r>
            <w:proofErr w:type="spellEnd"/>
            <w:r>
              <w:t xml:space="preserve"> Assistance) umożliwia pozyskanie – w ramach tzw. pomocy technicznej - środków na opracowanie i wdrożenie dużych programów inwestycyjnych w zakresie poprawy efektywności energetycznej</w:t>
            </w:r>
          </w:p>
        </w:tc>
      </w:tr>
      <w:tr w:rsidR="00910EB5" w:rsidRPr="008B613D" w14:paraId="1DE080B9" w14:textId="77777777" w:rsidTr="00592520">
        <w:tc>
          <w:tcPr>
            <w:tcW w:w="1088" w:type="dxa"/>
            <w:vAlign w:val="center"/>
          </w:tcPr>
          <w:p w14:paraId="2FDFF667" w14:textId="4459A366" w:rsidR="00910EB5" w:rsidRPr="008B613D" w:rsidRDefault="00910EB5" w:rsidP="00910EB5">
            <w:r>
              <w:t>EPBD</w:t>
            </w:r>
          </w:p>
        </w:tc>
        <w:tc>
          <w:tcPr>
            <w:tcW w:w="7491" w:type="dxa"/>
            <w:vAlign w:val="center"/>
          </w:tcPr>
          <w:p w14:paraId="3DFC94AD" w14:textId="38191E12" w:rsidR="00910EB5" w:rsidRPr="008B613D" w:rsidRDefault="00910EB5" w:rsidP="00910EB5">
            <w:r>
              <w:t xml:space="preserve">Dyrektywa EPBD (Energy Performance of </w:t>
            </w:r>
            <w:proofErr w:type="spellStart"/>
            <w:r>
              <w:t>Buildings</w:t>
            </w:r>
            <w:proofErr w:type="spellEnd"/>
            <w:r>
              <w:t xml:space="preserve"> Directive) Dyrektywa o charakterystyce energetycznej budynków</w:t>
            </w:r>
          </w:p>
        </w:tc>
      </w:tr>
      <w:tr w:rsidR="00910EB5" w:rsidRPr="008B613D" w14:paraId="290F9EB4" w14:textId="77777777" w:rsidTr="00592520">
        <w:tc>
          <w:tcPr>
            <w:tcW w:w="1088" w:type="dxa"/>
            <w:vAlign w:val="center"/>
          </w:tcPr>
          <w:p w14:paraId="09B8D90F" w14:textId="3DDE4A9C" w:rsidR="00910EB5" w:rsidRPr="008B613D" w:rsidRDefault="00910EB5" w:rsidP="00910EB5">
            <w:r>
              <w:t>EPC</w:t>
            </w:r>
          </w:p>
        </w:tc>
        <w:tc>
          <w:tcPr>
            <w:tcW w:w="7491" w:type="dxa"/>
            <w:vAlign w:val="center"/>
          </w:tcPr>
          <w:p w14:paraId="136BC920" w14:textId="03D2DB31" w:rsidR="00910EB5" w:rsidRPr="008B613D" w:rsidRDefault="00910EB5" w:rsidP="00910EB5">
            <w:r>
              <w:t xml:space="preserve">Umowa EPC, to umowa o poprawę efektywności energetycznej (Energy Performance </w:t>
            </w:r>
            <w:proofErr w:type="spellStart"/>
            <w:r>
              <w:t>Contracting</w:t>
            </w:r>
            <w:proofErr w:type="spellEnd"/>
            <w:r>
              <w:t>) oferowana przez firmę ESCO. Umowy EPC opieraj</w:t>
            </w:r>
            <w:r w:rsidR="00BD0BB5">
              <w:t>ą</w:t>
            </w:r>
            <w:r>
              <w:t xml:space="preserve"> się o zasadę zwrotu kosztów inwestycji bezpośrednio z zaoszczędzonych kosztów energii</w:t>
            </w:r>
          </w:p>
        </w:tc>
      </w:tr>
      <w:tr w:rsidR="00910EB5" w:rsidRPr="008B613D" w14:paraId="6EF05816" w14:textId="77777777" w:rsidTr="00592520">
        <w:tc>
          <w:tcPr>
            <w:tcW w:w="1088" w:type="dxa"/>
            <w:vAlign w:val="center"/>
          </w:tcPr>
          <w:p w14:paraId="57481D35" w14:textId="13E11240" w:rsidR="00910EB5" w:rsidRPr="008B613D" w:rsidRDefault="00910EB5" w:rsidP="00910EB5">
            <w:r>
              <w:t>ESCO</w:t>
            </w:r>
          </w:p>
        </w:tc>
        <w:tc>
          <w:tcPr>
            <w:tcW w:w="7491" w:type="dxa"/>
            <w:vAlign w:val="center"/>
          </w:tcPr>
          <w:p w14:paraId="04954E7A" w14:textId="4B2F9A93" w:rsidR="00910EB5" w:rsidRPr="008B613D" w:rsidRDefault="00910EB5" w:rsidP="00910EB5">
            <w:r w:rsidRPr="00592520">
              <w:rPr>
                <w:lang w:val="en-US"/>
              </w:rPr>
              <w:t xml:space="preserve">ESCO (ang. Energy Saving Company </w:t>
            </w:r>
            <w:proofErr w:type="spellStart"/>
            <w:r w:rsidRPr="00592520">
              <w:rPr>
                <w:lang w:val="en-US"/>
              </w:rPr>
              <w:t>lub</w:t>
            </w:r>
            <w:proofErr w:type="spellEnd"/>
            <w:r w:rsidRPr="00592520">
              <w:rPr>
                <w:lang w:val="en-US"/>
              </w:rPr>
              <w:t xml:space="preserve"> Energy Service Company). </w:t>
            </w:r>
            <w:r>
              <w:t>Firmy typu ESCO realizują kompleksowe usługi w zakresie gospodarowania energią (usługi związane ze zmniejszeniem zużycia i zapotrzebowania na energię dla swoich klientów - użytkowników energii) w oparciu o kontrakty wykonawcze i udzielają gwarancji uzyskania oszczędności</w:t>
            </w:r>
          </w:p>
        </w:tc>
      </w:tr>
      <w:tr w:rsidR="00910EB5" w:rsidRPr="008B613D" w14:paraId="50FA455C" w14:textId="77777777" w:rsidTr="00592520">
        <w:tc>
          <w:tcPr>
            <w:tcW w:w="1088" w:type="dxa"/>
            <w:vAlign w:val="center"/>
          </w:tcPr>
          <w:p w14:paraId="157045EC" w14:textId="3C85D0FB" w:rsidR="00910EB5" w:rsidRPr="008B613D" w:rsidRDefault="00910EB5" w:rsidP="00910EB5">
            <w:r>
              <w:t>FE</w:t>
            </w:r>
          </w:p>
        </w:tc>
        <w:tc>
          <w:tcPr>
            <w:tcW w:w="7491" w:type="dxa"/>
            <w:vAlign w:val="center"/>
          </w:tcPr>
          <w:p w14:paraId="0F372104" w14:textId="7D8584C1" w:rsidR="00910EB5" w:rsidRPr="008B613D" w:rsidRDefault="00910EB5" w:rsidP="00910EB5">
            <w:r>
              <w:t>Fundusze Europejskie</w:t>
            </w:r>
          </w:p>
        </w:tc>
      </w:tr>
      <w:tr w:rsidR="00910EB5" w:rsidRPr="008B613D" w14:paraId="42CD80E1" w14:textId="77777777" w:rsidTr="00592520">
        <w:tc>
          <w:tcPr>
            <w:tcW w:w="1088" w:type="dxa"/>
            <w:vAlign w:val="center"/>
          </w:tcPr>
          <w:p w14:paraId="2C43A906" w14:textId="74AEFBB5" w:rsidR="00910EB5" w:rsidRPr="008B613D" w:rsidRDefault="00910EB5" w:rsidP="00910EB5">
            <w:r>
              <w:t>FEnIKS</w:t>
            </w:r>
          </w:p>
        </w:tc>
        <w:tc>
          <w:tcPr>
            <w:tcW w:w="7491" w:type="dxa"/>
            <w:vAlign w:val="center"/>
          </w:tcPr>
          <w:p w14:paraId="3AB81369" w14:textId="67FE46B7" w:rsidR="00910EB5" w:rsidRPr="008B613D" w:rsidRDefault="00910EB5" w:rsidP="00910EB5">
            <w:r>
              <w:t>Program Fundusze Europejskie na Infrastrukturę, Klimat, Środowisko 2021-2027 (FEnIKS)</w:t>
            </w:r>
          </w:p>
        </w:tc>
      </w:tr>
      <w:tr w:rsidR="00910EB5" w:rsidRPr="008B613D" w14:paraId="2D09D711" w14:textId="77777777" w:rsidTr="00592520">
        <w:tc>
          <w:tcPr>
            <w:tcW w:w="1088" w:type="dxa"/>
            <w:vAlign w:val="center"/>
          </w:tcPr>
          <w:p w14:paraId="60D61A7E" w14:textId="77FB3660" w:rsidR="00910EB5" w:rsidRPr="008B613D" w:rsidRDefault="00910EB5" w:rsidP="00910EB5">
            <w:r>
              <w:t>GOE</w:t>
            </w:r>
          </w:p>
        </w:tc>
        <w:tc>
          <w:tcPr>
            <w:tcW w:w="7491" w:type="dxa"/>
            <w:vAlign w:val="center"/>
          </w:tcPr>
          <w:p w14:paraId="10C33D0D" w14:textId="7C49E6F2" w:rsidR="00910EB5" w:rsidRPr="008B613D" w:rsidRDefault="00910EB5" w:rsidP="00910EB5">
            <w:r>
              <w:t>Gwarantowana Oszczędność Energii  przez firmę ESCO w Umowie EPC</w:t>
            </w:r>
          </w:p>
        </w:tc>
      </w:tr>
      <w:tr w:rsidR="00910EB5" w:rsidRPr="008B613D" w14:paraId="66940509" w14:textId="77777777" w:rsidTr="00592520">
        <w:tc>
          <w:tcPr>
            <w:tcW w:w="1088" w:type="dxa"/>
            <w:vAlign w:val="center"/>
          </w:tcPr>
          <w:p w14:paraId="6D8C7B9E" w14:textId="7B62092B" w:rsidR="00910EB5" w:rsidRPr="008B613D" w:rsidRDefault="00910EB5" w:rsidP="00910EB5">
            <w:r>
              <w:t>IF</w:t>
            </w:r>
          </w:p>
        </w:tc>
        <w:tc>
          <w:tcPr>
            <w:tcW w:w="7491" w:type="dxa"/>
            <w:vAlign w:val="center"/>
          </w:tcPr>
          <w:p w14:paraId="416F5170" w14:textId="7B06A00B" w:rsidR="00910EB5" w:rsidRPr="008B613D" w:rsidRDefault="00910EB5" w:rsidP="00910EB5">
            <w:r>
              <w:t>Instrument (-y) finansowy (-e)</w:t>
            </w:r>
          </w:p>
        </w:tc>
      </w:tr>
      <w:tr w:rsidR="00910EB5" w:rsidRPr="008B613D" w14:paraId="55BC24D9" w14:textId="77777777" w:rsidTr="00592520">
        <w:tc>
          <w:tcPr>
            <w:tcW w:w="1088" w:type="dxa"/>
            <w:vAlign w:val="center"/>
          </w:tcPr>
          <w:p w14:paraId="579211D2" w14:textId="4836B5B7" w:rsidR="00910EB5" w:rsidRPr="008B613D" w:rsidRDefault="00910EB5" w:rsidP="00910EB5">
            <w:r>
              <w:t>IP</w:t>
            </w:r>
          </w:p>
        </w:tc>
        <w:tc>
          <w:tcPr>
            <w:tcW w:w="7491" w:type="dxa"/>
            <w:vAlign w:val="center"/>
          </w:tcPr>
          <w:p w14:paraId="19C2802E" w14:textId="0F9F2157" w:rsidR="00910EB5" w:rsidRPr="008B613D" w:rsidRDefault="00910EB5" w:rsidP="00910EB5">
            <w:r>
              <w:t>Instytucja Pośrednicząca</w:t>
            </w:r>
          </w:p>
        </w:tc>
      </w:tr>
      <w:tr w:rsidR="00910EB5" w:rsidRPr="008B613D" w14:paraId="52B026CE" w14:textId="77777777" w:rsidTr="00592520">
        <w:tc>
          <w:tcPr>
            <w:tcW w:w="1088" w:type="dxa"/>
            <w:vAlign w:val="center"/>
          </w:tcPr>
          <w:p w14:paraId="2DDE8541" w14:textId="75E600B9" w:rsidR="00910EB5" w:rsidRPr="008B613D" w:rsidRDefault="00910EB5" w:rsidP="00910EB5">
            <w:r>
              <w:t>IZ</w:t>
            </w:r>
          </w:p>
        </w:tc>
        <w:tc>
          <w:tcPr>
            <w:tcW w:w="7491" w:type="dxa"/>
            <w:vAlign w:val="center"/>
          </w:tcPr>
          <w:p w14:paraId="4CAAE215" w14:textId="0934F9C0" w:rsidR="00910EB5" w:rsidRPr="008B613D" w:rsidRDefault="00910EB5" w:rsidP="00910EB5">
            <w:r>
              <w:t>Instytucja Zarządzająca</w:t>
            </w:r>
          </w:p>
        </w:tc>
      </w:tr>
      <w:tr w:rsidR="00910EB5" w:rsidRPr="008B613D" w14:paraId="707B3F09" w14:textId="77777777" w:rsidTr="00592520">
        <w:tc>
          <w:tcPr>
            <w:tcW w:w="1088" w:type="dxa"/>
            <w:vAlign w:val="center"/>
          </w:tcPr>
          <w:p w14:paraId="4ACD8B3F" w14:textId="13B6B1D8" w:rsidR="00910EB5" w:rsidRPr="008B613D" w:rsidRDefault="00910EB5" w:rsidP="00910EB5">
            <w:proofErr w:type="spellStart"/>
            <w:r>
              <w:t>jst</w:t>
            </w:r>
            <w:proofErr w:type="spellEnd"/>
          </w:p>
        </w:tc>
        <w:tc>
          <w:tcPr>
            <w:tcW w:w="7491" w:type="dxa"/>
            <w:vAlign w:val="center"/>
          </w:tcPr>
          <w:p w14:paraId="4A63C4A1" w14:textId="5A84D440" w:rsidR="00910EB5" w:rsidRPr="008B613D" w:rsidRDefault="00910EB5" w:rsidP="00910EB5">
            <w:r>
              <w:t>jednostka samorządu terytorialnego</w:t>
            </w:r>
          </w:p>
        </w:tc>
      </w:tr>
      <w:tr w:rsidR="00910EB5" w:rsidRPr="008B613D" w14:paraId="437F8054" w14:textId="77777777" w:rsidTr="00592520">
        <w:tc>
          <w:tcPr>
            <w:tcW w:w="1088" w:type="dxa"/>
            <w:vAlign w:val="center"/>
          </w:tcPr>
          <w:p w14:paraId="432E2159" w14:textId="62D17007" w:rsidR="00910EB5" w:rsidRPr="008B613D" w:rsidRDefault="00910EB5" w:rsidP="00910EB5">
            <w:r>
              <w:t>MFiPR</w:t>
            </w:r>
          </w:p>
        </w:tc>
        <w:tc>
          <w:tcPr>
            <w:tcW w:w="7491" w:type="dxa"/>
            <w:vAlign w:val="center"/>
          </w:tcPr>
          <w:p w14:paraId="5BC22E85" w14:textId="64F7DB05" w:rsidR="00910EB5" w:rsidRPr="008B613D" w:rsidRDefault="00910EB5" w:rsidP="00910EB5">
            <w:r>
              <w:t>Ministerstwo Funduszy i Polityki Regionalnej</w:t>
            </w:r>
          </w:p>
        </w:tc>
      </w:tr>
      <w:tr w:rsidR="00910EB5" w:rsidRPr="008B613D" w14:paraId="7CD70842" w14:textId="77777777" w:rsidTr="00592520">
        <w:tc>
          <w:tcPr>
            <w:tcW w:w="1088" w:type="dxa"/>
            <w:vAlign w:val="center"/>
          </w:tcPr>
          <w:p w14:paraId="0D6AF275" w14:textId="17C39E1A" w:rsidR="00910EB5" w:rsidRPr="008B613D" w:rsidRDefault="00910EB5" w:rsidP="00910EB5">
            <w:proofErr w:type="spellStart"/>
            <w:r>
              <w:t>MKiŚ</w:t>
            </w:r>
            <w:proofErr w:type="spellEnd"/>
          </w:p>
        </w:tc>
        <w:tc>
          <w:tcPr>
            <w:tcW w:w="7491" w:type="dxa"/>
            <w:vAlign w:val="center"/>
          </w:tcPr>
          <w:p w14:paraId="5AE4211C" w14:textId="3A2DC12F" w:rsidR="00910EB5" w:rsidRPr="008B613D" w:rsidRDefault="00910EB5" w:rsidP="00910EB5">
            <w:r>
              <w:t>Ministerstwo Klimatu i Środowiska</w:t>
            </w:r>
          </w:p>
        </w:tc>
      </w:tr>
      <w:tr w:rsidR="00910EB5" w:rsidRPr="008B613D" w14:paraId="35E89EA2" w14:textId="77777777" w:rsidTr="00592520">
        <w:tc>
          <w:tcPr>
            <w:tcW w:w="1088" w:type="dxa"/>
            <w:vAlign w:val="center"/>
          </w:tcPr>
          <w:p w14:paraId="6064CB0E" w14:textId="469511F4" w:rsidR="00910EB5" w:rsidRPr="008B613D" w:rsidRDefault="00910EB5" w:rsidP="00910EB5">
            <w:r>
              <w:t>NFOŚiGW</w:t>
            </w:r>
          </w:p>
        </w:tc>
        <w:tc>
          <w:tcPr>
            <w:tcW w:w="7491" w:type="dxa"/>
            <w:vAlign w:val="center"/>
          </w:tcPr>
          <w:p w14:paraId="15CEB453" w14:textId="0858F7E0" w:rsidR="00910EB5" w:rsidRPr="008B613D" w:rsidRDefault="00910EB5" w:rsidP="00910EB5">
            <w:r>
              <w:t>Narodowy Fundusz Ochrony Środowiska i Gospodarki Wodnej</w:t>
            </w:r>
          </w:p>
        </w:tc>
      </w:tr>
      <w:tr w:rsidR="00910EB5" w:rsidRPr="008B613D" w14:paraId="57E4D7FE" w14:textId="77777777" w:rsidTr="00592520">
        <w:tc>
          <w:tcPr>
            <w:tcW w:w="1088" w:type="dxa"/>
            <w:vAlign w:val="center"/>
          </w:tcPr>
          <w:p w14:paraId="381A7575" w14:textId="78F60065" w:rsidR="00910EB5" w:rsidRPr="008B613D" w:rsidRDefault="00664C7C" w:rsidP="00910EB5">
            <w:r>
              <w:t>nie-</w:t>
            </w:r>
            <w:proofErr w:type="spellStart"/>
            <w:r>
              <w:t>pjb</w:t>
            </w:r>
            <w:proofErr w:type="spellEnd"/>
          </w:p>
        </w:tc>
        <w:tc>
          <w:tcPr>
            <w:tcW w:w="7491" w:type="dxa"/>
            <w:vAlign w:val="center"/>
          </w:tcPr>
          <w:p w14:paraId="6A18E3B7" w14:textId="582A1102" w:rsidR="00910EB5" w:rsidRPr="008B613D" w:rsidRDefault="00910EB5" w:rsidP="00910EB5">
            <w:r>
              <w:t>Jednostki publiczne nie będące państwowymi jednostkami budżetowymi</w:t>
            </w:r>
          </w:p>
        </w:tc>
      </w:tr>
      <w:tr w:rsidR="00910EB5" w:rsidRPr="008B613D" w14:paraId="3A428663" w14:textId="77777777" w:rsidTr="00592520">
        <w:tc>
          <w:tcPr>
            <w:tcW w:w="1088" w:type="dxa"/>
            <w:vAlign w:val="center"/>
          </w:tcPr>
          <w:p w14:paraId="013F166D" w14:textId="107A29B7" w:rsidR="00910EB5" w:rsidRPr="008B613D" w:rsidRDefault="00910EB5" w:rsidP="00910EB5">
            <w:r>
              <w:t>OZE</w:t>
            </w:r>
          </w:p>
        </w:tc>
        <w:tc>
          <w:tcPr>
            <w:tcW w:w="7491" w:type="dxa"/>
            <w:vAlign w:val="center"/>
          </w:tcPr>
          <w:p w14:paraId="6C4BFD55" w14:textId="52186D42" w:rsidR="00910EB5" w:rsidRPr="008B613D" w:rsidRDefault="00910EB5" w:rsidP="00910EB5">
            <w:r>
              <w:t>Odnawialne źródła energii</w:t>
            </w:r>
          </w:p>
        </w:tc>
      </w:tr>
      <w:tr w:rsidR="00910EB5" w:rsidRPr="008B613D" w14:paraId="4DCD0F67" w14:textId="77777777" w:rsidTr="00592520">
        <w:tc>
          <w:tcPr>
            <w:tcW w:w="1088" w:type="dxa"/>
            <w:vAlign w:val="center"/>
          </w:tcPr>
          <w:p w14:paraId="252A678C" w14:textId="399F113F" w:rsidR="00910EB5" w:rsidRPr="008B613D" w:rsidRDefault="00910EB5" w:rsidP="00910EB5">
            <w:proofErr w:type="spellStart"/>
            <w:r>
              <w:t>pjb</w:t>
            </w:r>
            <w:proofErr w:type="spellEnd"/>
          </w:p>
        </w:tc>
        <w:tc>
          <w:tcPr>
            <w:tcW w:w="7491" w:type="dxa"/>
            <w:vAlign w:val="center"/>
          </w:tcPr>
          <w:p w14:paraId="66D328B2" w14:textId="09BD88A2" w:rsidR="00910EB5" w:rsidRPr="008B613D" w:rsidRDefault="00910EB5" w:rsidP="00910EB5">
            <w:r>
              <w:t>Państwowe jednostki budżetowe</w:t>
            </w:r>
          </w:p>
        </w:tc>
      </w:tr>
      <w:tr w:rsidR="00910EB5" w:rsidRPr="008B613D" w14:paraId="366A0E8E" w14:textId="77777777" w:rsidTr="00592520">
        <w:tc>
          <w:tcPr>
            <w:tcW w:w="1088" w:type="dxa"/>
            <w:vAlign w:val="center"/>
          </w:tcPr>
          <w:p w14:paraId="4ED4BAFC" w14:textId="26656778" w:rsidR="00910EB5" w:rsidRPr="008B613D" w:rsidRDefault="00910EB5" w:rsidP="00910EB5">
            <w:r>
              <w:t>PPP</w:t>
            </w:r>
          </w:p>
        </w:tc>
        <w:tc>
          <w:tcPr>
            <w:tcW w:w="7491" w:type="dxa"/>
            <w:vAlign w:val="center"/>
          </w:tcPr>
          <w:p w14:paraId="521623D9" w14:textId="056A3F0F" w:rsidR="00910EB5" w:rsidRPr="008B613D" w:rsidRDefault="00910EB5" w:rsidP="00910EB5">
            <w:r>
              <w:t>Partnerstwo publiczno-prywatne</w:t>
            </w:r>
          </w:p>
        </w:tc>
      </w:tr>
      <w:tr w:rsidR="00910EB5" w:rsidRPr="008B613D" w14:paraId="7AA044B2" w14:textId="77777777" w:rsidTr="00592520">
        <w:tc>
          <w:tcPr>
            <w:tcW w:w="1088" w:type="dxa"/>
            <w:vAlign w:val="center"/>
          </w:tcPr>
          <w:p w14:paraId="1DBD2572" w14:textId="1B3F284F" w:rsidR="00910EB5" w:rsidRPr="008B613D" w:rsidRDefault="00910EB5" w:rsidP="00910EB5">
            <w:r>
              <w:t>PT</w:t>
            </w:r>
          </w:p>
        </w:tc>
        <w:tc>
          <w:tcPr>
            <w:tcW w:w="7491" w:type="dxa"/>
            <w:vAlign w:val="center"/>
          </w:tcPr>
          <w:p w14:paraId="7C52414E" w14:textId="60FA1DA3" w:rsidR="00910EB5" w:rsidRPr="008B613D" w:rsidRDefault="00910EB5" w:rsidP="00910EB5">
            <w:r>
              <w:t>P</w:t>
            </w:r>
            <w:r w:rsidR="0014314A">
              <w:t>omoc techniczna</w:t>
            </w:r>
          </w:p>
        </w:tc>
      </w:tr>
      <w:tr w:rsidR="00910EB5" w:rsidRPr="008B613D" w14:paraId="41BCE135" w14:textId="77777777" w:rsidTr="00592520">
        <w:tc>
          <w:tcPr>
            <w:tcW w:w="1088" w:type="dxa"/>
            <w:vAlign w:val="center"/>
          </w:tcPr>
          <w:p w14:paraId="71784823" w14:textId="764FE63B" w:rsidR="00910EB5" w:rsidRPr="008B613D" w:rsidRDefault="00910EB5" w:rsidP="00910EB5">
            <w:r>
              <w:t>PZP</w:t>
            </w:r>
          </w:p>
        </w:tc>
        <w:tc>
          <w:tcPr>
            <w:tcW w:w="7491" w:type="dxa"/>
            <w:vAlign w:val="center"/>
          </w:tcPr>
          <w:p w14:paraId="2E746113" w14:textId="6DE06AA7" w:rsidR="00910EB5" w:rsidRPr="008B613D" w:rsidRDefault="00910EB5" w:rsidP="00910EB5">
            <w:r>
              <w:t>Prawo zamówień publicznych</w:t>
            </w:r>
          </w:p>
        </w:tc>
      </w:tr>
      <w:tr w:rsidR="00910EB5" w:rsidRPr="008B613D" w14:paraId="3BEF92FA" w14:textId="77777777" w:rsidTr="00592520">
        <w:tc>
          <w:tcPr>
            <w:tcW w:w="1088" w:type="dxa"/>
            <w:vAlign w:val="center"/>
          </w:tcPr>
          <w:p w14:paraId="061876CA" w14:textId="72405479" w:rsidR="00910EB5" w:rsidRPr="008B613D" w:rsidRDefault="00910EB5" w:rsidP="00910EB5">
            <w:r>
              <w:t>SCHE</w:t>
            </w:r>
          </w:p>
        </w:tc>
        <w:tc>
          <w:tcPr>
            <w:tcW w:w="7491" w:type="dxa"/>
            <w:vAlign w:val="center"/>
          </w:tcPr>
          <w:p w14:paraId="7391D043" w14:textId="11C7E1AC" w:rsidR="00910EB5" w:rsidRPr="008B613D" w:rsidRDefault="00910EB5" w:rsidP="00910EB5">
            <w:r>
              <w:t>Świadectwo charakterystyki energetycznej budynku</w:t>
            </w:r>
          </w:p>
        </w:tc>
      </w:tr>
      <w:tr w:rsidR="00910EB5" w:rsidRPr="008B613D" w14:paraId="30319845" w14:textId="77777777" w:rsidTr="00592520">
        <w:tc>
          <w:tcPr>
            <w:tcW w:w="1088" w:type="dxa"/>
            <w:vAlign w:val="center"/>
          </w:tcPr>
          <w:p w14:paraId="50F6ECAE" w14:textId="28F5ADA7" w:rsidR="00910EB5" w:rsidRPr="008B613D" w:rsidRDefault="00910EB5" w:rsidP="00910EB5">
            <w:r>
              <w:t>UE</w:t>
            </w:r>
          </w:p>
        </w:tc>
        <w:tc>
          <w:tcPr>
            <w:tcW w:w="7491" w:type="dxa"/>
            <w:vAlign w:val="center"/>
          </w:tcPr>
          <w:p w14:paraId="2BE2A06F" w14:textId="20339335" w:rsidR="00910EB5" w:rsidRPr="008B613D" w:rsidRDefault="00910EB5" w:rsidP="00910EB5">
            <w:r>
              <w:t>Unia Europejska</w:t>
            </w:r>
          </w:p>
        </w:tc>
      </w:tr>
      <w:tr w:rsidR="00910EB5" w:rsidRPr="008B613D" w14:paraId="7F7E0799" w14:textId="77777777" w:rsidTr="00592520">
        <w:tc>
          <w:tcPr>
            <w:tcW w:w="1088" w:type="dxa"/>
            <w:vAlign w:val="center"/>
          </w:tcPr>
          <w:p w14:paraId="38DB13B7" w14:textId="7413B7B5" w:rsidR="00910EB5" w:rsidRPr="008B613D" w:rsidRDefault="00910EB5" w:rsidP="00910EB5">
            <w:proofErr w:type="spellStart"/>
            <w:r>
              <w:t>ufp</w:t>
            </w:r>
            <w:proofErr w:type="spellEnd"/>
          </w:p>
        </w:tc>
        <w:tc>
          <w:tcPr>
            <w:tcW w:w="7491" w:type="dxa"/>
            <w:vAlign w:val="center"/>
          </w:tcPr>
          <w:p w14:paraId="4790223B" w14:textId="337B8501" w:rsidR="00910EB5" w:rsidRPr="008B613D" w:rsidRDefault="00910EB5" w:rsidP="00910EB5">
            <w:r>
              <w:t>Ustawa z dnia 27 sierpnia 2009 r. o finansach publicznych</w:t>
            </w:r>
          </w:p>
        </w:tc>
      </w:tr>
      <w:tr w:rsidR="006C3234" w:rsidRPr="008B613D" w14:paraId="5BB60BD0" w14:textId="77777777" w:rsidTr="00592520">
        <w:tc>
          <w:tcPr>
            <w:tcW w:w="1088" w:type="dxa"/>
            <w:vAlign w:val="center"/>
          </w:tcPr>
          <w:p w14:paraId="0B79F42A" w14:textId="2E68FA2C" w:rsidR="006C3234" w:rsidRDefault="006C3234" w:rsidP="00910EB5">
            <w:r>
              <w:t>GBER</w:t>
            </w:r>
          </w:p>
        </w:tc>
        <w:tc>
          <w:tcPr>
            <w:tcW w:w="7491" w:type="dxa"/>
            <w:vAlign w:val="center"/>
          </w:tcPr>
          <w:p w14:paraId="6098A9C6" w14:textId="55730357" w:rsidR="006C3234" w:rsidRDefault="006C3234" w:rsidP="00910EB5">
            <w:r w:rsidRPr="006C3234">
              <w:t>ROZPORZĄDZENIE KOMISJI (UE) NR 651/2014 z dnia 17 czerwca 2014 r. uznające niektóre rodzaje pomocy za zgodne z rynkiem wewnętrznym w zastosowaniu art. 107 i 108 Traktatu</w:t>
            </w:r>
          </w:p>
        </w:tc>
      </w:tr>
    </w:tbl>
    <w:p w14:paraId="285EBDDC" w14:textId="538A08A2" w:rsidR="0036003E" w:rsidRDefault="0036003E" w:rsidP="00417128">
      <w:r>
        <w:br w:type="page"/>
      </w:r>
    </w:p>
    <w:p w14:paraId="7CFCAE58" w14:textId="332863AA" w:rsidR="00342989" w:rsidRPr="008C721C" w:rsidRDefault="00342989" w:rsidP="008B613D">
      <w:pPr>
        <w:pStyle w:val="Nagwek1"/>
      </w:pPr>
      <w:bookmarkStart w:id="8" w:name="_Toc156255720"/>
      <w:bookmarkStart w:id="9" w:name="_Toc156256430"/>
      <w:bookmarkStart w:id="10" w:name="_Toc156258091"/>
      <w:bookmarkStart w:id="11" w:name="_Toc156258122"/>
      <w:bookmarkStart w:id="12" w:name="_Toc156258173"/>
      <w:bookmarkStart w:id="13" w:name="_Toc156255721"/>
      <w:bookmarkStart w:id="14" w:name="_Toc156256431"/>
      <w:bookmarkStart w:id="15" w:name="_Toc156258092"/>
      <w:bookmarkStart w:id="16" w:name="_Toc156258123"/>
      <w:bookmarkStart w:id="17" w:name="_Toc156258174"/>
      <w:bookmarkStart w:id="18" w:name="_Toc187745750"/>
      <w:bookmarkEnd w:id="8"/>
      <w:bookmarkEnd w:id="9"/>
      <w:bookmarkEnd w:id="10"/>
      <w:bookmarkEnd w:id="11"/>
      <w:bookmarkEnd w:id="12"/>
      <w:bookmarkEnd w:id="13"/>
      <w:bookmarkEnd w:id="14"/>
      <w:bookmarkEnd w:id="15"/>
      <w:bookmarkEnd w:id="16"/>
      <w:bookmarkEnd w:id="17"/>
      <w:r w:rsidRPr="008C721C">
        <w:lastRenderedPageBreak/>
        <w:t>Cel</w:t>
      </w:r>
      <w:r w:rsidR="003413D1" w:rsidRPr="008C721C">
        <w:t xml:space="preserve"> </w:t>
      </w:r>
      <w:r w:rsidR="008E4F8C">
        <w:t xml:space="preserve">i podstawa prawna </w:t>
      </w:r>
      <w:r w:rsidR="003413D1" w:rsidRPr="0036003E">
        <w:t>opracowania</w:t>
      </w:r>
      <w:bookmarkEnd w:id="18"/>
      <w:r w:rsidRPr="008C721C">
        <w:t xml:space="preserve"> </w:t>
      </w:r>
    </w:p>
    <w:p w14:paraId="54AAFB82" w14:textId="18BEDB90" w:rsidR="008E4F8C" w:rsidRPr="008B613D" w:rsidRDefault="008E4F8C" w:rsidP="008E4F8C">
      <w:pPr>
        <w:jc w:val="both"/>
      </w:pPr>
      <w:r w:rsidRPr="008B613D">
        <w:rPr>
          <w:bCs/>
        </w:rPr>
        <w:t xml:space="preserve">Zgodnie z przepisami art. 58 ust. 3 Rozporządzenia UE nr </w:t>
      </w:r>
      <w:r w:rsidR="0036003E" w:rsidRPr="008B613D">
        <w:rPr>
          <w:bCs/>
        </w:rPr>
        <w:t>2021/1060</w:t>
      </w:r>
      <w:r w:rsidRPr="008B613D">
        <w:rPr>
          <w:rStyle w:val="Odwoanieprzypisudolnego"/>
          <w:bCs/>
        </w:rPr>
        <w:footnoteReference w:id="2"/>
      </w:r>
      <w:r w:rsidR="0036003E" w:rsidRPr="008B613D">
        <w:rPr>
          <w:bCs/>
        </w:rPr>
        <w:t>,</w:t>
      </w:r>
      <w:r w:rsidRPr="008B613D">
        <w:rPr>
          <w:bCs/>
        </w:rPr>
        <w:t xml:space="preserve"> „</w:t>
      </w:r>
      <w:r w:rsidR="0036003E" w:rsidRPr="008B613D">
        <w:rPr>
          <w:i/>
        </w:rPr>
        <w:t>o</w:t>
      </w:r>
      <w:r w:rsidRPr="008B613D">
        <w:rPr>
          <w:i/>
        </w:rPr>
        <w:t xml:space="preserve">dpowiednie wsparcie </w:t>
      </w:r>
      <w:r w:rsidR="002D3D62">
        <w:rPr>
          <w:i/>
        </w:rPr>
        <w:br/>
      </w:r>
      <w:r w:rsidRPr="008B613D">
        <w:rPr>
          <w:i/>
        </w:rPr>
        <w:t xml:space="preserve">z Funduszy za pośrednictwem instrumentów finansowych jest oparte na ocenie ex </w:t>
      </w:r>
      <w:proofErr w:type="spellStart"/>
      <w:r w:rsidRPr="008B613D">
        <w:rPr>
          <w:i/>
        </w:rPr>
        <w:t>ante</w:t>
      </w:r>
      <w:proofErr w:type="spellEnd"/>
      <w:r w:rsidRPr="008B613D">
        <w:rPr>
          <w:i/>
        </w:rPr>
        <w:t xml:space="preserve">, za której sporządzenie odpowiada instytucja zarządzająca. Ocena ex </w:t>
      </w:r>
      <w:proofErr w:type="spellStart"/>
      <w:r w:rsidRPr="008B613D">
        <w:rPr>
          <w:i/>
        </w:rPr>
        <w:t>ante</w:t>
      </w:r>
      <w:proofErr w:type="spellEnd"/>
      <w:r w:rsidRPr="008B613D">
        <w:rPr>
          <w:i/>
        </w:rPr>
        <w:t xml:space="preserve"> musi zostać ukończona, zanim instytucje zarządzające dokonają wkładów z programu do instrumentów finansowych</w:t>
      </w:r>
      <w:r w:rsidRPr="008B613D">
        <w:t>”. Ponadto „</w:t>
      </w:r>
      <w:r w:rsidRPr="008B613D">
        <w:rPr>
          <w:i/>
        </w:rPr>
        <w:t xml:space="preserve">Ocena ex </w:t>
      </w:r>
      <w:proofErr w:type="spellStart"/>
      <w:r w:rsidRPr="008B613D">
        <w:rPr>
          <w:i/>
        </w:rPr>
        <w:t>ante</w:t>
      </w:r>
      <w:proofErr w:type="spellEnd"/>
      <w:r w:rsidRPr="008B613D">
        <w:rPr>
          <w:i/>
        </w:rPr>
        <w:t xml:space="preserve"> może być poddana przeglądowi lub aktualizacji, może obejmować część lub całość terytorium państwa członkowskiego i opierać się na istniejących lub zaktualizowanych ocenach ex </w:t>
      </w:r>
      <w:proofErr w:type="spellStart"/>
      <w:r w:rsidRPr="008B613D">
        <w:rPr>
          <w:i/>
        </w:rPr>
        <w:t>ante</w:t>
      </w:r>
      <w:proofErr w:type="spellEnd"/>
      <w:r w:rsidRPr="008B613D">
        <w:rPr>
          <w:i/>
        </w:rPr>
        <w:t>.</w:t>
      </w:r>
      <w:r w:rsidRPr="008B613D">
        <w:t>”</w:t>
      </w:r>
    </w:p>
    <w:p w14:paraId="1A933549" w14:textId="1BA90226" w:rsidR="003413D1" w:rsidRPr="008B613D" w:rsidRDefault="003413D1" w:rsidP="00115FE7">
      <w:pPr>
        <w:jc w:val="both"/>
        <w:rPr>
          <w:bCs/>
        </w:rPr>
      </w:pPr>
      <w:r w:rsidRPr="008B613D">
        <w:t xml:space="preserve">Celem opracowania jest </w:t>
      </w:r>
      <w:r w:rsidRPr="008B613D">
        <w:rPr>
          <w:b/>
        </w:rPr>
        <w:t>aktualizacja oceny ex-</w:t>
      </w:r>
      <w:proofErr w:type="spellStart"/>
      <w:r w:rsidRPr="008B613D">
        <w:rPr>
          <w:b/>
        </w:rPr>
        <w:t>ante</w:t>
      </w:r>
      <w:proofErr w:type="spellEnd"/>
      <w:r w:rsidRPr="008B613D">
        <w:rPr>
          <w:b/>
        </w:rPr>
        <w:t xml:space="preserve"> dla</w:t>
      </w:r>
      <w:r w:rsidR="00342989" w:rsidRPr="00EC2E32">
        <w:rPr>
          <w:b/>
        </w:rPr>
        <w:t xml:space="preserve"> finansowania inwestycji </w:t>
      </w:r>
      <w:r w:rsidR="00EE1188" w:rsidRPr="00EC2E32">
        <w:rPr>
          <w:b/>
        </w:rPr>
        <w:t xml:space="preserve">w zakresie </w:t>
      </w:r>
      <w:r w:rsidR="00342989" w:rsidRPr="00EC2E32">
        <w:rPr>
          <w:b/>
        </w:rPr>
        <w:t xml:space="preserve">poprawy efektywności energetycznej </w:t>
      </w:r>
      <w:r w:rsidR="001F68D6" w:rsidRPr="00EC2E32">
        <w:rPr>
          <w:b/>
        </w:rPr>
        <w:t xml:space="preserve">niezabytkowych </w:t>
      </w:r>
      <w:r w:rsidR="00342989" w:rsidRPr="00EC2E32">
        <w:rPr>
          <w:b/>
        </w:rPr>
        <w:t>budynków użyteczności publicznej, realizowanych</w:t>
      </w:r>
      <w:r w:rsidR="00932923" w:rsidRPr="00EC2E32">
        <w:rPr>
          <w:b/>
        </w:rPr>
        <w:t xml:space="preserve"> </w:t>
      </w:r>
      <w:r w:rsidR="008C2BE1">
        <w:rPr>
          <w:b/>
        </w:rPr>
        <w:t xml:space="preserve">obligatoryjnie </w:t>
      </w:r>
      <w:r w:rsidR="00AF3B7F">
        <w:rPr>
          <w:b/>
        </w:rPr>
        <w:t xml:space="preserve">w </w:t>
      </w:r>
      <w:r w:rsidR="00342989" w:rsidRPr="00EC2E32">
        <w:rPr>
          <w:b/>
        </w:rPr>
        <w:t>formu</w:t>
      </w:r>
      <w:r w:rsidR="00AF3B7F">
        <w:rPr>
          <w:b/>
        </w:rPr>
        <w:t>le</w:t>
      </w:r>
      <w:r w:rsidR="00342989" w:rsidRPr="00EC2E32">
        <w:rPr>
          <w:b/>
        </w:rPr>
        <w:t xml:space="preserve"> EPC/ESCO, w ramach środków </w:t>
      </w:r>
      <w:bookmarkStart w:id="19" w:name="_Hlk156208103"/>
      <w:r w:rsidR="0004598C" w:rsidRPr="008B613D">
        <w:rPr>
          <w:b/>
          <w:bCs/>
        </w:rPr>
        <w:t xml:space="preserve">programu </w:t>
      </w:r>
      <w:r w:rsidR="00342989" w:rsidRPr="00EC2E32">
        <w:rPr>
          <w:b/>
        </w:rPr>
        <w:t>Fundusze Europejskie na Infrastrukturę, Klimat</w:t>
      </w:r>
      <w:r w:rsidR="0004598C" w:rsidRPr="008B613D">
        <w:rPr>
          <w:b/>
          <w:bCs/>
        </w:rPr>
        <w:t>,</w:t>
      </w:r>
      <w:r w:rsidR="0004598C" w:rsidRPr="00EC2E32">
        <w:rPr>
          <w:b/>
        </w:rPr>
        <w:t xml:space="preserve"> </w:t>
      </w:r>
      <w:r w:rsidR="00342989" w:rsidRPr="00EC2E32">
        <w:rPr>
          <w:b/>
        </w:rPr>
        <w:t>Środowisko 2021-2027</w:t>
      </w:r>
      <w:bookmarkEnd w:id="19"/>
      <w:r w:rsidR="00DB4320">
        <w:rPr>
          <w:b/>
          <w:bCs/>
        </w:rPr>
        <w:t xml:space="preserve"> (FEnIKS)</w:t>
      </w:r>
      <w:r w:rsidRPr="008B613D">
        <w:rPr>
          <w:bCs/>
        </w:rPr>
        <w:t xml:space="preserve">. </w:t>
      </w:r>
    </w:p>
    <w:p w14:paraId="5E36545D" w14:textId="27AA3C86" w:rsidR="003413D1" w:rsidRPr="00EC2E32" w:rsidRDefault="003413D1" w:rsidP="00115FE7">
      <w:pPr>
        <w:jc w:val="both"/>
      </w:pPr>
      <w:r w:rsidRPr="008B613D">
        <w:rPr>
          <w:bCs/>
        </w:rPr>
        <w:t xml:space="preserve">Uwzględniając </w:t>
      </w:r>
      <w:r w:rsidR="008E4F8C" w:rsidRPr="008B613D">
        <w:rPr>
          <w:bCs/>
        </w:rPr>
        <w:t>powyżej przytoczone</w:t>
      </w:r>
      <w:r w:rsidRPr="008B613D">
        <w:rPr>
          <w:bCs/>
        </w:rPr>
        <w:t xml:space="preserve"> przepisy, </w:t>
      </w:r>
      <w:r w:rsidR="008E4F8C" w:rsidRPr="008B613D">
        <w:rPr>
          <w:bCs/>
        </w:rPr>
        <w:t xml:space="preserve">niniejsza </w:t>
      </w:r>
      <w:r w:rsidRPr="008B613D">
        <w:rPr>
          <w:bCs/>
        </w:rPr>
        <w:t xml:space="preserve">aktualizacja opiera się na </w:t>
      </w:r>
      <w:r w:rsidRPr="008B613D">
        <w:rPr>
          <w:b/>
          <w:bCs/>
        </w:rPr>
        <w:t>istniejącym</w:t>
      </w:r>
      <w:r w:rsidR="00B904D3" w:rsidRPr="00EC2E32">
        <w:rPr>
          <w:b/>
        </w:rPr>
        <w:t xml:space="preserve"> </w:t>
      </w:r>
      <w:r w:rsidR="00FB5843" w:rsidRPr="00EC2E32">
        <w:rPr>
          <w:b/>
        </w:rPr>
        <w:t>dokumencie</w:t>
      </w:r>
      <w:r w:rsidR="00FB5843" w:rsidRPr="00EC2E32">
        <w:t>: „</w:t>
      </w:r>
      <w:r w:rsidR="00FB5843" w:rsidRPr="00EC2E32">
        <w:rPr>
          <w:i/>
        </w:rPr>
        <w:t>Ex-</w:t>
      </w:r>
      <w:proofErr w:type="spellStart"/>
      <w:r w:rsidR="00FB5843" w:rsidRPr="00EC2E32">
        <w:rPr>
          <w:i/>
        </w:rPr>
        <w:t>ante</w:t>
      </w:r>
      <w:proofErr w:type="spellEnd"/>
      <w:r w:rsidR="00FB5843" w:rsidRPr="00EC2E32">
        <w:rPr>
          <w:i/>
        </w:rPr>
        <w:t xml:space="preserve"> </w:t>
      </w:r>
      <w:proofErr w:type="spellStart"/>
      <w:r w:rsidR="00FB5843" w:rsidRPr="00EC2E32">
        <w:rPr>
          <w:i/>
        </w:rPr>
        <w:t>assessment</w:t>
      </w:r>
      <w:proofErr w:type="spellEnd"/>
      <w:r w:rsidR="00FB5843" w:rsidRPr="00EC2E32">
        <w:rPr>
          <w:i/>
        </w:rPr>
        <w:t xml:space="preserve"> for the </w:t>
      </w:r>
      <w:proofErr w:type="spellStart"/>
      <w:r w:rsidR="00FB5843" w:rsidRPr="00EC2E32">
        <w:rPr>
          <w:i/>
        </w:rPr>
        <w:t>potential</w:t>
      </w:r>
      <w:proofErr w:type="spellEnd"/>
      <w:r w:rsidR="00FB5843" w:rsidRPr="00EC2E32">
        <w:rPr>
          <w:i/>
        </w:rPr>
        <w:t xml:space="preserve"> </w:t>
      </w:r>
      <w:proofErr w:type="spellStart"/>
      <w:r w:rsidR="00FB5843" w:rsidRPr="00EC2E32">
        <w:rPr>
          <w:i/>
        </w:rPr>
        <w:t>use</w:t>
      </w:r>
      <w:proofErr w:type="spellEnd"/>
      <w:r w:rsidR="00FB5843" w:rsidRPr="00EC2E32">
        <w:rPr>
          <w:i/>
        </w:rPr>
        <w:t xml:space="preserve"> of Financial Instruments for </w:t>
      </w:r>
      <w:proofErr w:type="spellStart"/>
      <w:r w:rsidR="00FB5843" w:rsidRPr="00EC2E32">
        <w:rPr>
          <w:i/>
        </w:rPr>
        <w:t>energy</w:t>
      </w:r>
      <w:proofErr w:type="spellEnd"/>
      <w:r w:rsidR="00FB5843" w:rsidRPr="00EC2E32">
        <w:rPr>
          <w:i/>
        </w:rPr>
        <w:t xml:space="preserve"> </w:t>
      </w:r>
      <w:proofErr w:type="spellStart"/>
      <w:r w:rsidR="00FB5843" w:rsidRPr="00EC2E32">
        <w:rPr>
          <w:i/>
        </w:rPr>
        <w:t>efficiency</w:t>
      </w:r>
      <w:proofErr w:type="spellEnd"/>
      <w:r w:rsidR="00FB5843" w:rsidRPr="00EC2E32">
        <w:rPr>
          <w:i/>
        </w:rPr>
        <w:t xml:space="preserve"> </w:t>
      </w:r>
      <w:proofErr w:type="spellStart"/>
      <w:r w:rsidR="00FB5843" w:rsidRPr="00EC2E32">
        <w:rPr>
          <w:i/>
        </w:rPr>
        <w:t>retrofitting</w:t>
      </w:r>
      <w:proofErr w:type="spellEnd"/>
      <w:r w:rsidR="00FB5843" w:rsidRPr="00EC2E32">
        <w:rPr>
          <w:i/>
        </w:rPr>
        <w:t xml:space="preserve"> in non-</w:t>
      </w:r>
      <w:proofErr w:type="spellStart"/>
      <w:r w:rsidR="00FB5843" w:rsidRPr="00EC2E32">
        <w:rPr>
          <w:i/>
        </w:rPr>
        <w:t>historical</w:t>
      </w:r>
      <w:proofErr w:type="spellEnd"/>
      <w:r w:rsidR="00FB5843" w:rsidRPr="00EC2E32">
        <w:rPr>
          <w:i/>
        </w:rPr>
        <w:t xml:space="preserve"> public </w:t>
      </w:r>
      <w:proofErr w:type="spellStart"/>
      <w:r w:rsidR="00FB5843" w:rsidRPr="00EC2E32">
        <w:rPr>
          <w:i/>
        </w:rPr>
        <w:t>buildings</w:t>
      </w:r>
      <w:proofErr w:type="spellEnd"/>
      <w:r w:rsidR="00FB5843" w:rsidRPr="00EC2E32">
        <w:rPr>
          <w:i/>
        </w:rPr>
        <w:t xml:space="preserve"> </w:t>
      </w:r>
      <w:proofErr w:type="spellStart"/>
      <w:r w:rsidR="00FB5843" w:rsidRPr="00EC2E32">
        <w:rPr>
          <w:i/>
        </w:rPr>
        <w:t>under</w:t>
      </w:r>
      <w:proofErr w:type="spellEnd"/>
      <w:r w:rsidR="00FB5843" w:rsidRPr="00EC2E32">
        <w:rPr>
          <w:i/>
        </w:rPr>
        <w:t xml:space="preserve"> </w:t>
      </w:r>
      <w:proofErr w:type="spellStart"/>
      <w:r w:rsidR="00FB5843" w:rsidRPr="00EC2E32">
        <w:rPr>
          <w:i/>
        </w:rPr>
        <w:t>European</w:t>
      </w:r>
      <w:proofErr w:type="spellEnd"/>
      <w:r w:rsidR="00FB5843" w:rsidRPr="00EC2E32">
        <w:rPr>
          <w:i/>
        </w:rPr>
        <w:t xml:space="preserve"> </w:t>
      </w:r>
      <w:proofErr w:type="spellStart"/>
      <w:r w:rsidR="00FB5843" w:rsidRPr="00EC2E32">
        <w:rPr>
          <w:i/>
        </w:rPr>
        <w:t>Funds</w:t>
      </w:r>
      <w:proofErr w:type="spellEnd"/>
      <w:r w:rsidR="00FB5843" w:rsidRPr="00EC2E32">
        <w:rPr>
          <w:i/>
        </w:rPr>
        <w:t xml:space="preserve"> for </w:t>
      </w:r>
      <w:proofErr w:type="spellStart"/>
      <w:r w:rsidR="00FB5843" w:rsidRPr="00EC2E32">
        <w:rPr>
          <w:i/>
        </w:rPr>
        <w:t>Infrastructure</w:t>
      </w:r>
      <w:proofErr w:type="spellEnd"/>
      <w:r w:rsidR="00FB5843" w:rsidRPr="00EC2E32">
        <w:rPr>
          <w:i/>
        </w:rPr>
        <w:t xml:space="preserve">, </w:t>
      </w:r>
      <w:proofErr w:type="spellStart"/>
      <w:r w:rsidR="00FB5843" w:rsidRPr="00EC2E32">
        <w:rPr>
          <w:i/>
        </w:rPr>
        <w:t>Climate</w:t>
      </w:r>
      <w:proofErr w:type="spellEnd"/>
      <w:r w:rsidR="00FB5843" w:rsidRPr="00EC2E32">
        <w:rPr>
          <w:i/>
        </w:rPr>
        <w:t xml:space="preserve">, Environment 2021-2027 </w:t>
      </w:r>
      <w:proofErr w:type="spellStart"/>
      <w:r w:rsidR="00FB5843" w:rsidRPr="00EC2E32">
        <w:rPr>
          <w:i/>
        </w:rPr>
        <w:t>Operational</w:t>
      </w:r>
      <w:proofErr w:type="spellEnd"/>
      <w:r w:rsidR="00FB5843" w:rsidRPr="00EC2E32">
        <w:rPr>
          <w:i/>
        </w:rPr>
        <w:t xml:space="preserve"> </w:t>
      </w:r>
      <w:proofErr w:type="spellStart"/>
      <w:r w:rsidR="00FB5843" w:rsidRPr="00EC2E32">
        <w:rPr>
          <w:i/>
        </w:rPr>
        <w:t>Programme</w:t>
      </w:r>
      <w:proofErr w:type="spellEnd"/>
      <w:r w:rsidR="00FB5843" w:rsidRPr="00EC2E32">
        <w:t xml:space="preserve">” </w:t>
      </w:r>
      <w:r w:rsidR="00115FE7" w:rsidRPr="00EC2E32">
        <w:t>opracowanym</w:t>
      </w:r>
      <w:r w:rsidR="00FB5843" w:rsidRPr="00EC2E32">
        <w:t xml:space="preserve"> przez </w:t>
      </w:r>
      <w:r w:rsidR="0004598C" w:rsidRPr="008B613D">
        <w:rPr>
          <w:bCs/>
        </w:rPr>
        <w:t xml:space="preserve">Europejski Bank Odbudowy i Rozwoju </w:t>
      </w:r>
      <w:r w:rsidR="006916B8" w:rsidRPr="008B613D">
        <w:rPr>
          <w:bCs/>
        </w:rPr>
        <w:t>(EBOiR)</w:t>
      </w:r>
      <w:r w:rsidR="00602C46" w:rsidRPr="008B613D">
        <w:rPr>
          <w:rStyle w:val="Odwoanieprzypisudolnego"/>
          <w:bCs/>
        </w:rPr>
        <w:footnoteReference w:id="3"/>
      </w:r>
      <w:r w:rsidRPr="00EC2E32">
        <w:t xml:space="preserve">. </w:t>
      </w:r>
    </w:p>
    <w:p w14:paraId="04B9692C" w14:textId="275CAEDE" w:rsidR="00A12AF1" w:rsidRPr="008B613D" w:rsidRDefault="003413D1" w:rsidP="00115FE7">
      <w:pPr>
        <w:jc w:val="both"/>
        <w:rPr>
          <w:bCs/>
        </w:rPr>
      </w:pPr>
      <w:r w:rsidRPr="008B613D">
        <w:rPr>
          <w:bCs/>
        </w:rPr>
        <w:t xml:space="preserve">W ramach </w:t>
      </w:r>
      <w:r w:rsidR="008E4F8C" w:rsidRPr="008B613D">
        <w:rPr>
          <w:bCs/>
        </w:rPr>
        <w:t xml:space="preserve">niniejszej </w:t>
      </w:r>
      <w:r w:rsidRPr="008B613D">
        <w:rPr>
          <w:bCs/>
        </w:rPr>
        <w:t xml:space="preserve">aktualizacji </w:t>
      </w:r>
      <w:r w:rsidRPr="008B613D">
        <w:rPr>
          <w:b/>
          <w:bCs/>
        </w:rPr>
        <w:t xml:space="preserve">uzupełniona o brakujące elementy została </w:t>
      </w:r>
      <w:r w:rsidR="008E4F8C" w:rsidRPr="008B613D">
        <w:rPr>
          <w:b/>
          <w:bCs/>
        </w:rPr>
        <w:t xml:space="preserve">w szczególności </w:t>
      </w:r>
      <w:r w:rsidRPr="008B613D">
        <w:rPr>
          <w:b/>
          <w:bCs/>
        </w:rPr>
        <w:t>ocena rynku (</w:t>
      </w:r>
      <w:r w:rsidR="008E4F8C" w:rsidRPr="008B613D">
        <w:rPr>
          <w:b/>
          <w:bCs/>
          <w:i/>
        </w:rPr>
        <w:t xml:space="preserve">market </w:t>
      </w:r>
      <w:proofErr w:type="spellStart"/>
      <w:r w:rsidR="008E4F8C" w:rsidRPr="008B613D">
        <w:rPr>
          <w:b/>
          <w:bCs/>
          <w:i/>
        </w:rPr>
        <w:t>assessment</w:t>
      </w:r>
      <w:proofErr w:type="spellEnd"/>
      <w:r w:rsidR="008E4F8C" w:rsidRPr="008B613D">
        <w:rPr>
          <w:b/>
          <w:bCs/>
        </w:rPr>
        <w:t>)</w:t>
      </w:r>
      <w:r w:rsidR="008E4F8C" w:rsidRPr="008B613D">
        <w:rPr>
          <w:bCs/>
        </w:rPr>
        <w:t xml:space="preserve">, </w:t>
      </w:r>
      <w:r w:rsidRPr="008B613D">
        <w:rPr>
          <w:bCs/>
        </w:rPr>
        <w:t xml:space="preserve">zarówno </w:t>
      </w:r>
      <w:r w:rsidR="008E4F8C" w:rsidRPr="008B613D">
        <w:rPr>
          <w:bCs/>
        </w:rPr>
        <w:t xml:space="preserve">od </w:t>
      </w:r>
      <w:r w:rsidRPr="008B613D">
        <w:rPr>
          <w:bCs/>
        </w:rPr>
        <w:t>strony podażowej, jak i popytowej</w:t>
      </w:r>
      <w:r w:rsidR="008E4F8C" w:rsidRPr="008B613D">
        <w:rPr>
          <w:bCs/>
        </w:rPr>
        <w:t>. N</w:t>
      </w:r>
      <w:r w:rsidRPr="008B613D">
        <w:rPr>
          <w:bCs/>
        </w:rPr>
        <w:t xml:space="preserve">astępnie zaproponowane zostały </w:t>
      </w:r>
      <w:r w:rsidRPr="008B613D">
        <w:rPr>
          <w:b/>
          <w:bCs/>
        </w:rPr>
        <w:t xml:space="preserve">odpowiadające na potrzeby rynku </w:t>
      </w:r>
      <w:r w:rsidR="008E4F8C" w:rsidRPr="008B613D">
        <w:rPr>
          <w:b/>
          <w:bCs/>
        </w:rPr>
        <w:t xml:space="preserve">zaktualizowane </w:t>
      </w:r>
      <w:r w:rsidR="00E66CAB" w:rsidRPr="008B613D">
        <w:rPr>
          <w:b/>
          <w:bCs/>
        </w:rPr>
        <w:t>produkty finansowe adresowane do docelowych grup odbiorców ostatecznych</w:t>
      </w:r>
      <w:r w:rsidR="00E66CAB" w:rsidRPr="008B613D">
        <w:rPr>
          <w:bCs/>
        </w:rPr>
        <w:t>.</w:t>
      </w:r>
      <w:r w:rsidR="00342989" w:rsidRPr="008B613D">
        <w:rPr>
          <w:bCs/>
        </w:rPr>
        <w:t xml:space="preserve"> </w:t>
      </w:r>
    </w:p>
    <w:p w14:paraId="5900767F" w14:textId="0626DD7E" w:rsidR="0036003E" w:rsidRDefault="0036003E">
      <w:pPr>
        <w:rPr>
          <w:rFonts w:asciiTheme="majorHAnsi" w:eastAsiaTheme="majorEastAsia" w:hAnsiTheme="majorHAnsi" w:cstheme="majorBidi"/>
          <w:bCs/>
          <w:color w:val="2F5496" w:themeColor="accent1" w:themeShade="BF"/>
          <w:sz w:val="24"/>
          <w:szCs w:val="32"/>
        </w:rPr>
      </w:pPr>
      <w:r>
        <w:rPr>
          <w:bCs/>
          <w:sz w:val="24"/>
        </w:rPr>
        <w:br w:type="page"/>
      </w:r>
    </w:p>
    <w:p w14:paraId="5804728F" w14:textId="2195189F" w:rsidR="00115FE7" w:rsidRDefault="008C721C" w:rsidP="008B613D">
      <w:pPr>
        <w:pStyle w:val="Nagwek1"/>
      </w:pPr>
      <w:bookmarkStart w:id="20" w:name="_Toc156255723"/>
      <w:bookmarkStart w:id="21" w:name="_Toc156256433"/>
      <w:bookmarkStart w:id="22" w:name="_Toc156258094"/>
      <w:bookmarkStart w:id="23" w:name="_Toc156258125"/>
      <w:bookmarkStart w:id="24" w:name="_Toc156258176"/>
      <w:bookmarkStart w:id="25" w:name="_Toc156255336"/>
      <w:bookmarkStart w:id="26" w:name="_Toc156255381"/>
      <w:bookmarkStart w:id="27" w:name="_Toc156255724"/>
      <w:bookmarkStart w:id="28" w:name="_Toc156256434"/>
      <w:bookmarkStart w:id="29" w:name="_Toc156258095"/>
      <w:bookmarkStart w:id="30" w:name="_Toc156258126"/>
      <w:bookmarkStart w:id="31" w:name="_Toc156258177"/>
      <w:bookmarkStart w:id="32" w:name="_Toc187745751"/>
      <w:bookmarkEnd w:id="20"/>
      <w:bookmarkEnd w:id="21"/>
      <w:bookmarkEnd w:id="22"/>
      <w:bookmarkEnd w:id="23"/>
      <w:bookmarkEnd w:id="24"/>
      <w:bookmarkEnd w:id="25"/>
      <w:bookmarkEnd w:id="26"/>
      <w:bookmarkEnd w:id="27"/>
      <w:bookmarkEnd w:id="28"/>
      <w:bookmarkEnd w:id="29"/>
      <w:bookmarkEnd w:id="30"/>
      <w:bookmarkEnd w:id="31"/>
      <w:r>
        <w:lastRenderedPageBreak/>
        <w:t>Aktualizacja oceny rynku</w:t>
      </w:r>
      <w:bookmarkEnd w:id="32"/>
    </w:p>
    <w:p w14:paraId="588B275D" w14:textId="6C5FC84B" w:rsidR="00745A6C" w:rsidRPr="00EC2E32" w:rsidRDefault="0036003E" w:rsidP="00EC2E32">
      <w:pPr>
        <w:pStyle w:val="Nagwek2"/>
      </w:pPr>
      <w:bookmarkStart w:id="33" w:name="_Toc156256436"/>
      <w:bookmarkStart w:id="34" w:name="_Toc156258097"/>
      <w:bookmarkStart w:id="35" w:name="_Toc156258128"/>
      <w:bookmarkStart w:id="36" w:name="_Toc156258179"/>
      <w:bookmarkStart w:id="37" w:name="_Toc156255338"/>
      <w:bookmarkStart w:id="38" w:name="_Toc156255383"/>
      <w:bookmarkStart w:id="39" w:name="_Toc156255726"/>
      <w:bookmarkStart w:id="40" w:name="_Toc156256437"/>
      <w:bookmarkStart w:id="41" w:name="_Toc156258098"/>
      <w:bookmarkStart w:id="42" w:name="_Toc156258129"/>
      <w:bookmarkStart w:id="43" w:name="_Toc156258180"/>
      <w:bookmarkStart w:id="44" w:name="_Toc156255339"/>
      <w:bookmarkStart w:id="45" w:name="_Toc156255384"/>
      <w:bookmarkStart w:id="46" w:name="_Toc156255727"/>
      <w:bookmarkStart w:id="47" w:name="_Toc156256438"/>
      <w:bookmarkStart w:id="48" w:name="_Toc156258099"/>
      <w:bookmarkStart w:id="49" w:name="_Toc156258130"/>
      <w:bookmarkStart w:id="50" w:name="_Toc156258181"/>
      <w:bookmarkStart w:id="51" w:name="_Toc18774575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 xml:space="preserve">Ocena rynku </w:t>
      </w:r>
      <w:r w:rsidRPr="00EC2E32">
        <w:t>w raporcie EBOiR</w:t>
      </w:r>
      <w:bookmarkEnd w:id="51"/>
    </w:p>
    <w:p w14:paraId="12411F19" w14:textId="0EEF98A0" w:rsidR="00071311" w:rsidRPr="008B613D" w:rsidRDefault="0036003E" w:rsidP="008B613D">
      <w:pPr>
        <w:spacing w:after="120" w:line="276" w:lineRule="auto"/>
        <w:jc w:val="both"/>
      </w:pPr>
      <w:r w:rsidRPr="008B613D">
        <w:t xml:space="preserve">W ocenie </w:t>
      </w:r>
      <w:r w:rsidR="005E750D" w:rsidRPr="00511AA4">
        <w:t>EBOiR rynek projektów z</w:t>
      </w:r>
      <w:r w:rsidR="00071311" w:rsidRPr="008B613D">
        <w:t xml:space="preserve"> </w:t>
      </w:r>
      <w:r w:rsidR="005E750D" w:rsidRPr="00511AA4">
        <w:t xml:space="preserve">zakresu efektywności energetycznej realizowanych </w:t>
      </w:r>
      <w:r w:rsidR="00071311" w:rsidRPr="008B613D">
        <w:t xml:space="preserve">przez jednostki polskiej administracji centralnej </w:t>
      </w:r>
      <w:r w:rsidR="005E750D" w:rsidRPr="00511AA4">
        <w:t xml:space="preserve">z wykorzystaniem IF jest słabo rozwinięty, tym samym brakuje bogatych doświadczeń w tym zakresie. Niezależnie od formy wsparcia, FEnIKS może być jednym </w:t>
      </w:r>
      <w:r w:rsidR="002D3D62">
        <w:br/>
      </w:r>
      <w:r w:rsidR="005E750D" w:rsidRPr="00511AA4">
        <w:t>z głównych źródeł (a w obecnej sytuacji dla niektórych beneficjentów jedynym źródłem) wsparcia inwestycji z zakresu efektywności energetycznej w budynkach</w:t>
      </w:r>
      <w:r w:rsidR="00511AA4">
        <w:t xml:space="preserve"> będących w zarządzie</w:t>
      </w:r>
      <w:r w:rsidR="005E750D" w:rsidRPr="00511AA4">
        <w:t xml:space="preserve"> administracji centralnej.</w:t>
      </w:r>
    </w:p>
    <w:p w14:paraId="3DAD5E78" w14:textId="3D60C02F" w:rsidR="000C7E10" w:rsidRPr="008B613D" w:rsidRDefault="005E750D" w:rsidP="008B613D">
      <w:pPr>
        <w:spacing w:after="120" w:line="276" w:lineRule="auto"/>
        <w:jc w:val="both"/>
      </w:pPr>
      <w:r w:rsidRPr="00511AA4">
        <w:t xml:space="preserve">Dostępność finansowania na rzecz projektów w zakresie efektywności energetycznej w </w:t>
      </w:r>
      <w:r w:rsidR="00511AA4">
        <w:t xml:space="preserve">budynkach </w:t>
      </w:r>
      <w:r w:rsidRPr="00511AA4">
        <w:t xml:space="preserve">administracji centralnej jest oceniana jako niska. Jedną z głównych cech ww. projektów jest ich z natury niższa rentowność. Nawet jeżeli projekty te są realizowane z powodzeniem, </w:t>
      </w:r>
      <w:r w:rsidRPr="00511AA4">
        <w:rPr>
          <w:b/>
          <w:bCs/>
        </w:rPr>
        <w:t>nie generują one wystarczających zwrotów z</w:t>
      </w:r>
      <w:r w:rsidRPr="00511AA4">
        <w:t xml:space="preserve"> </w:t>
      </w:r>
      <w:r w:rsidRPr="00511AA4">
        <w:rPr>
          <w:b/>
          <w:bCs/>
        </w:rPr>
        <w:t>inwestycji</w:t>
      </w:r>
      <w:r w:rsidRPr="00511AA4">
        <w:t xml:space="preserve">, które byłyby atrakcyjne dla potencjalnych inwestorów lub podmiotów finansujących, głównie ze względu na </w:t>
      </w:r>
      <w:r w:rsidR="00E1774E">
        <w:t xml:space="preserve">m.in. </w:t>
      </w:r>
      <w:r w:rsidRPr="00511AA4">
        <w:t xml:space="preserve">długie okresy zwrotu, niską wewnętrzną stopę zwrotu lub wysokie koszty prac przygotowawczych i wysokie początkowe koszty inwestycji w stosunku do oczekiwanych oszczędności. Prognozowana wewnętrzna stopa zwrotu dla sektora jest ujemna, bliska zeru. </w:t>
      </w:r>
    </w:p>
    <w:p w14:paraId="237CDA69" w14:textId="6BA03A7E" w:rsidR="005E750D" w:rsidRPr="00511AA4" w:rsidRDefault="005E750D" w:rsidP="008B613D">
      <w:pPr>
        <w:spacing w:after="120" w:line="276" w:lineRule="auto"/>
        <w:jc w:val="both"/>
      </w:pPr>
      <w:r w:rsidRPr="00511AA4">
        <w:t xml:space="preserve">Rynek ESCO/EPC w sektorze publicznym charakteryzuje się głównie projektami realizowanymi przez </w:t>
      </w:r>
      <w:proofErr w:type="spellStart"/>
      <w:r w:rsidRPr="00511AA4">
        <w:t>jst</w:t>
      </w:r>
      <w:proofErr w:type="spellEnd"/>
      <w:r w:rsidRPr="00511AA4">
        <w:t>.</w:t>
      </w:r>
      <w:r w:rsidR="00C336A4" w:rsidRPr="008B613D">
        <w:t xml:space="preserve"> </w:t>
      </w:r>
      <w:r w:rsidRPr="00511AA4">
        <w:t>W przeszłości w projektach w zakresie efektywności energetycznej, które obejmowały finansowanie prywatne, wykorzystywano głównie model PPP, ponieważ umożliwiał on samorządom terytorialnym nieklasyfikowanie zobowiązań z tytułu umowy jako finansowania dłużnego. Z przeprowadzone</w:t>
      </w:r>
      <w:r w:rsidR="000C7E10" w:rsidRPr="008B613D">
        <w:t>j analizy</w:t>
      </w:r>
      <w:r w:rsidRPr="00511AA4">
        <w:t xml:space="preserve"> wynika, że powszechne spowolnienie gospodarcze poważnie wpłynęło na sektor energetyczny.</w:t>
      </w:r>
    </w:p>
    <w:p w14:paraId="6058DAFD" w14:textId="3E0CA633" w:rsidR="005E750D" w:rsidRPr="00511AA4" w:rsidRDefault="005E750D" w:rsidP="008B613D">
      <w:pPr>
        <w:spacing w:after="120" w:line="276" w:lineRule="auto"/>
        <w:jc w:val="both"/>
      </w:pPr>
      <w:r w:rsidRPr="00511AA4">
        <w:t xml:space="preserve">Poniżej </w:t>
      </w:r>
      <w:r w:rsidR="00602C46" w:rsidRPr="008B613D">
        <w:t xml:space="preserve">znajduje się </w:t>
      </w:r>
      <w:r w:rsidRPr="008B613D">
        <w:t xml:space="preserve">podsumowanie </w:t>
      </w:r>
      <w:r w:rsidRPr="00511AA4">
        <w:t>zidentyfikowan</w:t>
      </w:r>
      <w:r w:rsidRPr="008B613D">
        <w:t>ych</w:t>
      </w:r>
      <w:r w:rsidRPr="00511AA4">
        <w:t xml:space="preserve"> przez EBOiR barier dla </w:t>
      </w:r>
      <w:r w:rsidR="00071E4E" w:rsidRPr="008B613D">
        <w:t xml:space="preserve">rozwoju </w:t>
      </w:r>
      <w:r w:rsidRPr="00511AA4">
        <w:t>ESCO/EPC w</w:t>
      </w:r>
      <w:r w:rsidR="00602C46" w:rsidRPr="008B613D">
        <w:t> </w:t>
      </w:r>
      <w:r w:rsidRPr="00511AA4">
        <w:t>sektorze publiczny</w:t>
      </w:r>
      <w:r w:rsidRPr="008B613D">
        <w:t>m</w:t>
      </w:r>
      <w:r w:rsidRPr="00511AA4">
        <w:t>:</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977"/>
        <w:gridCol w:w="2693"/>
      </w:tblGrid>
      <w:tr w:rsidR="005E750D" w:rsidRPr="00511AA4" w14:paraId="01E10FAC" w14:textId="77777777" w:rsidTr="008B613D">
        <w:trPr>
          <w:trHeight w:val="103"/>
          <w:jc w:val="center"/>
        </w:trPr>
        <w:tc>
          <w:tcPr>
            <w:tcW w:w="2977" w:type="dxa"/>
            <w:shd w:val="clear" w:color="auto" w:fill="auto"/>
          </w:tcPr>
          <w:p w14:paraId="4BD5FE5E" w14:textId="77777777" w:rsidR="005E750D" w:rsidRPr="008B613D" w:rsidRDefault="005E750D" w:rsidP="008B613D">
            <w:pPr>
              <w:pStyle w:val="Default"/>
              <w:spacing w:line="276" w:lineRule="auto"/>
              <w:rPr>
                <w:rFonts w:asciiTheme="minorHAnsi" w:eastAsia="Calibri" w:hAnsiTheme="minorHAnsi" w:cs="Times New Roman"/>
                <w:color w:val="auto"/>
                <w:sz w:val="22"/>
                <w:szCs w:val="22"/>
                <w:lang w:val="en-GB"/>
              </w:rPr>
            </w:pPr>
            <w:r w:rsidRPr="008B613D">
              <w:rPr>
                <w:rFonts w:asciiTheme="minorHAnsi" w:eastAsia="Calibri" w:hAnsiTheme="minorHAnsi" w:cs="Times New Roman"/>
                <w:color w:val="auto"/>
                <w:sz w:val="22"/>
                <w:szCs w:val="22"/>
              </w:rPr>
              <w:t>Bariery</w:t>
            </w:r>
            <w:r w:rsidRPr="008B613D">
              <w:rPr>
                <w:rFonts w:asciiTheme="minorHAnsi" w:eastAsia="Calibri" w:hAnsiTheme="minorHAnsi" w:cs="Times New Roman"/>
                <w:color w:val="auto"/>
                <w:sz w:val="22"/>
                <w:szCs w:val="22"/>
                <w:lang w:val="en-GB"/>
              </w:rPr>
              <w:t xml:space="preserve"> </w:t>
            </w:r>
            <w:r w:rsidRPr="008B613D">
              <w:rPr>
                <w:rFonts w:asciiTheme="minorHAnsi" w:eastAsia="Calibri" w:hAnsiTheme="minorHAnsi" w:cs="Times New Roman"/>
                <w:color w:val="auto"/>
                <w:sz w:val="22"/>
                <w:szCs w:val="22"/>
              </w:rPr>
              <w:t>Finansowe</w:t>
            </w:r>
          </w:p>
        </w:tc>
        <w:tc>
          <w:tcPr>
            <w:tcW w:w="2977" w:type="dxa"/>
            <w:shd w:val="clear" w:color="auto" w:fill="auto"/>
          </w:tcPr>
          <w:p w14:paraId="6B8C298C" w14:textId="77777777" w:rsidR="005E750D" w:rsidRPr="008B613D" w:rsidRDefault="005E750D" w:rsidP="008B613D">
            <w:pPr>
              <w:pStyle w:val="Default"/>
              <w:spacing w:line="276" w:lineRule="auto"/>
              <w:rPr>
                <w:rFonts w:asciiTheme="minorHAnsi" w:eastAsia="Calibri" w:hAnsiTheme="minorHAnsi" w:cs="Times New Roman"/>
                <w:color w:val="auto"/>
                <w:sz w:val="22"/>
                <w:szCs w:val="22"/>
                <w:lang w:val="en-GB"/>
              </w:rPr>
            </w:pPr>
            <w:r w:rsidRPr="008B613D">
              <w:rPr>
                <w:rFonts w:asciiTheme="minorHAnsi" w:eastAsia="Calibri" w:hAnsiTheme="minorHAnsi" w:cs="Times New Roman"/>
                <w:color w:val="auto"/>
                <w:sz w:val="22"/>
                <w:szCs w:val="22"/>
              </w:rPr>
              <w:t>Bariery</w:t>
            </w:r>
            <w:r w:rsidRPr="008B613D">
              <w:rPr>
                <w:rFonts w:asciiTheme="minorHAnsi" w:eastAsia="Calibri" w:hAnsiTheme="minorHAnsi" w:cs="Times New Roman"/>
                <w:color w:val="auto"/>
                <w:sz w:val="22"/>
                <w:szCs w:val="22"/>
                <w:lang w:val="en-GB"/>
              </w:rPr>
              <w:t xml:space="preserve"> </w:t>
            </w:r>
            <w:r w:rsidRPr="008B613D">
              <w:rPr>
                <w:rFonts w:asciiTheme="minorHAnsi" w:eastAsia="Calibri" w:hAnsiTheme="minorHAnsi" w:cs="Times New Roman"/>
                <w:color w:val="auto"/>
                <w:sz w:val="22"/>
                <w:szCs w:val="22"/>
              </w:rPr>
              <w:t>Instytucjonalne</w:t>
            </w:r>
            <w:r w:rsidRPr="008B613D">
              <w:rPr>
                <w:rFonts w:asciiTheme="minorHAnsi" w:eastAsia="Calibri" w:hAnsiTheme="minorHAnsi" w:cs="Times New Roman"/>
                <w:color w:val="auto"/>
                <w:sz w:val="22"/>
                <w:szCs w:val="22"/>
                <w:lang w:val="en-GB"/>
              </w:rPr>
              <w:t xml:space="preserve"> </w:t>
            </w:r>
          </w:p>
        </w:tc>
        <w:tc>
          <w:tcPr>
            <w:tcW w:w="2693" w:type="dxa"/>
            <w:shd w:val="clear" w:color="auto" w:fill="auto"/>
          </w:tcPr>
          <w:p w14:paraId="7B22D20C" w14:textId="77777777" w:rsidR="005E750D" w:rsidRPr="008B613D" w:rsidRDefault="005E750D" w:rsidP="008B613D">
            <w:pPr>
              <w:pStyle w:val="Default"/>
              <w:spacing w:line="276" w:lineRule="auto"/>
              <w:rPr>
                <w:rFonts w:asciiTheme="minorHAnsi" w:eastAsia="Calibri" w:hAnsiTheme="minorHAnsi" w:cs="Times New Roman"/>
                <w:color w:val="auto"/>
                <w:sz w:val="22"/>
                <w:szCs w:val="22"/>
                <w:lang w:val="en-GB"/>
              </w:rPr>
            </w:pPr>
            <w:r w:rsidRPr="008B613D">
              <w:rPr>
                <w:rFonts w:asciiTheme="minorHAnsi" w:eastAsia="Calibri" w:hAnsiTheme="minorHAnsi" w:cs="Times New Roman"/>
                <w:color w:val="auto"/>
                <w:sz w:val="22"/>
                <w:szCs w:val="22"/>
              </w:rPr>
              <w:t>Bariery</w:t>
            </w:r>
            <w:r w:rsidRPr="008B613D">
              <w:rPr>
                <w:rFonts w:asciiTheme="minorHAnsi" w:eastAsia="Calibri" w:hAnsiTheme="minorHAnsi" w:cs="Times New Roman"/>
                <w:color w:val="auto"/>
                <w:sz w:val="22"/>
                <w:szCs w:val="22"/>
                <w:lang w:val="en-GB"/>
              </w:rPr>
              <w:t xml:space="preserve"> </w:t>
            </w:r>
            <w:r w:rsidRPr="008B613D">
              <w:rPr>
                <w:rFonts w:asciiTheme="minorHAnsi" w:eastAsia="Calibri" w:hAnsiTheme="minorHAnsi" w:cs="Times New Roman"/>
                <w:color w:val="auto"/>
                <w:sz w:val="22"/>
                <w:szCs w:val="22"/>
              </w:rPr>
              <w:t>Techniczne</w:t>
            </w:r>
            <w:r w:rsidRPr="008B613D">
              <w:rPr>
                <w:rFonts w:asciiTheme="minorHAnsi" w:eastAsia="Calibri" w:hAnsiTheme="minorHAnsi" w:cs="Times New Roman"/>
                <w:color w:val="auto"/>
                <w:sz w:val="22"/>
                <w:szCs w:val="22"/>
                <w:lang w:val="en-GB"/>
              </w:rPr>
              <w:t xml:space="preserve"> </w:t>
            </w:r>
          </w:p>
        </w:tc>
      </w:tr>
      <w:tr w:rsidR="005E750D" w:rsidRPr="00511AA4" w14:paraId="51BAB63B" w14:textId="77777777" w:rsidTr="008B613D">
        <w:trPr>
          <w:trHeight w:val="1737"/>
          <w:jc w:val="center"/>
        </w:trPr>
        <w:tc>
          <w:tcPr>
            <w:tcW w:w="2977" w:type="dxa"/>
            <w:shd w:val="clear" w:color="auto" w:fill="auto"/>
          </w:tcPr>
          <w:p w14:paraId="3222EFF5" w14:textId="77777777" w:rsidR="005E750D" w:rsidRPr="008B613D" w:rsidRDefault="005E750D" w:rsidP="008B613D">
            <w:pPr>
              <w:pStyle w:val="Default"/>
              <w:spacing w:line="276" w:lineRule="auto"/>
              <w:ind w:left="175" w:hanging="175"/>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Ograniczona zdolność do zaciągania pożyczek (państwowe jednostki budżetowe), ograniczenia dotyczące zobowiązań długoterminowych </w:t>
            </w:r>
          </w:p>
          <w:p w14:paraId="015C65DF" w14:textId="77777777" w:rsidR="005E750D" w:rsidRPr="008B613D" w:rsidRDefault="005E750D" w:rsidP="008B613D">
            <w:pPr>
              <w:pStyle w:val="Default"/>
              <w:spacing w:line="276" w:lineRule="auto"/>
              <w:ind w:left="175" w:hanging="175"/>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Trudności w finansowaniu dłużnym dla ESCO </w:t>
            </w:r>
          </w:p>
          <w:p w14:paraId="50BCDAA7" w14:textId="77777777" w:rsidR="005E750D" w:rsidRPr="008B613D" w:rsidRDefault="005E750D" w:rsidP="008B613D">
            <w:pPr>
              <w:pStyle w:val="Default"/>
              <w:spacing w:line="276" w:lineRule="auto"/>
              <w:ind w:left="175" w:hanging="175"/>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Brak mechanizmu gwarancyjnego </w:t>
            </w:r>
          </w:p>
          <w:p w14:paraId="781D0CCF" w14:textId="44B57FA1" w:rsidR="005E750D" w:rsidRPr="008B613D" w:rsidRDefault="005E750D" w:rsidP="008B613D">
            <w:pPr>
              <w:pStyle w:val="Default"/>
              <w:spacing w:line="276" w:lineRule="auto"/>
              <w:ind w:left="175" w:hanging="175"/>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Ceny energii/koszty sprzętu i koszty niezwiązane z EE prowadzą do długich okresów zwrotu z inwestycji </w:t>
            </w:r>
          </w:p>
          <w:p w14:paraId="0D816C32" w14:textId="77777777" w:rsidR="005E750D" w:rsidRPr="008B613D" w:rsidRDefault="005E750D" w:rsidP="008B613D">
            <w:pPr>
              <w:pStyle w:val="Default"/>
              <w:spacing w:line="276" w:lineRule="auto"/>
              <w:rPr>
                <w:rFonts w:asciiTheme="minorHAnsi" w:eastAsia="Calibri" w:hAnsiTheme="minorHAnsi" w:cs="Times New Roman"/>
                <w:color w:val="auto"/>
                <w:sz w:val="22"/>
                <w:szCs w:val="22"/>
              </w:rPr>
            </w:pPr>
          </w:p>
        </w:tc>
        <w:tc>
          <w:tcPr>
            <w:tcW w:w="2977" w:type="dxa"/>
            <w:shd w:val="clear" w:color="auto" w:fill="auto"/>
          </w:tcPr>
          <w:p w14:paraId="39206B8B" w14:textId="77777777" w:rsidR="005E750D" w:rsidRPr="008B613D" w:rsidRDefault="005E750D" w:rsidP="008B613D">
            <w:pPr>
              <w:pStyle w:val="Default"/>
              <w:spacing w:line="276" w:lineRule="auto"/>
              <w:ind w:left="173" w:hanging="141"/>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Brak doświadczenia w administracji centralnej w stosowaniu formuły ESCO/EPC </w:t>
            </w:r>
          </w:p>
          <w:p w14:paraId="2BCA81DF" w14:textId="77777777" w:rsidR="005E750D" w:rsidRPr="008B613D" w:rsidRDefault="005E750D" w:rsidP="008B613D">
            <w:pPr>
              <w:pStyle w:val="Default"/>
              <w:spacing w:line="276" w:lineRule="auto"/>
              <w:ind w:left="173" w:hanging="141"/>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Asymetria informacji </w:t>
            </w:r>
          </w:p>
          <w:p w14:paraId="12E521B4" w14:textId="77777777" w:rsidR="005E750D" w:rsidRPr="008B613D" w:rsidRDefault="005E750D" w:rsidP="008B613D">
            <w:pPr>
              <w:pStyle w:val="Default"/>
              <w:spacing w:line="276" w:lineRule="auto"/>
              <w:ind w:left="173" w:hanging="141"/>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Brak wiedzy na temat EPC wśród użytkowników </w:t>
            </w:r>
          </w:p>
          <w:p w14:paraId="7B4ABA1F" w14:textId="77777777" w:rsidR="005E750D" w:rsidRPr="008B613D" w:rsidRDefault="005E750D" w:rsidP="008B613D">
            <w:pPr>
              <w:pStyle w:val="Default"/>
              <w:spacing w:line="276" w:lineRule="auto"/>
              <w:ind w:left="173" w:hanging="141"/>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Niewystarczająca zdolność do identyfikacji kosztów operacyjnych </w:t>
            </w:r>
          </w:p>
          <w:p w14:paraId="7CD33F41" w14:textId="77777777" w:rsidR="005E750D" w:rsidRPr="008B613D" w:rsidRDefault="005E750D" w:rsidP="008B613D">
            <w:pPr>
              <w:pStyle w:val="Default"/>
              <w:spacing w:line="276" w:lineRule="auto"/>
              <w:ind w:left="173" w:hanging="141"/>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Brak elastyczności w wieloletnich programach inwestycyjnych </w:t>
            </w:r>
          </w:p>
          <w:p w14:paraId="4F2E9487" w14:textId="77777777" w:rsidR="005E750D" w:rsidRPr="008B613D" w:rsidRDefault="005E750D" w:rsidP="008B613D">
            <w:pPr>
              <w:pStyle w:val="Default"/>
              <w:spacing w:line="276" w:lineRule="auto"/>
              <w:rPr>
                <w:rFonts w:asciiTheme="minorHAnsi" w:eastAsia="Calibri" w:hAnsiTheme="minorHAnsi" w:cs="Times New Roman"/>
                <w:color w:val="auto"/>
                <w:sz w:val="22"/>
                <w:szCs w:val="22"/>
              </w:rPr>
            </w:pPr>
          </w:p>
        </w:tc>
        <w:tc>
          <w:tcPr>
            <w:tcW w:w="2693" w:type="dxa"/>
            <w:shd w:val="clear" w:color="auto" w:fill="auto"/>
          </w:tcPr>
          <w:p w14:paraId="4904D8E2" w14:textId="77777777" w:rsidR="005E750D" w:rsidRPr="008B613D" w:rsidRDefault="005E750D" w:rsidP="008B613D">
            <w:pPr>
              <w:pStyle w:val="Default"/>
              <w:spacing w:line="276" w:lineRule="auto"/>
              <w:ind w:left="172" w:hanging="142"/>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Oszczędności prognozowane wg norm wobec rzeczywistych </w:t>
            </w:r>
          </w:p>
          <w:p w14:paraId="5A0127C6" w14:textId="77777777" w:rsidR="005E750D" w:rsidRPr="008B613D" w:rsidRDefault="005E750D" w:rsidP="008B613D">
            <w:pPr>
              <w:pStyle w:val="Default"/>
              <w:spacing w:line="276" w:lineRule="auto"/>
              <w:ind w:left="172" w:hanging="142"/>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Niska jakość przygotowania projektów EE oraz monitorowania i weryfikacji </w:t>
            </w:r>
          </w:p>
          <w:p w14:paraId="795FB051" w14:textId="77777777" w:rsidR="005E750D" w:rsidRPr="008B613D" w:rsidRDefault="005E750D" w:rsidP="008B613D">
            <w:pPr>
              <w:pStyle w:val="Default"/>
              <w:spacing w:line="276" w:lineRule="auto"/>
              <w:ind w:left="172" w:hanging="142"/>
              <w:rPr>
                <w:rFonts w:asciiTheme="minorHAnsi" w:eastAsia="Calibri" w:hAnsiTheme="minorHAnsi" w:cs="Times New Roman"/>
                <w:color w:val="auto"/>
                <w:sz w:val="22"/>
                <w:szCs w:val="22"/>
              </w:rPr>
            </w:pPr>
            <w:r w:rsidRPr="008B613D">
              <w:rPr>
                <w:rFonts w:asciiTheme="minorHAnsi" w:eastAsia="Calibri" w:hAnsiTheme="minorHAnsi" w:cs="Times New Roman"/>
                <w:color w:val="auto"/>
                <w:sz w:val="22"/>
                <w:szCs w:val="22"/>
              </w:rPr>
              <w:t xml:space="preserve">• Brak standaryzacji / występowanie rozbieżności w audytach energetycznych </w:t>
            </w:r>
          </w:p>
          <w:p w14:paraId="66FC0803" w14:textId="77777777" w:rsidR="005E750D" w:rsidRPr="008B613D" w:rsidRDefault="005E750D" w:rsidP="008B613D">
            <w:pPr>
              <w:pStyle w:val="Default"/>
              <w:spacing w:line="276" w:lineRule="auto"/>
              <w:ind w:left="172" w:hanging="142"/>
              <w:rPr>
                <w:rFonts w:asciiTheme="minorHAnsi" w:eastAsia="Calibri" w:hAnsiTheme="minorHAnsi" w:cs="Times New Roman"/>
                <w:color w:val="auto"/>
                <w:sz w:val="22"/>
                <w:szCs w:val="22"/>
                <w:lang w:val="en-GB"/>
              </w:rPr>
            </w:pPr>
            <w:r w:rsidRPr="008B613D">
              <w:rPr>
                <w:rFonts w:asciiTheme="minorHAnsi" w:eastAsia="Calibri" w:hAnsiTheme="minorHAnsi" w:cs="Times New Roman"/>
                <w:color w:val="auto"/>
                <w:sz w:val="22"/>
                <w:szCs w:val="22"/>
                <w:lang w:val="en-GB"/>
              </w:rPr>
              <w:t xml:space="preserve">• </w:t>
            </w:r>
            <w:r w:rsidRPr="008B613D">
              <w:rPr>
                <w:rFonts w:asciiTheme="minorHAnsi" w:eastAsia="Calibri" w:hAnsiTheme="minorHAnsi" w:cs="Times New Roman"/>
                <w:color w:val="auto"/>
                <w:sz w:val="22"/>
                <w:szCs w:val="22"/>
              </w:rPr>
              <w:t>Niski poziom zarządzania obiektem</w:t>
            </w:r>
            <w:r w:rsidRPr="008B613D">
              <w:rPr>
                <w:rFonts w:asciiTheme="minorHAnsi" w:eastAsia="Calibri" w:hAnsiTheme="minorHAnsi" w:cs="Times New Roman"/>
                <w:color w:val="auto"/>
                <w:sz w:val="22"/>
                <w:szCs w:val="22"/>
                <w:lang w:val="en-GB"/>
              </w:rPr>
              <w:t xml:space="preserve"> </w:t>
            </w:r>
          </w:p>
          <w:p w14:paraId="6DCC4D34" w14:textId="77777777" w:rsidR="005E750D" w:rsidRPr="008B613D" w:rsidRDefault="005E750D" w:rsidP="008B613D">
            <w:pPr>
              <w:pStyle w:val="Default"/>
              <w:spacing w:line="276" w:lineRule="auto"/>
              <w:rPr>
                <w:rFonts w:asciiTheme="minorHAnsi" w:eastAsia="Calibri" w:hAnsiTheme="minorHAnsi" w:cs="Times New Roman"/>
                <w:color w:val="auto"/>
                <w:sz w:val="22"/>
                <w:szCs w:val="22"/>
                <w:lang w:val="en-GB"/>
              </w:rPr>
            </w:pPr>
          </w:p>
        </w:tc>
      </w:tr>
    </w:tbl>
    <w:p w14:paraId="036C97FF" w14:textId="6175A995" w:rsidR="009B5C78" w:rsidRPr="008B613D" w:rsidRDefault="00511AA4" w:rsidP="003745C8">
      <w:pPr>
        <w:jc w:val="both"/>
        <w:rPr>
          <w:bCs/>
          <w:sz w:val="24"/>
          <w:lang w:val="en-GB"/>
        </w:rPr>
      </w:pPr>
      <w:proofErr w:type="spellStart"/>
      <w:r w:rsidRPr="008B613D">
        <w:rPr>
          <w:sz w:val="20"/>
          <w:szCs w:val="20"/>
          <w:lang w:val="en-GB"/>
        </w:rPr>
        <w:t>Ź</w:t>
      </w:r>
      <w:r w:rsidR="00602C46" w:rsidRPr="008B613D">
        <w:rPr>
          <w:sz w:val="20"/>
          <w:szCs w:val="20"/>
          <w:lang w:val="en-GB"/>
        </w:rPr>
        <w:t>ródło</w:t>
      </w:r>
      <w:proofErr w:type="spellEnd"/>
      <w:r w:rsidR="00602C46" w:rsidRPr="008B613D">
        <w:rPr>
          <w:sz w:val="20"/>
          <w:szCs w:val="20"/>
          <w:lang w:val="en-GB"/>
        </w:rPr>
        <w:t>:</w:t>
      </w:r>
      <w:r w:rsidR="008F2E32" w:rsidRPr="008B613D">
        <w:rPr>
          <w:bCs/>
          <w:sz w:val="20"/>
          <w:szCs w:val="20"/>
          <w:lang w:val="en-GB"/>
        </w:rPr>
        <w:t xml:space="preserve"> „</w:t>
      </w:r>
      <w:r w:rsidR="008F2E32" w:rsidRPr="008B613D">
        <w:rPr>
          <w:bCs/>
          <w:i/>
          <w:sz w:val="20"/>
          <w:szCs w:val="20"/>
          <w:lang w:val="en-GB"/>
        </w:rPr>
        <w:t>Ex-ante assessment for the potential use of Financial Instruments for energy efficiency retrofitting in non-historical public buildings under European Funds for Infrastructure, Climate, Environment 2021-2027 Operational Programme</w:t>
      </w:r>
      <w:r w:rsidR="008F2E32" w:rsidRPr="008B613D">
        <w:rPr>
          <w:bCs/>
          <w:sz w:val="20"/>
          <w:szCs w:val="20"/>
          <w:lang w:val="en-GB"/>
        </w:rPr>
        <w:t xml:space="preserve">” </w:t>
      </w:r>
      <w:proofErr w:type="spellStart"/>
      <w:r w:rsidR="008F2E32" w:rsidRPr="008B613D">
        <w:rPr>
          <w:bCs/>
          <w:sz w:val="20"/>
          <w:szCs w:val="20"/>
          <w:lang w:val="en-GB"/>
        </w:rPr>
        <w:t>opracowanym</w:t>
      </w:r>
      <w:proofErr w:type="spellEnd"/>
      <w:r w:rsidR="008F2E32" w:rsidRPr="008B613D">
        <w:rPr>
          <w:bCs/>
          <w:sz w:val="20"/>
          <w:szCs w:val="20"/>
          <w:lang w:val="en-GB"/>
        </w:rPr>
        <w:t xml:space="preserve"> </w:t>
      </w:r>
      <w:proofErr w:type="spellStart"/>
      <w:r w:rsidR="008F2E32" w:rsidRPr="008B613D">
        <w:rPr>
          <w:bCs/>
          <w:sz w:val="20"/>
          <w:szCs w:val="20"/>
          <w:lang w:val="en-GB"/>
        </w:rPr>
        <w:t>przez</w:t>
      </w:r>
      <w:proofErr w:type="spellEnd"/>
      <w:r w:rsidR="008F2E32" w:rsidRPr="008B613D">
        <w:rPr>
          <w:bCs/>
          <w:sz w:val="20"/>
          <w:szCs w:val="20"/>
          <w:lang w:val="en-GB"/>
        </w:rPr>
        <w:t xml:space="preserve"> </w:t>
      </w:r>
      <w:proofErr w:type="spellStart"/>
      <w:r w:rsidR="008F2E32" w:rsidRPr="008B613D">
        <w:rPr>
          <w:bCs/>
          <w:sz w:val="20"/>
          <w:szCs w:val="20"/>
          <w:lang w:val="en-GB"/>
        </w:rPr>
        <w:t>Europejski</w:t>
      </w:r>
      <w:proofErr w:type="spellEnd"/>
      <w:r w:rsidR="008F2E32" w:rsidRPr="008B613D">
        <w:rPr>
          <w:bCs/>
          <w:sz w:val="20"/>
          <w:szCs w:val="20"/>
          <w:lang w:val="en-GB"/>
        </w:rPr>
        <w:t xml:space="preserve"> Bank </w:t>
      </w:r>
      <w:proofErr w:type="spellStart"/>
      <w:r w:rsidR="008F2E32" w:rsidRPr="008B613D">
        <w:rPr>
          <w:bCs/>
          <w:sz w:val="20"/>
          <w:szCs w:val="20"/>
          <w:lang w:val="en-GB"/>
        </w:rPr>
        <w:t>Odbudowy</w:t>
      </w:r>
      <w:proofErr w:type="spellEnd"/>
      <w:r w:rsidR="008F2E32" w:rsidRPr="008B613D">
        <w:rPr>
          <w:bCs/>
          <w:sz w:val="20"/>
          <w:szCs w:val="20"/>
          <w:lang w:val="en-GB"/>
        </w:rPr>
        <w:t xml:space="preserve"> </w:t>
      </w:r>
      <w:proofErr w:type="spellStart"/>
      <w:r w:rsidR="008F2E32" w:rsidRPr="008B613D">
        <w:rPr>
          <w:bCs/>
          <w:sz w:val="20"/>
          <w:szCs w:val="20"/>
          <w:lang w:val="en-GB"/>
        </w:rPr>
        <w:t>i</w:t>
      </w:r>
      <w:proofErr w:type="spellEnd"/>
      <w:r w:rsidR="008F2E32" w:rsidRPr="008B613D">
        <w:rPr>
          <w:bCs/>
          <w:sz w:val="20"/>
          <w:szCs w:val="20"/>
          <w:lang w:val="en-GB"/>
        </w:rPr>
        <w:t xml:space="preserve"> </w:t>
      </w:r>
      <w:proofErr w:type="spellStart"/>
      <w:r w:rsidR="008F2E32" w:rsidRPr="008B613D">
        <w:rPr>
          <w:bCs/>
          <w:sz w:val="20"/>
          <w:szCs w:val="20"/>
          <w:lang w:val="en-GB"/>
        </w:rPr>
        <w:t>Rozwoju</w:t>
      </w:r>
      <w:proofErr w:type="spellEnd"/>
      <w:r w:rsidR="008F2E32" w:rsidRPr="008B613D">
        <w:rPr>
          <w:bCs/>
          <w:sz w:val="20"/>
          <w:szCs w:val="20"/>
          <w:lang w:val="en-GB"/>
        </w:rPr>
        <w:t xml:space="preserve"> (</w:t>
      </w:r>
      <w:proofErr w:type="spellStart"/>
      <w:r w:rsidR="008F2E32" w:rsidRPr="008B613D">
        <w:rPr>
          <w:bCs/>
          <w:sz w:val="20"/>
          <w:szCs w:val="20"/>
          <w:lang w:val="en-GB"/>
        </w:rPr>
        <w:t>EBOiR</w:t>
      </w:r>
      <w:proofErr w:type="spellEnd"/>
      <w:r w:rsidR="008F2E32" w:rsidRPr="008B613D">
        <w:rPr>
          <w:bCs/>
          <w:sz w:val="20"/>
          <w:szCs w:val="20"/>
          <w:lang w:val="en-GB"/>
        </w:rPr>
        <w:t>).</w:t>
      </w:r>
    </w:p>
    <w:p w14:paraId="7160EBC6" w14:textId="2403803A" w:rsidR="00602C46" w:rsidRPr="00417128" w:rsidRDefault="000C7E10" w:rsidP="008B613D">
      <w:pPr>
        <w:pStyle w:val="Nagwek2"/>
      </w:pPr>
      <w:bookmarkStart w:id="52" w:name="_Toc187745753"/>
      <w:r>
        <w:lastRenderedPageBreak/>
        <w:t>Uaktualnienie oceny rynku</w:t>
      </w:r>
      <w:bookmarkEnd w:id="52"/>
      <w:r>
        <w:t xml:space="preserve"> </w:t>
      </w:r>
    </w:p>
    <w:p w14:paraId="7C7A31D2" w14:textId="1126ED67" w:rsidR="00C336A4" w:rsidRDefault="00C336A4" w:rsidP="008B613D">
      <w:pPr>
        <w:spacing w:after="120" w:line="276" w:lineRule="auto"/>
        <w:jc w:val="both"/>
      </w:pPr>
      <w:r w:rsidRPr="008B613D">
        <w:t xml:space="preserve">Główne wnioski z najnowszych inicjatyw na polskim rynku efektywności energetycznej dotyczących budynków publicznych </w:t>
      </w:r>
      <w:r w:rsidRPr="008B613D">
        <w:rPr>
          <w:b/>
        </w:rPr>
        <w:t>zostały przez EBOiR przedstawione na podstawie rozwiązań dedykowanych budynkom samorządowym i mieszkalnym</w:t>
      </w:r>
      <w:r w:rsidRPr="008B613D">
        <w:t xml:space="preserve">. Dlatego też zachodzi potrzeba </w:t>
      </w:r>
      <w:r w:rsidRPr="008B613D">
        <w:rPr>
          <w:b/>
        </w:rPr>
        <w:t xml:space="preserve">uaktualnienia oceny rynku o kwestie dotyczące </w:t>
      </w:r>
      <w:r w:rsidRPr="008B613D">
        <w:rPr>
          <w:b/>
          <w:i/>
        </w:rPr>
        <w:t>stricte</w:t>
      </w:r>
      <w:r w:rsidRPr="008B613D">
        <w:rPr>
          <w:b/>
        </w:rPr>
        <w:t xml:space="preserve"> budynków niezabytkowych jednostek administracji centralnej</w:t>
      </w:r>
      <w:r w:rsidRPr="008B613D">
        <w:t>.</w:t>
      </w:r>
    </w:p>
    <w:p w14:paraId="639DF73A" w14:textId="2289146D" w:rsidR="00C84C46" w:rsidRPr="008B613D" w:rsidRDefault="00C84C46" w:rsidP="008B613D">
      <w:pPr>
        <w:spacing w:after="120" w:line="276" w:lineRule="auto"/>
        <w:jc w:val="both"/>
      </w:pPr>
      <w:r>
        <w:t xml:space="preserve">Ponadto w raporcie EBOiR nie uwzględniono informacji z innego </w:t>
      </w:r>
      <w:r w:rsidR="00E264CB">
        <w:t xml:space="preserve">aktualnego i </w:t>
      </w:r>
      <w:r>
        <w:t xml:space="preserve">istotnego opracowania wspólnotowego dotyczącego </w:t>
      </w:r>
      <w:r w:rsidRPr="008B613D">
        <w:rPr>
          <w:i/>
        </w:rPr>
        <w:t>stricte</w:t>
      </w:r>
      <w:r>
        <w:t xml:space="preserve"> </w:t>
      </w:r>
      <w:r w:rsidR="00E1774E" w:rsidRPr="008B613D">
        <w:rPr>
          <w:b/>
        </w:rPr>
        <w:t>możliwości wykorzystania środków E</w:t>
      </w:r>
      <w:r w:rsidR="00E1774E">
        <w:rPr>
          <w:b/>
        </w:rPr>
        <w:t>FRR</w:t>
      </w:r>
      <w:r w:rsidR="00E1774E" w:rsidRPr="008B613D">
        <w:rPr>
          <w:b/>
        </w:rPr>
        <w:t xml:space="preserve"> i </w:t>
      </w:r>
      <w:r w:rsidRPr="008B613D">
        <w:rPr>
          <w:b/>
        </w:rPr>
        <w:t>rynku ESCO w Polsce</w:t>
      </w:r>
      <w:r>
        <w:t xml:space="preserve">, </w:t>
      </w:r>
      <w:r w:rsidRPr="008B613D">
        <w:rPr>
          <w:b/>
        </w:rPr>
        <w:t>opublikowanego przez KE i EBI</w:t>
      </w:r>
      <w:r>
        <w:t xml:space="preserve"> w ramach inicjatywy wspierania instytucji zarządzających FE </w:t>
      </w:r>
      <w:r w:rsidR="006A3FCE">
        <w:br/>
      </w:r>
      <w:r>
        <w:t xml:space="preserve">w państwach członkowskich w zakresie wdrażania IF – </w:t>
      </w:r>
      <w:r w:rsidRPr="008B613D">
        <w:rPr>
          <w:b/>
          <w:i/>
        </w:rPr>
        <w:t>fi-</w:t>
      </w:r>
      <w:proofErr w:type="spellStart"/>
      <w:r w:rsidRPr="008B613D">
        <w:rPr>
          <w:b/>
          <w:i/>
        </w:rPr>
        <w:t>compass</w:t>
      </w:r>
      <w:proofErr w:type="spellEnd"/>
      <w:r>
        <w:t>.</w:t>
      </w:r>
    </w:p>
    <w:p w14:paraId="76035F2B" w14:textId="782017BB" w:rsidR="000C7E10" w:rsidRPr="008B613D" w:rsidRDefault="000C7E10" w:rsidP="008B613D">
      <w:pPr>
        <w:pStyle w:val="Nagwek3"/>
      </w:pPr>
      <w:bookmarkStart w:id="53" w:name="_Toc187745754"/>
      <w:r w:rsidRPr="008B613D">
        <w:t>Strona podażowa</w:t>
      </w:r>
      <w:bookmarkEnd w:id="53"/>
    </w:p>
    <w:p w14:paraId="3E7ABE27" w14:textId="74C8710D" w:rsidR="00E264CB" w:rsidRPr="008B613D" w:rsidRDefault="00511AA4" w:rsidP="008B613D">
      <w:pPr>
        <w:spacing w:line="276" w:lineRule="auto"/>
        <w:jc w:val="both"/>
      </w:pPr>
      <w:r w:rsidRPr="008B613D">
        <w:t>W</w:t>
      </w:r>
      <w:r w:rsidR="00E264CB" w:rsidRPr="008B613D">
        <w:t xml:space="preserve"> publikacji </w:t>
      </w:r>
      <w:r w:rsidRPr="008B613D">
        <w:t>“</w:t>
      </w:r>
      <w:proofErr w:type="spellStart"/>
      <w:r w:rsidR="00E264CB" w:rsidRPr="008B613D">
        <w:rPr>
          <w:i/>
        </w:rPr>
        <w:t>Implementing</w:t>
      </w:r>
      <w:proofErr w:type="spellEnd"/>
      <w:r w:rsidR="00E264CB" w:rsidRPr="008B613D">
        <w:rPr>
          <w:i/>
        </w:rPr>
        <w:t xml:space="preserve"> Energy </w:t>
      </w:r>
      <w:proofErr w:type="spellStart"/>
      <w:r w:rsidR="00E264CB" w:rsidRPr="008B613D">
        <w:rPr>
          <w:i/>
        </w:rPr>
        <w:t>Efficiency</w:t>
      </w:r>
      <w:proofErr w:type="spellEnd"/>
      <w:r w:rsidR="00E264CB" w:rsidRPr="008B613D">
        <w:rPr>
          <w:i/>
        </w:rPr>
        <w:t xml:space="preserve"> </w:t>
      </w:r>
      <w:proofErr w:type="spellStart"/>
      <w:r w:rsidR="00E264CB" w:rsidRPr="008B613D">
        <w:rPr>
          <w:i/>
        </w:rPr>
        <w:t>projects</w:t>
      </w:r>
      <w:proofErr w:type="spellEnd"/>
      <w:r w:rsidR="00E264CB" w:rsidRPr="008B613D">
        <w:rPr>
          <w:i/>
        </w:rPr>
        <w:t xml:space="preserve"> via Energy Performance </w:t>
      </w:r>
      <w:proofErr w:type="spellStart"/>
      <w:r w:rsidR="00E264CB" w:rsidRPr="008B613D">
        <w:rPr>
          <w:i/>
        </w:rPr>
        <w:t>Contracting</w:t>
      </w:r>
      <w:proofErr w:type="spellEnd"/>
      <w:r w:rsidR="00E264CB" w:rsidRPr="008B613D">
        <w:rPr>
          <w:i/>
        </w:rPr>
        <w:t xml:space="preserve"> with </w:t>
      </w:r>
      <w:proofErr w:type="spellStart"/>
      <w:r w:rsidR="00E264CB" w:rsidRPr="008B613D">
        <w:rPr>
          <w:i/>
        </w:rPr>
        <w:t>support</w:t>
      </w:r>
      <w:proofErr w:type="spellEnd"/>
      <w:r w:rsidR="00E264CB" w:rsidRPr="008B613D">
        <w:rPr>
          <w:i/>
        </w:rPr>
        <w:t xml:space="preserve"> from ERDF </w:t>
      </w:r>
      <w:proofErr w:type="spellStart"/>
      <w:r w:rsidR="00E264CB" w:rsidRPr="008B613D">
        <w:rPr>
          <w:i/>
        </w:rPr>
        <w:t>financial</w:t>
      </w:r>
      <w:proofErr w:type="spellEnd"/>
      <w:r w:rsidR="00E264CB" w:rsidRPr="008B613D">
        <w:rPr>
          <w:i/>
        </w:rPr>
        <w:t xml:space="preserve"> </w:t>
      </w:r>
      <w:proofErr w:type="spellStart"/>
      <w:r w:rsidR="00E264CB" w:rsidRPr="008B613D">
        <w:rPr>
          <w:i/>
        </w:rPr>
        <w:t>instruments</w:t>
      </w:r>
      <w:proofErr w:type="spellEnd"/>
      <w:r w:rsidR="00E264CB" w:rsidRPr="008B613D">
        <w:rPr>
          <w:i/>
        </w:rPr>
        <w:t xml:space="preserve"> in Poland</w:t>
      </w:r>
      <w:r w:rsidRPr="008B613D">
        <w:t>”</w:t>
      </w:r>
      <w:r w:rsidR="00E264CB" w:rsidRPr="008B613D">
        <w:rPr>
          <w:i/>
        </w:rPr>
        <w:t xml:space="preserve"> </w:t>
      </w:r>
      <w:r w:rsidRPr="008B613D">
        <w:t>opublikowanej przez fi-</w:t>
      </w:r>
      <w:proofErr w:type="spellStart"/>
      <w:r w:rsidRPr="008B613D">
        <w:t>compass</w:t>
      </w:r>
      <w:proofErr w:type="spellEnd"/>
      <w:r w:rsidRPr="008B613D">
        <w:t xml:space="preserve"> w grudniu 2023 r.</w:t>
      </w:r>
      <w:r w:rsidR="00E264CB" w:rsidRPr="008B613D">
        <w:t xml:space="preserve"> </w:t>
      </w:r>
      <w:r w:rsidRPr="008B613D">
        <w:t>w</w:t>
      </w:r>
      <w:r w:rsidR="00E264CB" w:rsidRPr="008B613D">
        <w:t xml:space="preserve">skazano, że Polska ma duże </w:t>
      </w:r>
      <w:r w:rsidR="00E264CB" w:rsidRPr="008B613D">
        <w:rPr>
          <w:b/>
        </w:rPr>
        <w:t>potrzeby inwestycyjne</w:t>
      </w:r>
      <w:r w:rsidR="00E264CB" w:rsidRPr="008B613D">
        <w:t xml:space="preserve"> w zakresie efektywności energetycznej budynków i infrastruktury publicznej, które </w:t>
      </w:r>
      <w:r w:rsidR="00E264CB" w:rsidRPr="008B613D">
        <w:rPr>
          <w:b/>
        </w:rPr>
        <w:t xml:space="preserve">przekraczają kwotę </w:t>
      </w:r>
      <w:r w:rsidRPr="008B613D">
        <w:rPr>
          <w:b/>
        </w:rPr>
        <w:t>finansowania</w:t>
      </w:r>
      <w:r w:rsidR="00E264CB" w:rsidRPr="008B613D">
        <w:rPr>
          <w:b/>
        </w:rPr>
        <w:t xml:space="preserve"> </w:t>
      </w:r>
      <w:r w:rsidRPr="008B613D">
        <w:rPr>
          <w:b/>
        </w:rPr>
        <w:t xml:space="preserve">bezzwrotnego </w:t>
      </w:r>
      <w:r w:rsidR="00E264CB" w:rsidRPr="008B613D">
        <w:rPr>
          <w:b/>
        </w:rPr>
        <w:t>dostępn</w:t>
      </w:r>
      <w:r w:rsidRPr="008B613D">
        <w:rPr>
          <w:b/>
        </w:rPr>
        <w:t>ego</w:t>
      </w:r>
      <w:r w:rsidR="00E264CB" w:rsidRPr="008B613D">
        <w:rPr>
          <w:b/>
        </w:rPr>
        <w:t xml:space="preserve"> ze źródeł unijnych i krajowych</w:t>
      </w:r>
      <w:r w:rsidR="00E264CB" w:rsidRPr="008B613D">
        <w:t xml:space="preserve">. </w:t>
      </w:r>
    </w:p>
    <w:p w14:paraId="05DDBDA1" w14:textId="1A0AC021" w:rsidR="00E264CB" w:rsidRPr="008B613D" w:rsidRDefault="00511AA4" w:rsidP="008B613D">
      <w:pPr>
        <w:spacing w:line="276" w:lineRule="auto"/>
        <w:jc w:val="both"/>
      </w:pPr>
      <w:r>
        <w:t>Autorzy podkreślają, że o</w:t>
      </w:r>
      <w:r w:rsidR="00E264CB" w:rsidRPr="008B613D">
        <w:t xml:space="preserve">becnie EPC odgrywa niewielką rolę w renowacji budynków publicznych </w:t>
      </w:r>
      <w:r w:rsidR="006A3FCE">
        <w:br/>
      </w:r>
      <w:r w:rsidR="00E264CB" w:rsidRPr="008B613D">
        <w:t>i prywatnych, a</w:t>
      </w:r>
      <w:r>
        <w:t>le</w:t>
      </w:r>
      <w:r w:rsidR="00E264CB" w:rsidRPr="008B613D">
        <w:t xml:space="preserve"> </w:t>
      </w:r>
      <w:r w:rsidR="00E264CB" w:rsidRPr="008B613D">
        <w:rPr>
          <w:b/>
        </w:rPr>
        <w:t>na polskim rynku działa około 50 firm ESCO świadczących usługi EPC</w:t>
      </w:r>
      <w:r w:rsidR="00E264CB" w:rsidRPr="008B613D">
        <w:t xml:space="preserve">. Większość </w:t>
      </w:r>
      <w:r w:rsidR="0069750F">
        <w:br/>
      </w:r>
      <w:r>
        <w:t xml:space="preserve">z tych </w:t>
      </w:r>
      <w:r w:rsidR="00E264CB" w:rsidRPr="008B613D">
        <w:t>firm to małe i średnie przedsiębiorstwa, które zajmują się głównie renowacją budynków wielorodzinnych lub realizują mniejsze projekty w branży. Tylko kilka większych międzynarodowych firm podejmuje się projektów EPC w sektorze publicznym o wysokich kosztach inwestycyjnych.</w:t>
      </w:r>
    </w:p>
    <w:p w14:paraId="26C08CB3" w14:textId="175AF3B0" w:rsidR="00E264CB" w:rsidRPr="008B613D" w:rsidRDefault="00E264CB" w:rsidP="008B613D">
      <w:pPr>
        <w:spacing w:line="276" w:lineRule="auto"/>
        <w:jc w:val="both"/>
      </w:pPr>
      <w:r w:rsidRPr="008B613D">
        <w:t>Z</w:t>
      </w:r>
      <w:r w:rsidR="00511AA4">
        <w:t xml:space="preserve"> informacji zawartych w opracowaniu wynika, że</w:t>
      </w:r>
      <w:r w:rsidRPr="008B613D">
        <w:t xml:space="preserve"> </w:t>
      </w:r>
      <w:r w:rsidRPr="008B613D">
        <w:rPr>
          <w:b/>
        </w:rPr>
        <w:t>polski rynek EPC nie rozwinął się w pełni</w:t>
      </w:r>
      <w:r w:rsidRPr="008B613D">
        <w:t xml:space="preserve"> z uwagi na m.in.: </w:t>
      </w:r>
    </w:p>
    <w:p w14:paraId="43E2863E" w14:textId="7FE16B44" w:rsidR="00E264CB" w:rsidRPr="008B613D" w:rsidRDefault="00E264CB" w:rsidP="008B613D">
      <w:pPr>
        <w:pStyle w:val="Akapitzlist"/>
        <w:numPr>
          <w:ilvl w:val="0"/>
          <w:numId w:val="28"/>
        </w:numPr>
        <w:spacing w:line="276" w:lineRule="auto"/>
        <w:jc w:val="both"/>
      </w:pPr>
      <w:r w:rsidRPr="008B613D">
        <w:t xml:space="preserve">brak świadomości, zrozumienia i zaufania do EPC wśród władz publicznych w porównaniu </w:t>
      </w:r>
      <w:r w:rsidR="006A3FCE">
        <w:br/>
      </w:r>
      <w:r w:rsidRPr="008B613D">
        <w:t xml:space="preserve">z tradycyjnymi umowami o realizację projektu, </w:t>
      </w:r>
    </w:p>
    <w:p w14:paraId="6444E2D8" w14:textId="70A397E4" w:rsidR="00E264CB" w:rsidRPr="008B613D" w:rsidRDefault="00E264CB" w:rsidP="008B613D">
      <w:pPr>
        <w:pStyle w:val="Akapitzlist"/>
        <w:numPr>
          <w:ilvl w:val="0"/>
          <w:numId w:val="28"/>
        </w:numPr>
        <w:spacing w:line="276" w:lineRule="auto"/>
        <w:jc w:val="both"/>
      </w:pPr>
      <w:r w:rsidRPr="008B613D">
        <w:t>niepewność regulacyjną dotycząc</w:t>
      </w:r>
      <w:r w:rsidR="00511AA4">
        <w:t>ą</w:t>
      </w:r>
      <w:r w:rsidRPr="008B613D">
        <w:t xml:space="preserve"> zamówień na EPC i co do wpływu takich projektów na bilans/budżet podmiotów publicznych, </w:t>
      </w:r>
    </w:p>
    <w:p w14:paraId="41BF6F01" w14:textId="4F070009" w:rsidR="00E264CB" w:rsidRPr="008B613D" w:rsidRDefault="00E264CB" w:rsidP="008B613D">
      <w:pPr>
        <w:pStyle w:val="Akapitzlist"/>
        <w:numPr>
          <w:ilvl w:val="0"/>
          <w:numId w:val="28"/>
        </w:numPr>
        <w:spacing w:line="276" w:lineRule="auto"/>
        <w:jc w:val="both"/>
      </w:pPr>
      <w:r w:rsidRPr="008B613D">
        <w:t xml:space="preserve">przekonanie, że EPC nie jest odpowiednie dla projektów z zakresu głębokiej termomodernizacji, jeżeli kosztów inwestycji i zarządzania energią nie można pokryć wyłącznie z oszczędności energii i wystąpiły trudności w połączeniu EPC z finansowaniem w ramach polityki spójności, </w:t>
      </w:r>
    </w:p>
    <w:p w14:paraId="0AF35D3B" w14:textId="37C244C6" w:rsidR="00E264CB" w:rsidRPr="008B613D" w:rsidRDefault="00E264CB" w:rsidP="008B613D">
      <w:pPr>
        <w:pStyle w:val="Akapitzlist"/>
        <w:numPr>
          <w:ilvl w:val="0"/>
          <w:numId w:val="28"/>
        </w:numPr>
        <w:spacing w:line="276" w:lineRule="auto"/>
        <w:jc w:val="both"/>
      </w:pPr>
      <w:r w:rsidRPr="008B613D">
        <w:t>trudności z zabezpieczeniem długoterminowego finansowania</w:t>
      </w:r>
      <w:r w:rsidR="00511AA4" w:rsidRPr="00511AA4">
        <w:t>, zwłaszcza przez mniejszych, lokalnych dostawców EPC</w:t>
      </w:r>
      <w:r w:rsidRPr="008B613D">
        <w:t>.</w:t>
      </w:r>
    </w:p>
    <w:p w14:paraId="355AF2C9" w14:textId="1C3AE458" w:rsidR="000C7E10" w:rsidRPr="008B613D" w:rsidRDefault="00511AA4" w:rsidP="003745C8">
      <w:pPr>
        <w:jc w:val="both"/>
      </w:pPr>
      <w:r w:rsidRPr="008B613D">
        <w:t xml:space="preserve">Analizując stronę podażową finansowania projektów efektywności energetycznej </w:t>
      </w:r>
      <w:r w:rsidR="00E1774E">
        <w:t xml:space="preserve">w budynkach będących w zarządzie administracji centralnej </w:t>
      </w:r>
      <w:r w:rsidRPr="008B613D">
        <w:t xml:space="preserve">należy dokonać również aktualizacji </w:t>
      </w:r>
      <w:r>
        <w:t xml:space="preserve">informacji </w:t>
      </w:r>
      <w:r w:rsidRPr="008B613D">
        <w:t xml:space="preserve">w zakresie </w:t>
      </w:r>
      <w:r w:rsidR="00E1774E" w:rsidRPr="008B613D">
        <w:rPr>
          <w:b/>
        </w:rPr>
        <w:t xml:space="preserve">możliwości podaży </w:t>
      </w:r>
      <w:r w:rsidRPr="008B613D">
        <w:rPr>
          <w:b/>
        </w:rPr>
        <w:t xml:space="preserve">finansowania </w:t>
      </w:r>
      <w:r w:rsidR="00E1774E">
        <w:rPr>
          <w:b/>
        </w:rPr>
        <w:t xml:space="preserve">tego typu inwestycji </w:t>
      </w:r>
      <w:r w:rsidR="00E1774E" w:rsidRPr="008B613D">
        <w:rPr>
          <w:b/>
        </w:rPr>
        <w:t>ze środków budżetu państwa</w:t>
      </w:r>
      <w:r w:rsidR="00E1774E">
        <w:t>.</w:t>
      </w:r>
      <w:r w:rsidRPr="008B613D">
        <w:t xml:space="preserve"> </w:t>
      </w:r>
    </w:p>
    <w:p w14:paraId="4B82B39F" w14:textId="05DD0F76" w:rsidR="008F2E32" w:rsidRPr="008B613D" w:rsidRDefault="008F2E32" w:rsidP="008B613D">
      <w:pPr>
        <w:spacing w:line="276" w:lineRule="auto"/>
        <w:jc w:val="both"/>
      </w:pPr>
      <w:r w:rsidRPr="008B613D">
        <w:t>Zgodnie z art. 80 ust. 2 i 3 ustawy z dnia 27 sierpnia 2009 r. o finansach publicznych</w:t>
      </w:r>
      <w:r w:rsidR="00E1774E">
        <w:t xml:space="preserve"> (</w:t>
      </w:r>
      <w:proofErr w:type="spellStart"/>
      <w:r w:rsidRPr="008B613D">
        <w:t>ufp</w:t>
      </w:r>
      <w:proofErr w:type="spellEnd"/>
      <w:r w:rsidR="00E1774E">
        <w:t>)</w:t>
      </w:r>
      <w:r w:rsidRPr="008B613D">
        <w:t xml:space="preserve">, w imieniu Skarbu Państwa pożyczki i kredyty może zaciągać wyłącznie Minister Finansów, natomiast w przypadku zaciągania pożyczki lub kredytu w drodze umowy, w tym umowy międzynarodowej, zgodnie z którą wymagane jest, aby organem działającym w imieniu pożyczkobiorcy (kredytobiorcy) była Rada Ministrów, upoważnia ona Ministra Finansów do podpisania takiej umowy. W związku z powyższym, </w:t>
      </w:r>
      <w:r w:rsidRPr="008B613D">
        <w:lastRenderedPageBreak/>
        <w:t xml:space="preserve">państwowe jednostki budżetowe mogą zaciągać pożyczki będące instrumentem zwrotnym jedynie </w:t>
      </w:r>
      <w:r w:rsidR="006A3FCE">
        <w:br/>
      </w:r>
      <w:r w:rsidRPr="008B613D">
        <w:t>w przypadku, jeśli odrębna ustawa stanowi inaczej.</w:t>
      </w:r>
    </w:p>
    <w:p w14:paraId="62CC029D" w14:textId="0CA6C9CF" w:rsidR="00B00409" w:rsidRDefault="008F2E32" w:rsidP="008B613D">
      <w:pPr>
        <w:spacing w:line="276" w:lineRule="auto"/>
        <w:jc w:val="both"/>
      </w:pPr>
      <w:r w:rsidRPr="008B613D">
        <w:t xml:space="preserve">Określony w </w:t>
      </w:r>
      <w:proofErr w:type="spellStart"/>
      <w:r w:rsidRPr="008B613D">
        <w:t>ufp</w:t>
      </w:r>
      <w:proofErr w:type="spellEnd"/>
      <w:r w:rsidRPr="008B613D">
        <w:t xml:space="preserve"> status państwowej jednostki budżetowej skutkuje tym, że nie może ona przeznaczać uzyskiwanych dochodów na określone cele lecz obowiązana jest odprowadzić je na rachunek dochodów budżetu państwa (art. 11 ust. 1 </w:t>
      </w:r>
      <w:proofErr w:type="spellStart"/>
      <w:r w:rsidRPr="008B613D">
        <w:t>ufp</w:t>
      </w:r>
      <w:proofErr w:type="spellEnd"/>
      <w:r w:rsidRPr="008B613D">
        <w:t xml:space="preserve">). Zarazem środki na wydatki inwestycyjne (termomodernizacja budynku będącego w trwałym zarządzie danej </w:t>
      </w:r>
      <w:proofErr w:type="spellStart"/>
      <w:r w:rsidRPr="008B613D">
        <w:t>pjb</w:t>
      </w:r>
      <w:proofErr w:type="spellEnd"/>
      <w:r w:rsidRPr="008B613D">
        <w:t xml:space="preserve">) może ona uzyskać wyłącznie </w:t>
      </w:r>
      <w:r w:rsidR="006A3FCE">
        <w:br/>
      </w:r>
      <w:r w:rsidRPr="008B613D">
        <w:t xml:space="preserve">z budżetu państwa w ramach planu finansowego (art. 10 ust. 1 w zw. z art. 44 ust. 1-3 </w:t>
      </w:r>
      <w:proofErr w:type="spellStart"/>
      <w:r w:rsidRPr="008B613D">
        <w:t>ufp</w:t>
      </w:r>
      <w:proofErr w:type="spellEnd"/>
      <w:r w:rsidRPr="008B613D">
        <w:t xml:space="preserve">). </w:t>
      </w:r>
    </w:p>
    <w:p w14:paraId="40C748A4" w14:textId="4EF52261" w:rsidR="008F2E32" w:rsidRDefault="00B00409" w:rsidP="008B613D">
      <w:pPr>
        <w:spacing w:line="276" w:lineRule="auto"/>
        <w:jc w:val="both"/>
        <w:rPr>
          <w:sz w:val="24"/>
          <w:highlight w:val="red"/>
        </w:rPr>
      </w:pPr>
      <w:r>
        <w:t>Jednocześnie, w</w:t>
      </w:r>
      <w:r w:rsidR="008F2E32" w:rsidRPr="008B613D">
        <w:t xml:space="preserve"> kontekście wsparcia </w:t>
      </w:r>
      <w:r>
        <w:t xml:space="preserve">w formie </w:t>
      </w:r>
      <w:r w:rsidR="008F2E32" w:rsidRPr="008B613D">
        <w:t>„pożyczki z częścią dotacyjną w ramach instrumentu finansowego dla części beneficjentów”</w:t>
      </w:r>
      <w:r>
        <w:t xml:space="preserve">, Ministerstwo Finansów zauważa, że </w:t>
      </w:r>
      <w:r w:rsidRPr="008B613D">
        <w:rPr>
          <w:b/>
        </w:rPr>
        <w:t>p</w:t>
      </w:r>
      <w:r w:rsidR="008F2E32" w:rsidRPr="008B613D">
        <w:rPr>
          <w:b/>
        </w:rPr>
        <w:t>odstawowe formy</w:t>
      </w:r>
      <w:r w:rsidR="008F2E32" w:rsidRPr="008B613D">
        <w:t xml:space="preserve"> </w:t>
      </w:r>
      <w:r w:rsidR="008F2E32" w:rsidRPr="008B613D">
        <w:rPr>
          <w:b/>
        </w:rPr>
        <w:t>organizacyjnoprawne sektora finansów publicznych, jakimi są państwowe jednostki budżetowe, stanowią emanację budżetu państwa i są finansowane bezpośrednio z tego źródła ("pokrywają wydatki bezpośrednio z budżetu państwa"</w:t>
      </w:r>
      <w:r w:rsidR="008F2E32" w:rsidRPr="008B613D">
        <w:t>)</w:t>
      </w:r>
      <w:r w:rsidR="00131F65">
        <w:t xml:space="preserve">. </w:t>
      </w:r>
      <w:r w:rsidR="008F2E32" w:rsidRPr="008B613D">
        <w:t xml:space="preserve">Odnosząc się do art. 46 </w:t>
      </w:r>
      <w:proofErr w:type="spellStart"/>
      <w:r w:rsidR="008F2E32" w:rsidRPr="008B613D">
        <w:t>ufp</w:t>
      </w:r>
      <w:proofErr w:type="spellEnd"/>
      <w:r w:rsidR="008F2E32" w:rsidRPr="008B613D">
        <w:t xml:space="preserve"> w przypadku tej regulacji intencją ustawodawcy było sformułowanie zasady zaciągania tylko takich zobowiązań, które mają pokrycie w aktualnie obowiązującym budżecie i sporządzonych na jego podstawie planach finansowych, przy czym – w związku z elementami planowania wieloletniego wyłączone spod tej zasady miałyby być zobowiązania zaciągane na podstawie programów wieloletnich i zapewnień finansowania, powodujące konieczność poniesienia pewnych wydatków obciążających budżety na kolejne lata</w:t>
      </w:r>
      <w:r w:rsidR="008F2E32" w:rsidRPr="008B613D">
        <w:rPr>
          <w:sz w:val="24"/>
        </w:rPr>
        <w:t>.</w:t>
      </w:r>
    </w:p>
    <w:p w14:paraId="74CCEE04" w14:textId="023B4D6F" w:rsidR="000C7E10" w:rsidRPr="008B613D" w:rsidRDefault="000C7E10" w:rsidP="008B613D">
      <w:pPr>
        <w:pStyle w:val="Nagwek3"/>
      </w:pPr>
      <w:bookmarkStart w:id="54" w:name="_Toc187745755"/>
      <w:r w:rsidRPr="008B613D">
        <w:t>Strona popytowa</w:t>
      </w:r>
      <w:bookmarkEnd w:id="54"/>
    </w:p>
    <w:p w14:paraId="74D4047D" w14:textId="40EA8878" w:rsidR="000C7E10" w:rsidRPr="008B613D" w:rsidRDefault="000C7E10" w:rsidP="008B613D">
      <w:pPr>
        <w:spacing w:line="276" w:lineRule="auto"/>
        <w:jc w:val="both"/>
      </w:pPr>
      <w:r w:rsidRPr="008B613D">
        <w:t xml:space="preserve">W toku wdrażania FEnIKS </w:t>
      </w:r>
      <w:r w:rsidR="00417128" w:rsidRPr="008B613D">
        <w:t xml:space="preserve">zidentyfikowano dodatkowe w stosunku do przeanalizowanych przez EBOiR kategorie podmiotów, które mogą uzyskać status beneficjentów lub odbiorców ostatecznych wsparcia w zakresie efektywności energetycznej </w:t>
      </w:r>
      <w:r w:rsidR="000B1D12" w:rsidRPr="008B613D">
        <w:t xml:space="preserve">niezabytkowych </w:t>
      </w:r>
      <w:r w:rsidR="00417128" w:rsidRPr="008B613D">
        <w:t xml:space="preserve">budynków </w:t>
      </w:r>
      <w:r w:rsidR="000B1D12" w:rsidRPr="008B613D">
        <w:t xml:space="preserve">publicznych. </w:t>
      </w:r>
    </w:p>
    <w:p w14:paraId="7CE909F3" w14:textId="3DC43130" w:rsidR="0051151D" w:rsidRPr="008B613D" w:rsidRDefault="000B1D12" w:rsidP="008B613D">
      <w:pPr>
        <w:spacing w:line="276" w:lineRule="auto"/>
        <w:jc w:val="both"/>
      </w:pPr>
      <w:r w:rsidRPr="008B613D">
        <w:t xml:space="preserve">Zaliczać się do nich będą </w:t>
      </w:r>
      <w:r w:rsidR="00A40AEA" w:rsidRPr="008B613D">
        <w:t>jednostki sektora finansów publicznych</w:t>
      </w:r>
      <w:r w:rsidRPr="008B613D">
        <w:t xml:space="preserve"> niebędące państwowymi jednostkami budżetowymi (</w:t>
      </w:r>
      <w:r w:rsidR="00664C7C">
        <w:t>nie-</w:t>
      </w:r>
      <w:proofErr w:type="spellStart"/>
      <w:r w:rsidR="00664C7C">
        <w:t>pjb</w:t>
      </w:r>
      <w:proofErr w:type="spellEnd"/>
      <w:r w:rsidRPr="008B613D">
        <w:t xml:space="preserve">), a jednocześnie nieprowadzące działalności pozwalającej na osiągnięcie dodatkowych przychodów ze źródeł niepublicznych. Jednocześnie podmioty te mogą nie mieć możliwości wygenerowania wolnych strumieni finansowych wyłącznie na podstawie oszczędności energii lub mogą nie mieć prawnej </w:t>
      </w:r>
      <w:r w:rsidR="00774C48" w:rsidRPr="008B613D">
        <w:t xml:space="preserve">lub faktycznej </w:t>
      </w:r>
      <w:r w:rsidRPr="008B613D">
        <w:t>możliwości przekazywania spłat ze środków własnych do firm ESCO. Tym samym ich projekty mogą nie wykazywać się koniecznym poziomem „</w:t>
      </w:r>
      <w:proofErr w:type="spellStart"/>
      <w:r w:rsidRPr="008B613D">
        <w:t>bankowalności</w:t>
      </w:r>
      <w:proofErr w:type="spellEnd"/>
      <w:r w:rsidRPr="008B613D">
        <w:t>” na rynku finansowym</w:t>
      </w:r>
      <w:r w:rsidR="0051151D" w:rsidRPr="008B613D">
        <w:t>/ESCO</w:t>
      </w:r>
      <w:r w:rsidRPr="008B613D">
        <w:t xml:space="preserve">. Przypadki te dotyczyć mogą </w:t>
      </w:r>
      <w:r w:rsidR="00D70942" w:rsidRPr="008B613D">
        <w:rPr>
          <w:b/>
        </w:rPr>
        <w:t xml:space="preserve">jednostek sektora finansów publicznych określonych w art. 9 </w:t>
      </w:r>
      <w:proofErr w:type="spellStart"/>
      <w:r w:rsidR="00D70942" w:rsidRPr="008B613D">
        <w:rPr>
          <w:b/>
        </w:rPr>
        <w:t>ufp</w:t>
      </w:r>
      <w:proofErr w:type="spellEnd"/>
      <w:r w:rsidR="00D70942" w:rsidRPr="008B613D">
        <w:rPr>
          <w:b/>
        </w:rPr>
        <w:t xml:space="preserve"> albo powołanych na mocy odrębnych ustaw</w:t>
      </w:r>
      <w:r w:rsidR="00774C48" w:rsidRPr="008B613D">
        <w:t xml:space="preserve">. </w:t>
      </w:r>
      <w:r w:rsidR="0051151D" w:rsidRPr="008B613D">
        <w:t>Jednocześnie podmioty te spełniają kryteria kwalifikowalności do programu FEnIKS.</w:t>
      </w:r>
      <w:r w:rsidRPr="008B613D">
        <w:t xml:space="preserve"> </w:t>
      </w:r>
    </w:p>
    <w:p w14:paraId="36FAD7FB" w14:textId="77777777" w:rsidR="00C84C46" w:rsidRPr="008B613D" w:rsidRDefault="00774C48" w:rsidP="008B613D">
      <w:pPr>
        <w:spacing w:line="276" w:lineRule="auto"/>
        <w:jc w:val="both"/>
      </w:pPr>
      <w:r w:rsidRPr="008B613D">
        <w:t>W toku odbytych wywiadów z przedstawicielami tego typu instytucji, s</w:t>
      </w:r>
      <w:r w:rsidR="00D70942" w:rsidRPr="008B613D">
        <w:t xml:space="preserve">twierdzono </w:t>
      </w:r>
      <w:r w:rsidR="00D70942" w:rsidRPr="008B613D">
        <w:rPr>
          <w:b/>
        </w:rPr>
        <w:t xml:space="preserve">potrzeby inwestycyjne w zakresie efektywności energetycznej </w:t>
      </w:r>
      <w:r w:rsidR="00C84C46" w:rsidRPr="008B613D">
        <w:rPr>
          <w:b/>
        </w:rPr>
        <w:t>budynków będących w trwałym zarządzie tych jednostek</w:t>
      </w:r>
      <w:r w:rsidR="00C84C46" w:rsidRPr="008B613D">
        <w:t>.</w:t>
      </w:r>
    </w:p>
    <w:p w14:paraId="04BD2520" w14:textId="5A97F7BF" w:rsidR="000C7E10" w:rsidRPr="008B613D" w:rsidRDefault="00C84C46" w:rsidP="008B613D">
      <w:pPr>
        <w:spacing w:line="276" w:lineRule="auto"/>
        <w:jc w:val="both"/>
      </w:pPr>
      <w:r w:rsidRPr="008B613D">
        <w:t xml:space="preserve">Jednocześnie stwierdzono występowanie niezaspokojenia powyższych potrzeb inwestycyjnych wyłącznie przy wykorzystaniu środków własnych budżetu państwa. Powyższe skutkuje </w:t>
      </w:r>
      <w:r w:rsidRPr="008B613D">
        <w:rPr>
          <w:b/>
        </w:rPr>
        <w:t>niezaspokojonym popytem na finansowanie</w:t>
      </w:r>
      <w:r w:rsidR="00131F65" w:rsidRPr="008B613D">
        <w:rPr>
          <w:b/>
        </w:rPr>
        <w:t>, możliwym do pokrycia</w:t>
      </w:r>
      <w:r w:rsidRPr="008B613D">
        <w:rPr>
          <w:b/>
        </w:rPr>
        <w:t xml:space="preserve"> ze środków FEnIKS w powyższej grupie odbiorców docelowych</w:t>
      </w:r>
      <w:r w:rsidRPr="008B613D">
        <w:t xml:space="preserve">. </w:t>
      </w:r>
    </w:p>
    <w:p w14:paraId="6E6D03A6" w14:textId="77777777" w:rsidR="0036003E" w:rsidRDefault="0036003E" w:rsidP="008B613D">
      <w:pPr>
        <w:jc w:val="both"/>
        <w:rPr>
          <w:rFonts w:asciiTheme="majorHAnsi" w:eastAsiaTheme="majorEastAsia" w:hAnsiTheme="majorHAnsi" w:cstheme="majorBidi"/>
          <w:color w:val="2F5496" w:themeColor="accent1" w:themeShade="BF"/>
          <w:sz w:val="32"/>
          <w:szCs w:val="32"/>
        </w:rPr>
      </w:pPr>
      <w:r>
        <w:br w:type="page"/>
      </w:r>
    </w:p>
    <w:p w14:paraId="3ABEBA3F" w14:textId="271B4A11" w:rsidR="008C721C" w:rsidRDefault="008C721C" w:rsidP="008B613D">
      <w:pPr>
        <w:pStyle w:val="Nagwek1"/>
      </w:pPr>
      <w:bookmarkStart w:id="55" w:name="_Toc187745756"/>
      <w:r>
        <w:lastRenderedPageBreak/>
        <w:t xml:space="preserve">Aktualizacja </w:t>
      </w:r>
      <w:r w:rsidRPr="008C721C">
        <w:t>produkt</w:t>
      </w:r>
      <w:r w:rsidR="008E4F8C">
        <w:t>ów</w:t>
      </w:r>
      <w:r w:rsidRPr="008C721C">
        <w:t xml:space="preserve"> finansow</w:t>
      </w:r>
      <w:r w:rsidR="008E4F8C">
        <w:t>ych</w:t>
      </w:r>
      <w:r w:rsidRPr="008C721C">
        <w:t xml:space="preserve"> adresowan</w:t>
      </w:r>
      <w:r w:rsidR="008E4F8C">
        <w:t>ych</w:t>
      </w:r>
      <w:r w:rsidRPr="008C721C">
        <w:t xml:space="preserve"> do docelowych grup odbiorców ostatecznych</w:t>
      </w:r>
      <w:bookmarkEnd w:id="55"/>
    </w:p>
    <w:p w14:paraId="333A480E" w14:textId="212FE0EB" w:rsidR="0041735D" w:rsidRDefault="0041735D" w:rsidP="008B613D">
      <w:pPr>
        <w:pStyle w:val="Nagwek2"/>
      </w:pPr>
      <w:bookmarkStart w:id="56" w:name="_Toc187745757"/>
      <w:r w:rsidRPr="00EC2E32">
        <w:t xml:space="preserve">Analiza </w:t>
      </w:r>
      <w:r w:rsidRPr="00476CBD">
        <w:t xml:space="preserve">modeli wsparcia </w:t>
      </w:r>
      <w:r w:rsidR="00417128" w:rsidRPr="0036003E">
        <w:t>zaproponowanych</w:t>
      </w:r>
      <w:r w:rsidR="00417128" w:rsidRPr="00476CBD">
        <w:t xml:space="preserve"> </w:t>
      </w:r>
      <w:r w:rsidR="00417128">
        <w:t>przez</w:t>
      </w:r>
      <w:r w:rsidRPr="00476CBD">
        <w:t xml:space="preserve"> EBOiR</w:t>
      </w:r>
      <w:bookmarkEnd w:id="56"/>
    </w:p>
    <w:p w14:paraId="446F9D9D" w14:textId="5487CE13" w:rsidR="00256FF2" w:rsidRPr="00417128" w:rsidRDefault="00256FF2" w:rsidP="008B613D">
      <w:pPr>
        <w:pStyle w:val="Nagwek3"/>
      </w:pPr>
      <w:bookmarkStart w:id="57" w:name="_Toc187745758"/>
      <w:r w:rsidRPr="0036003E">
        <w:t xml:space="preserve">Scenariusz dla </w:t>
      </w:r>
      <w:r w:rsidR="00664C7C">
        <w:t>nie-</w:t>
      </w:r>
      <w:proofErr w:type="spellStart"/>
      <w:r w:rsidR="00664C7C">
        <w:t>pjb</w:t>
      </w:r>
      <w:bookmarkEnd w:id="57"/>
      <w:proofErr w:type="spellEnd"/>
    </w:p>
    <w:p w14:paraId="63D0AFE1" w14:textId="162C08E8" w:rsidR="007E299B" w:rsidRPr="00EC2E32" w:rsidRDefault="007E299B" w:rsidP="003745C8">
      <w:pPr>
        <w:jc w:val="both"/>
      </w:pPr>
      <w:r w:rsidRPr="00EC2E32">
        <w:t xml:space="preserve">EBOiR jako pierwszy rekomendowany scenariusz wdrożenia IF zakłada udzielanie przez </w:t>
      </w:r>
      <w:r w:rsidR="00256FF2" w:rsidRPr="008B613D">
        <w:t xml:space="preserve">podmiot </w:t>
      </w:r>
      <w:r w:rsidRPr="008B613D">
        <w:t>wdrażając</w:t>
      </w:r>
      <w:r w:rsidR="00256FF2" w:rsidRPr="008B613D">
        <w:t>y</w:t>
      </w:r>
      <w:r w:rsidRPr="00EC2E32">
        <w:t xml:space="preserve"> IF dla podmiotów sektor</w:t>
      </w:r>
      <w:r w:rsidR="00910D55" w:rsidRPr="00EC2E32">
        <w:t>a</w:t>
      </w:r>
      <w:r w:rsidRPr="00EC2E32">
        <w:t xml:space="preserve"> publicznego </w:t>
      </w:r>
      <w:r w:rsidR="005D0021" w:rsidRPr="008B613D">
        <w:t xml:space="preserve">nie będących </w:t>
      </w:r>
      <w:proofErr w:type="spellStart"/>
      <w:r w:rsidR="005D0021" w:rsidRPr="008B613D">
        <w:t>pjb</w:t>
      </w:r>
      <w:proofErr w:type="spellEnd"/>
      <w:r w:rsidR="005D0021" w:rsidRPr="008B613D">
        <w:t xml:space="preserve">, dalej: </w:t>
      </w:r>
      <w:r w:rsidR="00664C7C">
        <w:rPr>
          <w:b/>
          <w:bCs/>
        </w:rPr>
        <w:t>nie-</w:t>
      </w:r>
      <w:proofErr w:type="spellStart"/>
      <w:r w:rsidR="00664C7C">
        <w:rPr>
          <w:b/>
          <w:bCs/>
        </w:rPr>
        <w:t>pjb</w:t>
      </w:r>
      <w:proofErr w:type="spellEnd"/>
      <w:r w:rsidR="005D0021" w:rsidRPr="008B613D">
        <w:t xml:space="preserve"> (tj. jednostkom prowadzącym samodzielną gospodarkę finansową, w tym m.in. szkołom wyższym lub szpitalom „resortowym”) </w:t>
      </w:r>
      <w:r w:rsidRPr="008B613D">
        <w:t xml:space="preserve">pożyczek </w:t>
      </w:r>
      <w:r w:rsidRPr="00EC2E32">
        <w:t>z rabatem kapitałowym („umorzeniem</w:t>
      </w:r>
      <w:r w:rsidRPr="008B613D">
        <w:t>”</w:t>
      </w:r>
      <w:r w:rsidR="005D0021" w:rsidRPr="008B613D">
        <w:t>, uzależnionym od poziomu oszczędności energii</w:t>
      </w:r>
      <w:r w:rsidRPr="008B613D">
        <w:t>).</w:t>
      </w:r>
      <w:r w:rsidRPr="00EC2E32">
        <w:t xml:space="preserve"> Od strony „organizacyjno-administracyjnej” ten scenariusz nie budzi wątpliwości – NFOŚiGW mógłby pełnić rolę </w:t>
      </w:r>
      <w:r w:rsidR="005D0021" w:rsidRPr="008B613D">
        <w:t xml:space="preserve">podmiotu </w:t>
      </w:r>
      <w:r w:rsidRPr="008B613D">
        <w:t>wdrażając</w:t>
      </w:r>
      <w:r w:rsidR="005D0021" w:rsidRPr="008B613D">
        <w:t>ego</w:t>
      </w:r>
      <w:r w:rsidRPr="00EC2E32">
        <w:t xml:space="preserve"> IF. </w:t>
      </w:r>
      <w:r w:rsidR="00AB6467" w:rsidRPr="00EC2E32">
        <w:t>Co istotne, w</w:t>
      </w:r>
      <w:r w:rsidRPr="00EC2E32">
        <w:t xml:space="preserve"> </w:t>
      </w:r>
      <w:r w:rsidR="00AB6467" w:rsidRPr="00EC2E32">
        <w:t xml:space="preserve">ramach ww. </w:t>
      </w:r>
      <w:r w:rsidRPr="00EC2E32">
        <w:t>scenariusz</w:t>
      </w:r>
      <w:r w:rsidR="00AB6467" w:rsidRPr="00EC2E32">
        <w:t>a</w:t>
      </w:r>
      <w:r w:rsidRPr="00EC2E32">
        <w:t xml:space="preserve"> pożyczka jest spłacana do </w:t>
      </w:r>
      <w:r w:rsidR="00256FF2" w:rsidRPr="008B613D">
        <w:t>podmiotu</w:t>
      </w:r>
      <w:r w:rsidR="00256FF2" w:rsidRPr="008B613D" w:rsidDel="00256FF2">
        <w:t xml:space="preserve"> </w:t>
      </w:r>
      <w:r w:rsidRPr="008B613D">
        <w:t>wdrażające</w:t>
      </w:r>
      <w:r w:rsidR="00256FF2" w:rsidRPr="008B613D">
        <w:t>go</w:t>
      </w:r>
      <w:r w:rsidRPr="00EC2E32">
        <w:t xml:space="preserve"> IF przez beneficjenta</w:t>
      </w:r>
      <w:r w:rsidR="00256FF2" w:rsidRPr="008B613D">
        <w:t xml:space="preserve"> (ostatecznego odbiorcę)</w:t>
      </w:r>
      <w:r w:rsidRPr="008B613D">
        <w:t>,</w:t>
      </w:r>
      <w:r w:rsidRPr="00EC2E32">
        <w:t xml:space="preserve"> </w:t>
      </w:r>
      <w:r w:rsidR="00E5150C">
        <w:br/>
      </w:r>
      <w:r w:rsidRPr="00EC2E32">
        <w:t>a ESCO jest spłaca</w:t>
      </w:r>
      <w:r w:rsidR="00910D55" w:rsidRPr="00EC2E32">
        <w:t>n</w:t>
      </w:r>
      <w:r w:rsidRPr="00EC2E32">
        <w:t xml:space="preserve">y z oszczędności. W opinii NFOŚiGW, potwierdzonej chociażby doświadczeniami </w:t>
      </w:r>
      <w:r w:rsidR="006A3FCE">
        <w:br/>
      </w:r>
      <w:r w:rsidRPr="00EC2E32">
        <w:t xml:space="preserve">z wdrażania </w:t>
      </w:r>
      <w:r w:rsidR="00131F65">
        <w:t>programu</w:t>
      </w:r>
      <w:r w:rsidR="00131F65" w:rsidRPr="008B613D">
        <w:t xml:space="preserve"> </w:t>
      </w:r>
      <w:r w:rsidR="00131F65">
        <w:t>„</w:t>
      </w:r>
      <w:r w:rsidRPr="00EC2E32">
        <w:rPr>
          <w:i/>
        </w:rPr>
        <w:t>Renowacja z gwarancją oszczędności EPC</w:t>
      </w:r>
      <w:r w:rsidRPr="008B613D">
        <w:rPr>
          <w:i/>
        </w:rPr>
        <w:t>+</w:t>
      </w:r>
      <w:r w:rsidR="00131F65">
        <w:t>”</w:t>
      </w:r>
      <w:r w:rsidRPr="008B613D">
        <w:t>,</w:t>
      </w:r>
      <w:r w:rsidRPr="00EC2E32">
        <w:t xml:space="preserve"> zainteresowanie firm ESCO modelem rekomendowanym przez EBOiR może być znikome.</w:t>
      </w:r>
    </w:p>
    <w:p w14:paraId="749645FD" w14:textId="7AD70579" w:rsidR="006F030D" w:rsidRDefault="006F030D" w:rsidP="007E299B">
      <w:pPr>
        <w:jc w:val="both"/>
        <w:rPr>
          <w:sz w:val="24"/>
        </w:rPr>
      </w:pPr>
      <w:r>
        <w:rPr>
          <w:noProof/>
          <w:lang w:eastAsia="pl-PL"/>
        </w:rPr>
        <w:drawing>
          <wp:inline distT="0" distB="0" distL="0" distR="0" wp14:anchorId="05A7BE1C" wp14:editId="381F618D">
            <wp:extent cx="5760720" cy="37001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700145"/>
                    </a:xfrm>
                    <a:prstGeom prst="rect">
                      <a:avLst/>
                    </a:prstGeom>
                  </pic:spPr>
                </pic:pic>
              </a:graphicData>
            </a:graphic>
          </wp:inline>
        </w:drawing>
      </w:r>
    </w:p>
    <w:p w14:paraId="47FB082A" w14:textId="2DDEFFBF" w:rsidR="00256FF2" w:rsidRPr="00256FF2" w:rsidRDefault="00256FF2" w:rsidP="008B613D">
      <w:pPr>
        <w:pStyle w:val="Nagwek3"/>
      </w:pPr>
      <w:bookmarkStart w:id="58" w:name="_Toc187745759"/>
      <w:r w:rsidRPr="00256FF2">
        <w:t xml:space="preserve">Scenariusz dla </w:t>
      </w:r>
      <w:proofErr w:type="spellStart"/>
      <w:r w:rsidRPr="00256FF2">
        <w:t>pjb</w:t>
      </w:r>
      <w:bookmarkEnd w:id="58"/>
      <w:proofErr w:type="spellEnd"/>
    </w:p>
    <w:p w14:paraId="4C94015F" w14:textId="0C915537" w:rsidR="006F030D" w:rsidRPr="00EC2E32" w:rsidRDefault="007E299B" w:rsidP="007E299B">
      <w:pPr>
        <w:jc w:val="both"/>
      </w:pPr>
      <w:r w:rsidRPr="00EC2E32">
        <w:t>EBOiR jako drugi rekomendowany scenariusz zakłada wykorzystanie agregatora/</w:t>
      </w:r>
      <w:proofErr w:type="spellStart"/>
      <w:r w:rsidRPr="00EC2E32">
        <w:t>facylitatora</w:t>
      </w:r>
      <w:proofErr w:type="spellEnd"/>
      <w:r w:rsidRPr="00EC2E32">
        <w:t>, który miałby być beneficjentem środków w ramach IF</w:t>
      </w:r>
      <w:r w:rsidR="00071311" w:rsidRPr="00EC2E32">
        <w:t xml:space="preserve"> </w:t>
      </w:r>
      <w:r w:rsidRPr="00EC2E32">
        <w:t>i pośredniczyć w wyborze i dystrybucji tych środków do firm ESCO realizujących inwestycje w jednostkach publicznych</w:t>
      </w:r>
      <w:r w:rsidR="00256FF2" w:rsidRPr="008B613D">
        <w:rPr>
          <w:sz w:val="20"/>
        </w:rPr>
        <w:t xml:space="preserve"> </w:t>
      </w:r>
      <w:r w:rsidR="00256FF2" w:rsidRPr="008B613D">
        <w:rPr>
          <w:szCs w:val="24"/>
        </w:rPr>
        <w:t>będących</w:t>
      </w:r>
      <w:r w:rsidR="00256FF2" w:rsidRPr="008B613D">
        <w:rPr>
          <w:sz w:val="20"/>
        </w:rPr>
        <w:t xml:space="preserve"> </w:t>
      </w:r>
      <w:proofErr w:type="spellStart"/>
      <w:r w:rsidR="00256FF2" w:rsidRPr="008B613D">
        <w:t>pjb</w:t>
      </w:r>
      <w:proofErr w:type="spellEnd"/>
      <w:r w:rsidR="00256FF2" w:rsidRPr="008B613D">
        <w:t xml:space="preserve"> (tj. jednostkach pokrywających swoje wydatki bezpośrednio z budżetu państwa, a pobrane dochody odprowadzających na rachunek dochodów budżetu państwa. Podmioty te de facto nie mogą zaciągać samodzielnie zobowiązań finansowych, to m.in. urzędy, komendy policji, zakłady karne)</w:t>
      </w:r>
      <w:r w:rsidRPr="008B613D">
        <w:t xml:space="preserve">. </w:t>
      </w:r>
      <w:r w:rsidR="00256FF2" w:rsidRPr="008B613D">
        <w:t xml:space="preserve">NFOŚiGW jako agregator miałby być stroną umowy EPC z </w:t>
      </w:r>
      <w:proofErr w:type="spellStart"/>
      <w:r w:rsidR="00256FF2" w:rsidRPr="008B613D">
        <w:t>pjb</w:t>
      </w:r>
      <w:proofErr w:type="spellEnd"/>
      <w:r w:rsidR="00256FF2" w:rsidRPr="008B613D">
        <w:t xml:space="preserve">, czyli gwarantować oszczędności, jak również wybierać </w:t>
      </w:r>
      <w:r w:rsidR="00256FF2" w:rsidRPr="008B613D">
        <w:lastRenderedPageBreak/>
        <w:t xml:space="preserve">ESCO/wykonawców do realizacji inwestycji </w:t>
      </w:r>
      <w:proofErr w:type="spellStart"/>
      <w:r w:rsidR="00256FF2" w:rsidRPr="008B613D">
        <w:t>pjb</w:t>
      </w:r>
      <w:proofErr w:type="spellEnd"/>
      <w:r w:rsidR="00256FF2" w:rsidRPr="008B613D">
        <w:t>.</w:t>
      </w:r>
      <w:r w:rsidR="00256FF2" w:rsidRPr="00EC2E32">
        <w:t xml:space="preserve"> </w:t>
      </w:r>
      <w:r w:rsidRPr="00EC2E32">
        <w:t>Rozwiązanie takie budzi również zastrzeżenia od strony organizacyjno</w:t>
      </w:r>
      <w:r w:rsidR="00910D55" w:rsidRPr="00EC2E32">
        <w:t>-</w:t>
      </w:r>
      <w:r w:rsidRPr="00EC2E32">
        <w:t xml:space="preserve">administracyjnej. </w:t>
      </w:r>
    </w:p>
    <w:p w14:paraId="324D135B" w14:textId="67BBE72A" w:rsidR="00DB0D06" w:rsidRDefault="007E299B" w:rsidP="00DB0D06">
      <w:pPr>
        <w:jc w:val="both"/>
      </w:pPr>
      <w:r w:rsidRPr="00EC2E32">
        <w:t xml:space="preserve">Zakładany w </w:t>
      </w:r>
      <w:r w:rsidR="007F1AFF" w:rsidRPr="00EC2E32">
        <w:t>a</w:t>
      </w:r>
      <w:r w:rsidRPr="00EC2E32">
        <w:t xml:space="preserve">nalizie </w:t>
      </w:r>
      <w:r w:rsidR="007F1AFF" w:rsidRPr="00EC2E32">
        <w:t>ex-</w:t>
      </w:r>
      <w:proofErr w:type="spellStart"/>
      <w:r w:rsidRPr="00EC2E32">
        <w:t>ante</w:t>
      </w:r>
      <w:proofErr w:type="spellEnd"/>
      <w:r w:rsidRPr="00EC2E32">
        <w:t xml:space="preserve"> EBOiR wybór jednego agregatora dla całego instrumentu finansowego </w:t>
      </w:r>
      <w:r w:rsidR="006A3FCE">
        <w:br/>
      </w:r>
      <w:r w:rsidRPr="00EC2E32">
        <w:t xml:space="preserve">z punktu widzenia </w:t>
      </w:r>
      <w:r w:rsidRPr="008B613D">
        <w:t>NFO</w:t>
      </w:r>
      <w:r w:rsidR="00C36969" w:rsidRPr="008B613D">
        <w:t>Ś</w:t>
      </w:r>
      <w:r w:rsidRPr="008B613D">
        <w:t>iGW</w:t>
      </w:r>
      <w:r w:rsidRPr="00EC2E32">
        <w:t xml:space="preserve"> jest modelem trudnym do wdrożenia w świetle przepisów P</w:t>
      </w:r>
      <w:r w:rsidR="007F1AFF" w:rsidRPr="00EC2E32">
        <w:t xml:space="preserve">rawa </w:t>
      </w:r>
      <w:r w:rsidRPr="00EC2E32">
        <w:t>O</w:t>
      </w:r>
      <w:r w:rsidR="007F1AFF" w:rsidRPr="00EC2E32">
        <w:t xml:space="preserve">chrony </w:t>
      </w:r>
      <w:r w:rsidRPr="00EC2E32">
        <w:t>Ś</w:t>
      </w:r>
      <w:r w:rsidR="007F1AFF" w:rsidRPr="00EC2E32">
        <w:t>rodowiska</w:t>
      </w:r>
      <w:r w:rsidRPr="00EC2E32">
        <w:t xml:space="preserve"> oraz konieczności stosowania procedur zamówie</w:t>
      </w:r>
      <w:r w:rsidR="005C7677" w:rsidRPr="00EC2E32">
        <w:t>ń</w:t>
      </w:r>
      <w:r w:rsidRPr="00EC2E32">
        <w:t xml:space="preserve"> publicznych przy wyborze ESCO do realizacji inwestycji. Zasadne wydaje się, aby wybór roli </w:t>
      </w:r>
      <w:proofErr w:type="spellStart"/>
      <w:r w:rsidRPr="00EC2E32">
        <w:t>facylitatora</w:t>
      </w:r>
      <w:proofErr w:type="spellEnd"/>
      <w:r w:rsidRPr="00EC2E32">
        <w:t xml:space="preserve"> dokonywał się w ramach kosztów kwalifikowanych dla beneficjenta. Wtedy </w:t>
      </w:r>
      <w:proofErr w:type="spellStart"/>
      <w:r w:rsidRPr="00EC2E32">
        <w:t>facylitator</w:t>
      </w:r>
      <w:proofErr w:type="spellEnd"/>
      <w:r w:rsidRPr="00EC2E32">
        <w:t xml:space="preserve"> wybierany będzie przez potencjalnych wnioskodawców w każdym z projektów indywidualnie. Tylko wtedy </w:t>
      </w:r>
      <w:proofErr w:type="spellStart"/>
      <w:r w:rsidRPr="00EC2E32">
        <w:t>facylitator</w:t>
      </w:r>
      <w:proofErr w:type="spellEnd"/>
      <w:r w:rsidRPr="00EC2E32">
        <w:t xml:space="preserve"> w każdym przypadku będzie mógł pełnić dokładnie funkcję dopasowaną do projektu i jednoznacznie wycenioną rolę wypełniającą konkretne zadanie dla konkretnego przedsięwzięcia w określonym czasie</w:t>
      </w:r>
      <w:r w:rsidR="00910D55" w:rsidRPr="00EC2E32">
        <w:t>,</w:t>
      </w:r>
      <w:r w:rsidRPr="00EC2E32">
        <w:t xml:space="preserve"> w tym wesprzeć beneficjentów końcowych w wyborze firmy ESCO</w:t>
      </w:r>
      <w:r w:rsidR="00004980">
        <w:t>.</w:t>
      </w:r>
      <w:r w:rsidR="00DB0D06">
        <w:t xml:space="preserve"> </w:t>
      </w:r>
      <w:r w:rsidR="00004980">
        <w:t>N</w:t>
      </w:r>
      <w:r w:rsidR="00DB0D06">
        <w:t>ie jest możliwe pełnienie</w:t>
      </w:r>
      <w:r w:rsidR="00DB0D06" w:rsidRPr="00613FFC">
        <w:t xml:space="preserve"> </w:t>
      </w:r>
      <w:r w:rsidR="00DB0D06">
        <w:t xml:space="preserve">przez </w:t>
      </w:r>
      <w:r w:rsidR="00004980">
        <w:t>NFO</w:t>
      </w:r>
      <w:r w:rsidR="00E25E76">
        <w:t>Ś</w:t>
      </w:r>
      <w:r w:rsidR="00004980">
        <w:t>iGW</w:t>
      </w:r>
      <w:r w:rsidR="00DB0D06">
        <w:t xml:space="preserve"> </w:t>
      </w:r>
      <w:r w:rsidR="00DB0D06" w:rsidRPr="00613FFC">
        <w:t xml:space="preserve">wszelkich zaproponowanych obowiązków Agregatora (przynajmniej w zakładanym horyzoncie czasowym do końca 2027) zaplanowanych w </w:t>
      </w:r>
      <w:r w:rsidR="00DB0D06">
        <w:t>analizie ex-</w:t>
      </w:r>
      <w:proofErr w:type="spellStart"/>
      <w:r w:rsidR="00DB0D06">
        <w:t>ante</w:t>
      </w:r>
      <w:proofErr w:type="spellEnd"/>
      <w:r w:rsidR="00DB0D06">
        <w:t xml:space="preserve"> EBO</w:t>
      </w:r>
      <w:r w:rsidR="00004980">
        <w:t>i</w:t>
      </w:r>
      <w:r w:rsidR="00DB0D06">
        <w:t>R</w:t>
      </w:r>
      <w:r w:rsidR="00DB0D06" w:rsidRPr="00613FFC">
        <w:t xml:space="preserve">. </w:t>
      </w:r>
      <w:r w:rsidR="00DB0D06">
        <w:t xml:space="preserve"> NFOŚiGW przeprowadził analizę prawną, która potwierdza, iż rola Agregatora - NFOŚiGW względem PJB, nie może być obecnie realizowana</w:t>
      </w:r>
      <w:r w:rsidR="00E25E76">
        <w:t>.</w:t>
      </w:r>
      <w:r w:rsidR="00DB0D06">
        <w:t xml:space="preserve"> </w:t>
      </w:r>
      <w:r w:rsidR="00E25E76">
        <w:t xml:space="preserve">Wynika to </w:t>
      </w:r>
      <w:r w:rsidR="00DB0D06">
        <w:t>zarówno ze względu na zakres działań podmiotu wdrażającego instrument finansowy, który opisany jest w aktualnych przepisach i porozumieniach, a także ze względu na brak możliwości (</w:t>
      </w:r>
      <w:r w:rsidR="00E25E76">
        <w:t xml:space="preserve">w związku </w:t>
      </w:r>
      <w:r w:rsidR="006A3FCE">
        <w:br/>
      </w:r>
      <w:r w:rsidR="00E25E76">
        <w:t>z</w:t>
      </w:r>
      <w:r w:rsidR="00DB0D06">
        <w:t xml:space="preserve"> polski</w:t>
      </w:r>
      <w:r w:rsidR="00E25E76">
        <w:t>mi</w:t>
      </w:r>
      <w:r w:rsidR="00DB0D06">
        <w:t xml:space="preserve"> przepis</w:t>
      </w:r>
      <w:r w:rsidR="00E25E76">
        <w:t>ami</w:t>
      </w:r>
      <w:r w:rsidR="00DB0D06">
        <w:t>) występowania przez NFOŚiGW w roli pośrednika między państwowymi jednostkami budżetowymi a firmami ESCO</w:t>
      </w:r>
      <w:r w:rsidR="00004980">
        <w:t>.</w:t>
      </w:r>
    </w:p>
    <w:p w14:paraId="5C94C14D" w14:textId="10AFCC0F" w:rsidR="00F65688" w:rsidRDefault="00004980" w:rsidP="00F65688">
      <w:pPr>
        <w:jc w:val="both"/>
      </w:pPr>
      <w:r>
        <w:t>Należy zwrócić</w:t>
      </w:r>
      <w:r w:rsidR="00F65688" w:rsidRPr="00613FFC">
        <w:t xml:space="preserve"> uwagę, że ww. działania nie mogą być realizowane równolegle, tylko następująco po sobie. Pewnym jest, że pełna gotowość operacyjna planowanej jednostki HERO, przy założeniu, że zostaną wdrożone odpowiednie zamiany w legislacji (na które MFiPR nie ma bezpośrednio żadnego wpływu) może zostać osiągnięta najwcześniej w 2025 - 2026 roku. Przystępując najwcześniej w 2025 - 2026 roku do działań związanych z wyborem projektów, podpisaniem stosownych porozumień </w:t>
      </w:r>
      <w:r w:rsidR="006A3FCE">
        <w:br/>
      </w:r>
      <w:r w:rsidR="00F65688" w:rsidRPr="00613FFC">
        <w:t xml:space="preserve">z wybranymi przedstawicielami PJB, wyborem </w:t>
      </w:r>
      <w:proofErr w:type="spellStart"/>
      <w:r w:rsidR="00F65688" w:rsidRPr="00613FFC">
        <w:t>facylitatora</w:t>
      </w:r>
      <w:proofErr w:type="spellEnd"/>
      <w:r w:rsidR="00F65688" w:rsidRPr="00613FFC">
        <w:t xml:space="preserve"> zgodnie z PZP, wyborem firmy ESCO zgodnie z PZP, podpisaniem stosownych umów na realizację i zarządzanie energią z potencjalnymi firmami ESCO, wysoce prawdopodobne jest, że żadna umowa ESCO dla beneficjenta: PJB, nie zostanie podpisana w najbliższej perspektywie </w:t>
      </w:r>
      <w:proofErr w:type="spellStart"/>
      <w:r w:rsidR="00F65688" w:rsidRPr="00613FFC">
        <w:t>FENi</w:t>
      </w:r>
      <w:r w:rsidR="00DF2C31">
        <w:t>KS</w:t>
      </w:r>
      <w:proofErr w:type="spellEnd"/>
      <w:r w:rsidR="00F65688" w:rsidRPr="00613FFC">
        <w:t xml:space="preserve">. </w:t>
      </w:r>
    </w:p>
    <w:p w14:paraId="7EB74859" w14:textId="0FB834E3" w:rsidR="00116DA9" w:rsidRDefault="00116DA9" w:rsidP="00F65688">
      <w:pPr>
        <w:jc w:val="both"/>
      </w:pPr>
      <w:r>
        <w:t xml:space="preserve">Wydaje się natomiast, że NFOŚiGW może realizować część zadań Agregatora w zakresie zapewnienia standaryzacji poprzez wykorzystanie w naborach FEnIKS dokumentów i standardów wypracowanych w ramach już wdrażanych programów np. </w:t>
      </w:r>
      <w:r w:rsidRPr="00EC2E32">
        <w:t>„</w:t>
      </w:r>
      <w:r w:rsidRPr="00EC2E32">
        <w:rPr>
          <w:i/>
        </w:rPr>
        <w:t xml:space="preserve">Renowacja z gwarancją oszczędności EPC (Energy Performance </w:t>
      </w:r>
      <w:proofErr w:type="spellStart"/>
      <w:r w:rsidRPr="00EC2E32">
        <w:rPr>
          <w:i/>
        </w:rPr>
        <w:t>Contract</w:t>
      </w:r>
      <w:proofErr w:type="spellEnd"/>
      <w:r w:rsidRPr="00EC2E32">
        <w:rPr>
          <w:i/>
        </w:rPr>
        <w:t>) Plus</w:t>
      </w:r>
      <w:r w:rsidRPr="00EC2E32">
        <w:t>”</w:t>
      </w:r>
      <w:r>
        <w:t>.</w:t>
      </w:r>
    </w:p>
    <w:p w14:paraId="0AAB8F39" w14:textId="77777777" w:rsidR="00CB4090" w:rsidRPr="00A926A4" w:rsidRDefault="00CB4090" w:rsidP="00CB4090">
      <w:pPr>
        <w:pStyle w:val="NormalnyWeb"/>
        <w:rPr>
          <w:rFonts w:asciiTheme="minorHAnsi" w:eastAsiaTheme="minorHAnsi" w:hAnsiTheme="minorHAnsi" w:cstheme="minorBidi"/>
          <w:kern w:val="2"/>
          <w:sz w:val="22"/>
          <w:szCs w:val="22"/>
          <w:lang w:eastAsia="en-US"/>
          <w14:ligatures w14:val="standardContextual"/>
        </w:rPr>
      </w:pPr>
      <w:r w:rsidRPr="00A926A4">
        <w:rPr>
          <w:rFonts w:asciiTheme="minorHAnsi" w:eastAsiaTheme="minorHAnsi" w:hAnsiTheme="minorHAnsi" w:cstheme="minorBidi"/>
          <w:kern w:val="2"/>
          <w:sz w:val="22"/>
          <w:szCs w:val="22"/>
          <w:lang w:eastAsia="en-US"/>
          <w14:ligatures w14:val="standardContextual"/>
        </w:rPr>
        <w:t>Dodatkową rolą NFOŚiGW którą mógłby pełnić to:</w:t>
      </w:r>
    </w:p>
    <w:p w14:paraId="72A23AFF" w14:textId="77777777" w:rsidR="00CB4090" w:rsidRPr="00A926A4" w:rsidRDefault="00CB4090" w:rsidP="00CB4090">
      <w:pPr>
        <w:pStyle w:val="NormalnyWeb"/>
        <w:rPr>
          <w:rFonts w:asciiTheme="minorHAnsi" w:eastAsiaTheme="minorHAnsi" w:hAnsiTheme="minorHAnsi" w:cstheme="minorBidi"/>
          <w:kern w:val="2"/>
          <w:sz w:val="22"/>
          <w:szCs w:val="22"/>
          <w:lang w:eastAsia="en-US"/>
          <w14:ligatures w14:val="standardContextual"/>
        </w:rPr>
      </w:pPr>
      <w:r w:rsidRPr="00A926A4">
        <w:rPr>
          <w:rFonts w:asciiTheme="minorHAnsi" w:eastAsiaTheme="minorHAnsi" w:hAnsiTheme="minorHAnsi" w:cstheme="minorBidi"/>
          <w:kern w:val="2"/>
          <w:sz w:val="22"/>
          <w:szCs w:val="22"/>
          <w:lang w:eastAsia="en-US"/>
          <w14:ligatures w14:val="standardContextual"/>
        </w:rPr>
        <w:t>1) opracowywanie/modyfikowanie już stworzonych dokumentów i wzorów Umów ESCO/EPC, próby standaryzacji podstawowych pojęć, definicji, procedur i dokumentów itp.</w:t>
      </w:r>
    </w:p>
    <w:p w14:paraId="54BE38CE" w14:textId="77777777" w:rsidR="00CB4090" w:rsidRPr="00A926A4" w:rsidRDefault="00CB4090" w:rsidP="00CB4090">
      <w:pPr>
        <w:pStyle w:val="NormalnyWeb"/>
        <w:rPr>
          <w:rFonts w:asciiTheme="minorHAnsi" w:eastAsiaTheme="minorHAnsi" w:hAnsiTheme="minorHAnsi" w:cstheme="minorBidi"/>
          <w:kern w:val="2"/>
          <w:sz w:val="22"/>
          <w:szCs w:val="22"/>
          <w:lang w:eastAsia="en-US"/>
          <w14:ligatures w14:val="standardContextual"/>
        </w:rPr>
      </w:pPr>
      <w:r w:rsidRPr="00A926A4">
        <w:rPr>
          <w:rFonts w:asciiTheme="minorHAnsi" w:eastAsiaTheme="minorHAnsi" w:hAnsiTheme="minorHAnsi" w:cstheme="minorBidi"/>
          <w:kern w:val="2"/>
          <w:sz w:val="22"/>
          <w:szCs w:val="22"/>
          <w:lang w:eastAsia="en-US"/>
          <w14:ligatures w14:val="standardContextual"/>
        </w:rPr>
        <w:t>2) zbieranie i cykliczne raportowanie doświadczeń w formie tzw. „dobrych praktyk”,</w:t>
      </w:r>
    </w:p>
    <w:p w14:paraId="20960D88" w14:textId="77777777" w:rsidR="00CB4090" w:rsidRPr="00A926A4" w:rsidRDefault="00CB4090" w:rsidP="00CB4090">
      <w:pPr>
        <w:pStyle w:val="NormalnyWeb"/>
        <w:rPr>
          <w:rFonts w:asciiTheme="minorHAnsi" w:eastAsiaTheme="minorHAnsi" w:hAnsiTheme="minorHAnsi" w:cstheme="minorBidi"/>
          <w:kern w:val="2"/>
          <w:sz w:val="22"/>
          <w:szCs w:val="22"/>
          <w:lang w:eastAsia="en-US"/>
          <w14:ligatures w14:val="standardContextual"/>
        </w:rPr>
      </w:pPr>
      <w:r w:rsidRPr="00A926A4">
        <w:rPr>
          <w:rFonts w:asciiTheme="minorHAnsi" w:eastAsiaTheme="minorHAnsi" w:hAnsiTheme="minorHAnsi" w:cstheme="minorBidi"/>
          <w:kern w:val="2"/>
          <w:sz w:val="22"/>
          <w:szCs w:val="22"/>
          <w:lang w:eastAsia="en-US"/>
          <w14:ligatures w14:val="standardContextual"/>
        </w:rPr>
        <w:t>3) tworzenie cyklicznej platformy spotkań dla potencjalnych Beneficjentów i potencjalnych firm ESCO z prezentowaniem doświadczeń z wdrażania poszczególnych projektów.</w:t>
      </w:r>
    </w:p>
    <w:p w14:paraId="28D190A1" w14:textId="77777777" w:rsidR="00CB4090" w:rsidRPr="00613FFC" w:rsidRDefault="00CB4090" w:rsidP="00F65688">
      <w:pPr>
        <w:jc w:val="both"/>
      </w:pPr>
    </w:p>
    <w:p w14:paraId="30A29D0E" w14:textId="7B999B93" w:rsidR="007E299B" w:rsidRPr="00EC2E32" w:rsidRDefault="007E299B" w:rsidP="007E299B">
      <w:pPr>
        <w:jc w:val="both"/>
      </w:pPr>
    </w:p>
    <w:p w14:paraId="342833E7" w14:textId="5DA76B94" w:rsidR="00FC5500" w:rsidRPr="002401D9" w:rsidRDefault="007E299B" w:rsidP="002401D9">
      <w:pPr>
        <w:rPr>
          <w:color w:val="1F497D"/>
        </w:rPr>
      </w:pPr>
      <w:r>
        <w:rPr>
          <w:color w:val="1F497D"/>
        </w:rPr>
        <w:lastRenderedPageBreak/>
        <w:t> </w:t>
      </w:r>
      <w:r w:rsidR="006F030D">
        <w:rPr>
          <w:noProof/>
          <w:lang w:eastAsia="pl-PL"/>
        </w:rPr>
        <w:drawing>
          <wp:inline distT="0" distB="0" distL="0" distR="0" wp14:anchorId="1EEDAE51" wp14:editId="34ACA17F">
            <wp:extent cx="5760720" cy="356616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566160"/>
                    </a:xfrm>
                    <a:prstGeom prst="rect">
                      <a:avLst/>
                    </a:prstGeom>
                  </pic:spPr>
                </pic:pic>
              </a:graphicData>
            </a:graphic>
          </wp:inline>
        </w:drawing>
      </w:r>
    </w:p>
    <w:p w14:paraId="1E1B0609" w14:textId="05B848E2" w:rsidR="008C721C" w:rsidRDefault="008C721C" w:rsidP="00476CBD">
      <w:pPr>
        <w:spacing w:line="276" w:lineRule="auto"/>
        <w:jc w:val="both"/>
        <w:rPr>
          <w:b/>
          <w:sz w:val="24"/>
        </w:rPr>
      </w:pPr>
    </w:p>
    <w:p w14:paraId="1A3C5441" w14:textId="41DBE62B" w:rsidR="00476CBD" w:rsidRPr="00EC2E32" w:rsidRDefault="0036003E" w:rsidP="00EC2E32">
      <w:pPr>
        <w:pStyle w:val="Nagwek2"/>
      </w:pPr>
      <w:bookmarkStart w:id="59" w:name="_Analiza_zarządcza_doświadczeń"/>
      <w:bookmarkStart w:id="60" w:name="_Toc187745760"/>
      <w:bookmarkEnd w:id="59"/>
      <w:r>
        <w:t>A</w:t>
      </w:r>
      <w:r w:rsidR="00476CBD" w:rsidRPr="00936FD1">
        <w:t xml:space="preserve">naliza </w:t>
      </w:r>
      <w:r>
        <w:t>zarządcza</w:t>
      </w:r>
      <w:r w:rsidRPr="00EC2E32">
        <w:t xml:space="preserve"> </w:t>
      </w:r>
      <w:r w:rsidR="00476CBD" w:rsidRPr="00EC2E32">
        <w:t xml:space="preserve">doświadczeń z dotychczasowego wdrażania modelu </w:t>
      </w:r>
      <w:r w:rsidR="00AD3429">
        <w:t>EPC/</w:t>
      </w:r>
      <w:r w:rsidR="00476CBD" w:rsidRPr="00EC2E32">
        <w:t>ESCO w ramach Funduszu Modernizacyjnego przez NFOŚiGW.</w:t>
      </w:r>
      <w:bookmarkEnd w:id="60"/>
    </w:p>
    <w:p w14:paraId="17790979" w14:textId="30227972" w:rsidR="00476CBD" w:rsidRPr="00EC2E32" w:rsidRDefault="00476CBD" w:rsidP="00476CBD">
      <w:pPr>
        <w:spacing w:line="276" w:lineRule="auto"/>
        <w:jc w:val="both"/>
        <w:rPr>
          <w:b/>
        </w:rPr>
      </w:pPr>
      <w:r w:rsidRPr="00EC2E32">
        <w:t xml:space="preserve">NFOŚiGW opracował na potrzeby </w:t>
      </w:r>
      <w:r w:rsidR="007737CB">
        <w:t>pierwszego</w:t>
      </w:r>
      <w:r w:rsidR="003B6EC7">
        <w:t xml:space="preserve"> </w:t>
      </w:r>
      <w:r w:rsidRPr="00EC2E32">
        <w:t>naboru w ramach Funduszu Modernizacyjnego program dedykowany wsparciu termomodernizacji w modelu EPC</w:t>
      </w:r>
      <w:r w:rsidR="00AD3429">
        <w:t>/ESCO</w:t>
      </w:r>
      <w:r w:rsidRPr="00EC2E32">
        <w:t>: „</w:t>
      </w:r>
      <w:r w:rsidRPr="00EC2E32">
        <w:rPr>
          <w:i/>
        </w:rPr>
        <w:t xml:space="preserve">Renowacja z gwarancją oszczędności EPC (Energy Performance </w:t>
      </w:r>
      <w:proofErr w:type="spellStart"/>
      <w:r w:rsidRPr="00EC2E32">
        <w:rPr>
          <w:i/>
        </w:rPr>
        <w:t>Contract</w:t>
      </w:r>
      <w:proofErr w:type="spellEnd"/>
      <w:r w:rsidRPr="00EC2E32">
        <w:rPr>
          <w:i/>
        </w:rPr>
        <w:t>) Plus</w:t>
      </w:r>
      <w:r w:rsidRPr="00EC2E32">
        <w:t>”.</w:t>
      </w:r>
      <w:r w:rsidR="00C336A4" w:rsidRPr="008B613D">
        <w:rPr>
          <w:rStyle w:val="Odwoanieprzypisudolnego"/>
          <w:bCs/>
        </w:rPr>
        <w:footnoteReference w:id="4"/>
      </w:r>
      <w:r w:rsidR="00A10CCA">
        <w:t xml:space="preserve"> Ten program został zaktualizowany w 2024 na potrzeby przeprowadzenia </w:t>
      </w:r>
      <w:r w:rsidR="007737CB">
        <w:t>drugiego</w:t>
      </w:r>
      <w:r w:rsidR="00A10CCA">
        <w:t xml:space="preserve"> naboru,</w:t>
      </w:r>
      <w:r w:rsidR="006B72BF">
        <w:t xml:space="preserve"> który trwa od 29.01.2024</w:t>
      </w:r>
      <w:r w:rsidR="00A10CCA">
        <w:t xml:space="preserve"> </w:t>
      </w:r>
      <w:r w:rsidR="006B72BF">
        <w:t>do</w:t>
      </w:r>
      <w:r w:rsidR="00A10CCA">
        <w:t xml:space="preserve"> 17.01.2025</w:t>
      </w:r>
      <w:r w:rsidR="001D7C56">
        <w:t>, lub do wyczerpania alokacji dostępnych środków.</w:t>
      </w:r>
    </w:p>
    <w:p w14:paraId="4F828345" w14:textId="22167524" w:rsidR="00976F3D" w:rsidRDefault="00BF0B1A" w:rsidP="00476CBD">
      <w:pPr>
        <w:spacing w:line="276" w:lineRule="auto"/>
        <w:jc w:val="both"/>
      </w:pPr>
      <w:r>
        <w:t xml:space="preserve">Na ostateczny kształt zapisów programowych i zapisów technicznych programu wpłynęły rozmowy przeprowadzone z potencjalnymi Beneficjentami oraz potencjalnymi firmami ESCO, jak również doświadczenia z </w:t>
      </w:r>
      <w:r w:rsidR="003B6EC7">
        <w:t xml:space="preserve">przeprowadzenia </w:t>
      </w:r>
      <w:r>
        <w:t>pierwszego naboru.</w:t>
      </w:r>
      <w:r w:rsidR="00BA46FC">
        <w:t xml:space="preserve"> W ocenie NFOŚiGW dotychczasowe </w:t>
      </w:r>
      <w:r w:rsidR="00771768">
        <w:t>z</w:t>
      </w:r>
      <w:r w:rsidR="00BA46FC">
        <w:t xml:space="preserve">dobyte doświadczenia i  wnioski z wdrażania </w:t>
      </w:r>
      <w:r w:rsidR="00976F3D">
        <w:t xml:space="preserve">powyższego programu </w:t>
      </w:r>
      <w:r w:rsidR="00771768">
        <w:t>powinny być uwzględnione w procesie tworzenia nowych instrumentów wsparcia</w:t>
      </w:r>
      <w:r w:rsidR="00976F3D">
        <w:t xml:space="preserve"> </w:t>
      </w:r>
      <w:r w:rsidR="00771768">
        <w:t xml:space="preserve"> </w:t>
      </w:r>
      <w:r w:rsidR="00976F3D">
        <w:t>w formule EPC</w:t>
      </w:r>
      <w:r w:rsidR="00AD3429">
        <w:t>/ESCO</w:t>
      </w:r>
      <w:r w:rsidR="00976F3D">
        <w:t>.</w:t>
      </w:r>
    </w:p>
    <w:p w14:paraId="18A9BE6A" w14:textId="4DCA06E2" w:rsidR="00F0628B" w:rsidRDefault="00F0628B" w:rsidP="00417568">
      <w:pPr>
        <w:pStyle w:val="Nagwek3"/>
      </w:pPr>
      <w:bookmarkStart w:id="61" w:name="_Toc187745761"/>
      <w:r>
        <w:t>Doświadczenia z dotychczasowego wdrażania modelu EPC/ESCO</w:t>
      </w:r>
      <w:bookmarkEnd w:id="61"/>
    </w:p>
    <w:p w14:paraId="215AADE4" w14:textId="7EFAE45F" w:rsidR="0051233E" w:rsidRDefault="0051233E" w:rsidP="00476CBD">
      <w:pPr>
        <w:spacing w:line="276" w:lineRule="auto"/>
        <w:jc w:val="both"/>
      </w:pPr>
      <w:r>
        <w:t>Dotychczasowe doświadczenia</w:t>
      </w:r>
      <w:r w:rsidR="00A404A8">
        <w:t xml:space="preserve"> </w:t>
      </w:r>
      <w:r w:rsidR="00A404A8" w:rsidRPr="00A404A8">
        <w:t>związane z realizacją modernizacji budynków w</w:t>
      </w:r>
      <w:r w:rsidR="00AD3429">
        <w:t xml:space="preserve"> ww.</w:t>
      </w:r>
      <w:r w:rsidR="00A404A8" w:rsidRPr="00A404A8">
        <w:t xml:space="preserve"> formule</w:t>
      </w:r>
      <w:r>
        <w:t xml:space="preserve"> z </w:t>
      </w:r>
      <w:r w:rsidR="00307E96">
        <w:t>II</w:t>
      </w:r>
      <w:r w:rsidR="001D7C56">
        <w:t xml:space="preserve"> </w:t>
      </w:r>
      <w:r>
        <w:t xml:space="preserve">naboru </w:t>
      </w:r>
      <w:r w:rsidRPr="00EC2E32">
        <w:t>„</w:t>
      </w:r>
      <w:r w:rsidRPr="00EC2E32">
        <w:rPr>
          <w:i/>
        </w:rPr>
        <w:t xml:space="preserve">Renowacja z gwarancją oszczędności EPC (Energy Performance </w:t>
      </w:r>
      <w:proofErr w:type="spellStart"/>
      <w:r w:rsidRPr="00EC2E32">
        <w:rPr>
          <w:i/>
        </w:rPr>
        <w:t>Contract</w:t>
      </w:r>
      <w:proofErr w:type="spellEnd"/>
      <w:r w:rsidRPr="00EC2E32">
        <w:rPr>
          <w:i/>
        </w:rPr>
        <w:t>) Plus</w:t>
      </w:r>
      <w:r w:rsidRPr="00EC2E32">
        <w:t>”</w:t>
      </w:r>
      <w:r w:rsidR="001D7C56">
        <w:t xml:space="preserve"> (b</w:t>
      </w:r>
      <w:r w:rsidR="001D7C56" w:rsidRPr="001D7C56">
        <w:t>udżet</w:t>
      </w:r>
      <w:r w:rsidR="001D7C56">
        <w:t>:</w:t>
      </w:r>
      <w:r w:rsidR="001D7C56" w:rsidRPr="001D7C56">
        <w:t xml:space="preserve"> </w:t>
      </w:r>
      <w:r w:rsidR="001D7C56">
        <w:t xml:space="preserve">ok. </w:t>
      </w:r>
      <w:r w:rsidR="001D7C56" w:rsidRPr="001D7C56">
        <w:t>110 mln zł</w:t>
      </w:r>
      <w:r w:rsidR="001D7C56">
        <w:t xml:space="preserve"> - </w:t>
      </w:r>
      <w:r w:rsidR="001D7C56" w:rsidRPr="001D7C56">
        <w:t>gdzie planowane dofinansowanie jest dotacyjne do 49% planowanych oszczędności energii końcowej,</w:t>
      </w:r>
      <w:r w:rsidR="001D7C56">
        <w:t xml:space="preserve"> a</w:t>
      </w:r>
      <w:r w:rsidR="001D7C56" w:rsidRPr="001D7C56">
        <w:t xml:space="preserve"> pozostałe środki ma zapewnić firma ESCO</w:t>
      </w:r>
      <w:r w:rsidR="001D7C56">
        <w:t>)</w:t>
      </w:r>
      <w:r>
        <w:t>:</w:t>
      </w:r>
    </w:p>
    <w:p w14:paraId="13D827FF" w14:textId="66669E62" w:rsidR="005B250A" w:rsidRDefault="005B250A" w:rsidP="00EB62DD">
      <w:pPr>
        <w:pStyle w:val="Akapitzlist"/>
        <w:numPr>
          <w:ilvl w:val="0"/>
          <w:numId w:val="38"/>
        </w:numPr>
        <w:spacing w:line="276" w:lineRule="auto"/>
        <w:jc w:val="both"/>
      </w:pPr>
      <w:r>
        <w:lastRenderedPageBreak/>
        <w:t>zainteresowanie potencjalnych wnioskodawców inwestycją w tej formule (szczególnie jednost</w:t>
      </w:r>
      <w:r w:rsidR="004C3EB1">
        <w:t>ek</w:t>
      </w:r>
      <w:r>
        <w:t xml:space="preserve"> samorządu terytorialnego) jest wysokie, złożono kilkadziesiąt wniosków uproszczonych (tzw. fiszki – określające szacowany potencjał przedsięwzięcia) na dofinansowanie w granicach budżetu naboru – w tym: wspólnoty mieszkaniowe na budynki wielorodzinne oraz duże projekty na modernizację budynków użyteczności publicznej realizowanych przez jednostki samorządu terytorialnego (</w:t>
      </w:r>
      <w:proofErr w:type="spellStart"/>
      <w:r>
        <w:t>jst</w:t>
      </w:r>
      <w:proofErr w:type="spellEnd"/>
      <w:r>
        <w:t xml:space="preserve">) – mocno zainteresowanych tą formułą realizacji inwestycji w formie sprawdzenia modelu na własnych zasobach budynkowych (w tym: miasto Gdańsk, Koszalin, Szczecin, Warszawa, Łódź, Olsztyn itp.). </w:t>
      </w:r>
    </w:p>
    <w:p w14:paraId="66830C45" w14:textId="447049F6" w:rsidR="005B250A" w:rsidRDefault="005B250A" w:rsidP="00EB62DD">
      <w:pPr>
        <w:pStyle w:val="Akapitzlist"/>
        <w:numPr>
          <w:ilvl w:val="0"/>
          <w:numId w:val="38"/>
        </w:numPr>
        <w:spacing w:line="276" w:lineRule="auto"/>
        <w:jc w:val="both"/>
      </w:pPr>
      <w:r>
        <w:t>część jednostek samorządu terytorialnego (</w:t>
      </w:r>
      <w:proofErr w:type="spellStart"/>
      <w:r>
        <w:t>jst</w:t>
      </w:r>
      <w:proofErr w:type="spellEnd"/>
      <w:r>
        <w:t>) przystąpiło wcześniej do przeprowadzenia naboru na potencjalne firmy ESCO w celu realizacji modernizacji grupowych projektów budynków użyteczności publicznej w tym modelu. Wybrano doradcę technicznego, opracowano dokumentację przetargową, oraz przeprowadzono nieskuteczny wybór w formie dialogu konkurencyjnego;</w:t>
      </w:r>
    </w:p>
    <w:p w14:paraId="4C7A9A78" w14:textId="511A67A6" w:rsidR="005B250A" w:rsidRDefault="005B250A" w:rsidP="00EB62DD">
      <w:pPr>
        <w:pStyle w:val="Akapitzlist"/>
        <w:numPr>
          <w:ilvl w:val="0"/>
          <w:numId w:val="38"/>
        </w:numPr>
        <w:spacing w:line="276" w:lineRule="auto"/>
        <w:jc w:val="both"/>
      </w:pPr>
      <w:r>
        <w:t xml:space="preserve">do tej pory podpisano jedną umowę na dofinansowanie w ramach ww. naboru z </w:t>
      </w:r>
      <w:proofErr w:type="spellStart"/>
      <w:r>
        <w:t>jst</w:t>
      </w:r>
      <w:proofErr w:type="spellEnd"/>
      <w:r>
        <w:t xml:space="preserve"> na modernizacj</w:t>
      </w:r>
      <w:r w:rsidR="004C3EB1">
        <w:t>ę</w:t>
      </w:r>
      <w:r>
        <w:t xml:space="preserve"> niewielkiego budynku komunalnego – mieszkalnego jednorodzinnego – obecnie w trakcie rozliczania;</w:t>
      </w:r>
    </w:p>
    <w:p w14:paraId="50F1E5C4" w14:textId="3BF3D12B" w:rsidR="0051233E" w:rsidRDefault="004C3EB1" w:rsidP="00EB62DD">
      <w:pPr>
        <w:pStyle w:val="Akapitzlist"/>
        <w:numPr>
          <w:ilvl w:val="0"/>
          <w:numId w:val="38"/>
        </w:numPr>
        <w:spacing w:line="276" w:lineRule="auto"/>
        <w:jc w:val="both"/>
      </w:pPr>
      <w:r>
        <w:t>s</w:t>
      </w:r>
      <w:r w:rsidR="005B250A">
        <w:t>podziewa</w:t>
      </w:r>
      <w:r w:rsidR="00F80D93">
        <w:t>ny jest wpływ</w:t>
      </w:r>
      <w:r w:rsidR="005B250A">
        <w:t xml:space="preserve"> dalszych wniosków o dofinansowanie gdzie wnioskodawcą będzie </w:t>
      </w:r>
      <w:proofErr w:type="spellStart"/>
      <w:r w:rsidR="005B250A">
        <w:t>jst</w:t>
      </w:r>
      <w:proofErr w:type="spellEnd"/>
      <w:r w:rsidR="005B250A">
        <w:t xml:space="preserve"> a przedmiotem projektów: budynki użyteczności publicznej i kolejn</w:t>
      </w:r>
      <w:r w:rsidR="00F80D93">
        <w:t>e</w:t>
      </w:r>
      <w:r w:rsidR="005B250A">
        <w:t xml:space="preserve"> prób</w:t>
      </w:r>
      <w:r w:rsidR="00F80D93">
        <w:t>y</w:t>
      </w:r>
      <w:r w:rsidR="005B250A">
        <w:t xml:space="preserve"> wyłonienia firm ESCO chętnych do realizacji inwestycji w tej formule. JST próbują przeprojektować projekty (ograniczać zakres, dzielić na mniejsze) w taki sposób aby zyskać realne zainteresowanie  potencjalny</w:t>
      </w:r>
      <w:r w:rsidR="00000AE2">
        <w:t>ch</w:t>
      </w:r>
      <w:r w:rsidR="005B250A">
        <w:t xml:space="preserve"> firm ESCO. Olbrzymią barierą są zbyt wysokie koszty realizacji inwestycji przedstawiane przez firmy ESCO w sytuacji kiedy muszą zapewnić finansowanie części inwestycji (w FM 51%).</w:t>
      </w:r>
    </w:p>
    <w:p w14:paraId="25002553" w14:textId="4F4E44CE" w:rsidR="00F0628B" w:rsidRDefault="00F0628B" w:rsidP="00F0628B">
      <w:pPr>
        <w:pStyle w:val="Nagwek3"/>
      </w:pPr>
      <w:bookmarkStart w:id="62" w:name="_Toc187745762"/>
      <w:r>
        <w:t>Wnioski z dotychczasowego wdrażania modelu EPC/ESCO</w:t>
      </w:r>
      <w:bookmarkEnd w:id="62"/>
    </w:p>
    <w:p w14:paraId="176BCE63" w14:textId="62C37CA9" w:rsidR="00307E96" w:rsidRDefault="00307E96" w:rsidP="00476CBD">
      <w:pPr>
        <w:spacing w:line="276" w:lineRule="auto"/>
        <w:jc w:val="both"/>
      </w:pPr>
      <w:r>
        <w:t xml:space="preserve">Sformułowano następujące wnioski z wdrażania instrumentu </w:t>
      </w:r>
      <w:r w:rsidRPr="00307E96">
        <w:t xml:space="preserve">wsparcia termomodernizacji w formule </w:t>
      </w:r>
      <w:r w:rsidR="00AD3429">
        <w:t>EPC/</w:t>
      </w:r>
      <w:r w:rsidRPr="00307E96">
        <w:t>ESCO</w:t>
      </w:r>
      <w:r>
        <w:t xml:space="preserve"> </w:t>
      </w:r>
      <w:r w:rsidR="00AD3429">
        <w:t xml:space="preserve">w ramach </w:t>
      </w:r>
      <w:r>
        <w:t>II naboru</w:t>
      </w:r>
      <w:r w:rsidR="0081300C">
        <w:t xml:space="preserve"> (w tym wnioski przekazane przez JST)</w:t>
      </w:r>
      <w:r w:rsidR="00AD3429">
        <w:t>, które przedstawiają obecny stan rynku ESCO w Polsce</w:t>
      </w:r>
      <w:r>
        <w:t>:</w:t>
      </w:r>
    </w:p>
    <w:p w14:paraId="4B8AF2A7" w14:textId="6D7C3EF6" w:rsidR="00892EF6" w:rsidRDefault="00892EF6" w:rsidP="00EB62DD">
      <w:pPr>
        <w:pStyle w:val="Akapitzlist"/>
        <w:numPr>
          <w:ilvl w:val="0"/>
          <w:numId w:val="39"/>
        </w:numPr>
        <w:spacing w:line="276" w:lineRule="auto"/>
        <w:jc w:val="both"/>
      </w:pPr>
      <w:r>
        <w:t>widoczna jest wysoka gotowość JST na przygotowanie projektów w tej formule i przygotowanie grupy budynków użyteczności publicznej wśród własnych zasobów do realizacji inwestycji termomodernizacyjnych w formule EPC</w:t>
      </w:r>
      <w:r w:rsidR="00EB62DD">
        <w:t>/ESCO</w:t>
      </w:r>
      <w:r>
        <w:t>;</w:t>
      </w:r>
    </w:p>
    <w:p w14:paraId="2C8BCF3B" w14:textId="03FDC493" w:rsidR="00892EF6" w:rsidRDefault="00892EF6" w:rsidP="00EB62DD">
      <w:pPr>
        <w:pStyle w:val="Akapitzlist"/>
        <w:numPr>
          <w:ilvl w:val="0"/>
          <w:numId w:val="39"/>
        </w:numPr>
        <w:spacing w:line="276" w:lineRule="auto"/>
        <w:jc w:val="both"/>
      </w:pPr>
      <w:r>
        <w:t xml:space="preserve">brak firm ESCO gotowych podjąć wysokie ryzyka finansowe i zabezpieczyć środki własne (min. 51%) na duże projekty – gdzie większość kosztów </w:t>
      </w:r>
      <w:r w:rsidR="0057288A">
        <w:t>stanowią</w:t>
      </w:r>
      <w:r>
        <w:t xml:space="preserve"> koszty inwestycyjne;</w:t>
      </w:r>
    </w:p>
    <w:p w14:paraId="0A99C6C1" w14:textId="0F2C4A83" w:rsidR="00892EF6" w:rsidRDefault="00892EF6" w:rsidP="00EB62DD">
      <w:pPr>
        <w:pStyle w:val="Akapitzlist"/>
        <w:numPr>
          <w:ilvl w:val="0"/>
          <w:numId w:val="39"/>
        </w:numPr>
        <w:spacing w:line="276" w:lineRule="auto"/>
        <w:jc w:val="both"/>
      </w:pPr>
      <w:r>
        <w:t>ograniczona liczba firm ESCO zainteresowanych składaniem ofert</w:t>
      </w:r>
      <w:r w:rsidR="0057288A">
        <w:t>,</w:t>
      </w:r>
      <w:r>
        <w:t xml:space="preserve"> te same firmy biorą aktywny udział w każdym przetargu, składają zapytania, niemniej nieliczne składają oferty;</w:t>
      </w:r>
    </w:p>
    <w:p w14:paraId="28FFB613" w14:textId="04103A26" w:rsidR="00307E96" w:rsidRDefault="0057288A" w:rsidP="00EB62DD">
      <w:pPr>
        <w:pStyle w:val="Akapitzlist"/>
        <w:numPr>
          <w:ilvl w:val="0"/>
          <w:numId w:val="39"/>
        </w:numPr>
        <w:spacing w:line="276" w:lineRule="auto"/>
        <w:jc w:val="both"/>
      </w:pPr>
      <w:r>
        <w:t>nieliczne</w:t>
      </w:r>
      <w:r w:rsidR="00892EF6">
        <w:t xml:space="preserve"> oferty firm ESCO </w:t>
      </w:r>
      <w:r>
        <w:t xml:space="preserve">złożone </w:t>
      </w:r>
      <w:r w:rsidR="00892EF6">
        <w:t>w postępowaniach (pomimo, że dotacja jest do 49% kosztów inwestycji)</w:t>
      </w:r>
      <w:r>
        <w:t xml:space="preserve"> </w:t>
      </w:r>
      <w:r w:rsidR="00892EF6">
        <w:t>uwzględniają bardzo wysoko wycenione ryzyka np.: nieosiągnięcia Gwarantowanej Oszczędności Energii w kolejnych latach oraz wysoki koszt obsługi pieniądza w czasie (rozumiany jako wkład firmy ESCO minimum 51% – wraz  kosztami pozyskania kapitału na wkład firmy ESCO</w:t>
      </w:r>
      <w:r w:rsidR="00EB62DD">
        <w:t>,</w:t>
      </w:r>
      <w:r w:rsidR="00892EF6">
        <w:t xml:space="preserve"> który to koszt jest przerzucany co do zasady na koszt inwestycji) co zmusza JST do ogłoszenia nieważności przetargu z powodu niedoszacowania.</w:t>
      </w:r>
    </w:p>
    <w:p w14:paraId="2791607B" w14:textId="736444A5" w:rsidR="00476CBD" w:rsidRDefault="00476CBD" w:rsidP="00EB62DD">
      <w:pPr>
        <w:spacing w:line="276" w:lineRule="auto"/>
        <w:jc w:val="both"/>
      </w:pPr>
      <w:r w:rsidRPr="00EC2E32">
        <w:t xml:space="preserve">Nowością </w:t>
      </w:r>
      <w:r w:rsidR="00020A42" w:rsidRPr="00EC2E32">
        <w:t>termomodernizacji w formule EPC</w:t>
      </w:r>
      <w:r w:rsidR="00EB62DD">
        <w:t>/ESCO</w:t>
      </w:r>
      <w:r w:rsidR="00020A42" w:rsidRPr="00EC2E32">
        <w:t xml:space="preserve"> </w:t>
      </w:r>
      <w:r w:rsidRPr="00EC2E32">
        <w:t xml:space="preserve">w stosunku do klasycznych termomodernizacji jest wprowadzenie zarządzania energią przez firmy ESCO, w celu potwierdzania </w:t>
      </w:r>
      <w:r w:rsidR="00020A42" w:rsidRPr="00EC2E32">
        <w:t>rocznych</w:t>
      </w:r>
      <w:r w:rsidRPr="00EC2E32">
        <w:t xml:space="preserve"> Gwarantowanych Oszczędności Energii (GOE)</w:t>
      </w:r>
      <w:r w:rsidR="005C7677" w:rsidRPr="00EC2E32">
        <w:t>,</w:t>
      </w:r>
      <w:r w:rsidRPr="00EC2E32">
        <w:t xml:space="preserve"> wykazywan</w:t>
      </w:r>
      <w:r w:rsidR="00020A42" w:rsidRPr="00EC2E32">
        <w:t>ych</w:t>
      </w:r>
      <w:r w:rsidRPr="00EC2E32">
        <w:t xml:space="preserve"> na podstawie faktycznego zużycia. W klasycznych </w:t>
      </w:r>
      <w:r w:rsidRPr="00EC2E32">
        <w:lastRenderedPageBreak/>
        <w:t xml:space="preserve">termomodernizacjach realizowanych przez podmioty publiczne </w:t>
      </w:r>
      <w:r w:rsidR="00020A42" w:rsidRPr="00EC2E32">
        <w:t>zazwyczaj nie</w:t>
      </w:r>
      <w:r w:rsidRPr="00EC2E32">
        <w:t xml:space="preserve"> był</w:t>
      </w:r>
      <w:r w:rsidR="005C7677" w:rsidRPr="00EC2E32">
        <w:t>o</w:t>
      </w:r>
      <w:r w:rsidRPr="00EC2E32">
        <w:t xml:space="preserve"> wymagane zarządzanie energią</w:t>
      </w:r>
      <w:r w:rsidR="007F1AFF" w:rsidRPr="00EC2E32">
        <w:t>,</w:t>
      </w:r>
      <w:r w:rsidRPr="00EC2E32">
        <w:t xml:space="preserve"> </w:t>
      </w:r>
      <w:r w:rsidR="005C7677" w:rsidRPr="00EC2E32">
        <w:t>dzięki czemu</w:t>
      </w:r>
      <w:r w:rsidRPr="00EC2E32">
        <w:t xml:space="preserve"> planowane oszczędności energii mogły zostać wskazane jako możliwe do uzyskania tylko na p</w:t>
      </w:r>
      <w:r w:rsidR="00020A42" w:rsidRPr="00EC2E32">
        <w:t>oziomie deklaracji wynikającej z dokumentacji projektowej</w:t>
      </w:r>
      <w:r w:rsidRPr="00EC2E32">
        <w:t>. Co do zasady GOE nie musi być tożsamą oszczędnością energii wynikającą z obliczeń audytowych</w:t>
      </w:r>
      <w:r w:rsidR="00020A42" w:rsidRPr="00EC2E32">
        <w:t>,</w:t>
      </w:r>
      <w:r w:rsidRPr="00EC2E32">
        <w:t xml:space="preserve"> ale jest to oszczędność energii gwarantowana przez firmę ESCO w Umowie EPC do utrzymania w cyklu rocznym. Zasady rozliczania dodatkowych oszczędności powstałych przy skutecznym zarzadzaniu energi</w:t>
      </w:r>
      <w:r w:rsidR="00020A42" w:rsidRPr="00EC2E32">
        <w:t>ą</w:t>
      </w:r>
      <w:r w:rsidRPr="00EC2E32">
        <w:t xml:space="preserve"> i/lub kar za</w:t>
      </w:r>
      <w:r w:rsidR="00664C7C">
        <w:t> </w:t>
      </w:r>
      <w:r w:rsidRPr="00EC2E32">
        <w:t>nieutrzymanie GOE w cyklu rocznym</w:t>
      </w:r>
      <w:r w:rsidR="00007ED6" w:rsidRPr="00EC2E32">
        <w:t>,</w:t>
      </w:r>
      <w:r w:rsidRPr="00EC2E32">
        <w:t xml:space="preserve"> co do zasady</w:t>
      </w:r>
      <w:r w:rsidR="00007ED6" w:rsidRPr="00EC2E32">
        <w:t>,</w:t>
      </w:r>
      <w:r w:rsidRPr="00EC2E32">
        <w:t xml:space="preserve"> reguluje Umowa EPC.</w:t>
      </w:r>
    </w:p>
    <w:p w14:paraId="14EB10D9" w14:textId="09CFADAB" w:rsidR="00745A6C" w:rsidRPr="00EC2E32" w:rsidRDefault="00745A6C" w:rsidP="00EC2E32">
      <w:pPr>
        <w:pStyle w:val="Nagwek2"/>
      </w:pPr>
      <w:bookmarkStart w:id="63" w:name="_Założenia_aktualizacji_produktów"/>
      <w:bookmarkStart w:id="64" w:name="_Toc187745763"/>
      <w:bookmarkEnd w:id="63"/>
      <w:r w:rsidRPr="00EC2E32">
        <w:t>Założenia</w:t>
      </w:r>
      <w:r w:rsidR="006F030D" w:rsidRPr="00EC2E32">
        <w:t xml:space="preserve"> </w:t>
      </w:r>
      <w:r w:rsidR="0036003E">
        <w:t>aktualizacji produktów finansowych</w:t>
      </w:r>
      <w:bookmarkEnd w:id="64"/>
    </w:p>
    <w:p w14:paraId="6E69C57F" w14:textId="531121A4" w:rsidR="00131F65" w:rsidRPr="00131F65" w:rsidRDefault="007B18B1" w:rsidP="008B613D">
      <w:pPr>
        <w:spacing w:line="276" w:lineRule="auto"/>
        <w:jc w:val="both"/>
      </w:pPr>
      <w:r>
        <w:t>Należy zauważyć</w:t>
      </w:r>
      <w:r w:rsidR="00131F65">
        <w:t>, że zap</w:t>
      </w:r>
      <w:r w:rsidR="00131F65" w:rsidRPr="00131F65">
        <w:t>roponowane w analizie EBOiR rozwiązania</w:t>
      </w:r>
      <w:r>
        <w:t xml:space="preserve"> </w:t>
      </w:r>
      <w:r w:rsidR="00131F65" w:rsidRPr="00131F65">
        <w:t xml:space="preserve">są oparte </w:t>
      </w:r>
      <w:r w:rsidR="00131F65">
        <w:t>na</w:t>
      </w:r>
      <w:r w:rsidR="00131F65" w:rsidRPr="00131F65">
        <w:t xml:space="preserve"> bardzo skomplikowan</w:t>
      </w:r>
      <w:r w:rsidR="00131F65">
        <w:t>ych</w:t>
      </w:r>
      <w:r w:rsidR="00131F65" w:rsidRPr="00131F65">
        <w:t xml:space="preserve"> konstrukcj</w:t>
      </w:r>
      <w:r w:rsidR="00131F65">
        <w:t>ach</w:t>
      </w:r>
      <w:r w:rsidR="00131F65" w:rsidRPr="00131F65">
        <w:t xml:space="preserve"> finansow</w:t>
      </w:r>
      <w:r w:rsidR="00131F65">
        <w:t>ych</w:t>
      </w:r>
      <w:r w:rsidR="00131F65" w:rsidRPr="00131F65">
        <w:t xml:space="preserve"> i prawn</w:t>
      </w:r>
      <w:r w:rsidR="00131F65">
        <w:t>ych</w:t>
      </w:r>
      <w:r>
        <w:t xml:space="preserve"> (</w:t>
      </w:r>
      <w:r w:rsidRPr="00131F65">
        <w:t xml:space="preserve">w szczególności </w:t>
      </w:r>
      <w:r>
        <w:t>w przypadku</w:t>
      </w:r>
      <w:r w:rsidRPr="00131F65">
        <w:t xml:space="preserve"> </w:t>
      </w:r>
      <w:proofErr w:type="spellStart"/>
      <w:r w:rsidRPr="00131F65">
        <w:t>pjb</w:t>
      </w:r>
      <w:proofErr w:type="spellEnd"/>
      <w:r>
        <w:t>)</w:t>
      </w:r>
      <w:r w:rsidR="00131F65" w:rsidRPr="00131F65">
        <w:t>, wymagają</w:t>
      </w:r>
      <w:r w:rsidR="00027CA6">
        <w:t>cym do wdrożenia</w:t>
      </w:r>
      <w:r w:rsidR="00131F65" w:rsidRPr="00131F65">
        <w:t xml:space="preserve"> zmian w prawodawstwie krajowym</w:t>
      </w:r>
      <w:r w:rsidR="00131F65">
        <w:t xml:space="preserve"> (</w:t>
      </w:r>
      <w:r w:rsidR="00131F65" w:rsidRPr="00131F65">
        <w:t>włączając zmiany ustawowe</w:t>
      </w:r>
      <w:r w:rsidR="00131F65">
        <w:t>)</w:t>
      </w:r>
      <w:r w:rsidR="00131F65" w:rsidRPr="00131F65">
        <w:t xml:space="preserve">, </w:t>
      </w:r>
      <w:r w:rsidR="00027CA6">
        <w:t xml:space="preserve">które jednocześnie </w:t>
      </w:r>
      <w:r>
        <w:t xml:space="preserve">nie były wcześniej </w:t>
      </w:r>
      <w:r w:rsidR="00131F65" w:rsidRPr="00131F65">
        <w:t>wdrażane w UE</w:t>
      </w:r>
      <w:r w:rsidR="00AB11F5">
        <w:t xml:space="preserve">. Ponadto propozycje te </w:t>
      </w:r>
      <w:r w:rsidR="00131F65" w:rsidRPr="00131F65">
        <w:t xml:space="preserve">nie uwzględniają wszystkich </w:t>
      </w:r>
      <w:r>
        <w:t xml:space="preserve">elementów analizy rynku (m.in. po stronie podaży – nie były konsultowane z Ministerstwem Finansów, a po stronie popytu – nie uwzględniają w pełni </w:t>
      </w:r>
      <w:r w:rsidR="00131F65" w:rsidRPr="00131F65">
        <w:t>możliwych typów ostat</w:t>
      </w:r>
      <w:r>
        <w:t xml:space="preserve">ecznych odbiorców wsparcia, </w:t>
      </w:r>
      <w:r w:rsidR="006A3FCE">
        <w:br/>
      </w:r>
      <w:r w:rsidR="00131F65" w:rsidRPr="00131F65">
        <w:t>w</w:t>
      </w:r>
      <w:r>
        <w:t xml:space="preserve"> szczególności w grupie </w:t>
      </w:r>
      <w:r w:rsidR="00664C7C">
        <w:t>nie-</w:t>
      </w:r>
      <w:proofErr w:type="spellStart"/>
      <w:r w:rsidR="00664C7C">
        <w:t>pjb</w:t>
      </w:r>
      <w:proofErr w:type="spellEnd"/>
      <w:r>
        <w:t>)</w:t>
      </w:r>
      <w:r w:rsidR="00131F65" w:rsidRPr="00131F65">
        <w:t xml:space="preserve">. Tym samym przedstawione przez EBOiR </w:t>
      </w:r>
      <w:r w:rsidR="00AB11F5">
        <w:t xml:space="preserve">modele </w:t>
      </w:r>
      <w:r>
        <w:t>nie osiągnęły</w:t>
      </w:r>
      <w:r w:rsidR="00131F65" w:rsidRPr="00131F65">
        <w:t xml:space="preserve"> podstawowego </w:t>
      </w:r>
      <w:r>
        <w:t>warunku</w:t>
      </w:r>
      <w:r w:rsidR="00131F65" w:rsidRPr="00131F65">
        <w:t xml:space="preserve"> wdrażalności </w:t>
      </w:r>
      <w:r>
        <w:t>interwencji</w:t>
      </w:r>
      <w:r w:rsidR="00131F65" w:rsidRPr="00131F65">
        <w:t xml:space="preserve"> w ramach czasowych FEnIKS. </w:t>
      </w:r>
    </w:p>
    <w:p w14:paraId="6ACA918B" w14:textId="1E4A9516" w:rsidR="00131F65" w:rsidRPr="00131F65" w:rsidRDefault="007B18B1" w:rsidP="008B613D">
      <w:pPr>
        <w:spacing w:line="276" w:lineRule="auto"/>
        <w:jc w:val="both"/>
      </w:pPr>
      <w:r>
        <w:t>Tym samym, a</w:t>
      </w:r>
      <w:r w:rsidR="00131F65" w:rsidRPr="00131F65">
        <w:t>by nie ryzykować:</w:t>
      </w:r>
      <w:r>
        <w:t xml:space="preserve"> </w:t>
      </w:r>
    </w:p>
    <w:p w14:paraId="783E7DCD" w14:textId="41FDF331" w:rsidR="00131F65" w:rsidRPr="00131F65" w:rsidRDefault="00131F65" w:rsidP="008B613D">
      <w:pPr>
        <w:pStyle w:val="Akapitzlist"/>
        <w:numPr>
          <w:ilvl w:val="0"/>
          <w:numId w:val="30"/>
        </w:numPr>
        <w:spacing w:line="276" w:lineRule="auto"/>
        <w:jc w:val="both"/>
      </w:pPr>
      <w:r w:rsidRPr="00131F65">
        <w:t>opóźnienia w realizacji FEnIKS,</w:t>
      </w:r>
    </w:p>
    <w:p w14:paraId="106D0881" w14:textId="2224582E" w:rsidR="00131F65" w:rsidRPr="00131F65" w:rsidRDefault="00131F65" w:rsidP="008B613D">
      <w:pPr>
        <w:pStyle w:val="Akapitzlist"/>
        <w:numPr>
          <w:ilvl w:val="0"/>
          <w:numId w:val="30"/>
        </w:numPr>
        <w:spacing w:line="276" w:lineRule="auto"/>
        <w:jc w:val="both"/>
      </w:pPr>
      <w:r w:rsidRPr="00131F65">
        <w:t>braku możliwości realizacji działań w perspektywie czasowej programu i względem zasady anulowania zobowiązań (</w:t>
      </w:r>
      <w:proofErr w:type="spellStart"/>
      <w:r w:rsidRPr="00131F65">
        <w:t>decommitment</w:t>
      </w:r>
      <w:proofErr w:type="spellEnd"/>
      <w:r w:rsidRPr="00131F65">
        <w:t>) n+2,</w:t>
      </w:r>
    </w:p>
    <w:p w14:paraId="41EBE70C" w14:textId="23E07127" w:rsidR="00131F65" w:rsidRPr="00131F65" w:rsidRDefault="00131F65" w:rsidP="008B613D">
      <w:pPr>
        <w:pStyle w:val="Akapitzlist"/>
        <w:numPr>
          <w:ilvl w:val="0"/>
          <w:numId w:val="30"/>
        </w:numPr>
        <w:spacing w:line="276" w:lineRule="auto"/>
        <w:jc w:val="both"/>
      </w:pPr>
      <w:r w:rsidRPr="00131F65">
        <w:t>zakwestionowania prawidłowości wydatkowania środków ex-post przez audyt i kontrolę,</w:t>
      </w:r>
    </w:p>
    <w:p w14:paraId="120B9B51" w14:textId="45004B98" w:rsidR="00131F65" w:rsidRPr="00131F65" w:rsidRDefault="00131F65" w:rsidP="008B613D">
      <w:pPr>
        <w:pStyle w:val="Akapitzlist"/>
        <w:numPr>
          <w:ilvl w:val="0"/>
          <w:numId w:val="30"/>
        </w:numPr>
        <w:spacing w:line="276" w:lineRule="auto"/>
        <w:jc w:val="both"/>
      </w:pPr>
      <w:r w:rsidRPr="00131F65">
        <w:t>niewykorzystaniem środków na strategiczny obszar efektywności energetycznej budynków publicznych</w:t>
      </w:r>
      <w:r w:rsidR="007B18B1">
        <w:t xml:space="preserve"> będących w zarządzie administracji centralnej</w:t>
      </w:r>
      <w:r w:rsidRPr="00131F65">
        <w:t>,</w:t>
      </w:r>
    </w:p>
    <w:p w14:paraId="625231BD" w14:textId="249EB842" w:rsidR="00131F65" w:rsidRPr="00131F65" w:rsidRDefault="00131F65" w:rsidP="008B613D">
      <w:pPr>
        <w:pStyle w:val="Akapitzlist"/>
        <w:numPr>
          <w:ilvl w:val="0"/>
          <w:numId w:val="30"/>
        </w:numPr>
        <w:spacing w:line="276" w:lineRule="auto"/>
        <w:jc w:val="both"/>
      </w:pPr>
      <w:r w:rsidRPr="00131F65">
        <w:t>niezrealizowaniem wskaźników programowych,</w:t>
      </w:r>
    </w:p>
    <w:p w14:paraId="546A4650" w14:textId="53448025" w:rsidR="00131F65" w:rsidRDefault="007B18B1" w:rsidP="008B613D">
      <w:pPr>
        <w:spacing w:line="276" w:lineRule="auto"/>
        <w:jc w:val="both"/>
      </w:pPr>
      <w:r>
        <w:t xml:space="preserve">uwzględniając zaktualizowaną analizę rynku, przyjęto następujące założenia dla aktualizacji IF dedykowanych interwencji w obszarze budynków publicznych w zarządzie administracji centralnej </w:t>
      </w:r>
      <w:r w:rsidR="006A3FCE">
        <w:br/>
      </w:r>
      <w:r>
        <w:t>i  zakładanych produktów finansowych:</w:t>
      </w:r>
    </w:p>
    <w:p w14:paraId="18F2157F" w14:textId="05F4F70B" w:rsidR="00342989" w:rsidRPr="00EC2E32" w:rsidRDefault="00342989" w:rsidP="00EC2E32">
      <w:pPr>
        <w:pStyle w:val="Akapitzlist"/>
        <w:numPr>
          <w:ilvl w:val="0"/>
          <w:numId w:val="31"/>
        </w:numPr>
        <w:spacing w:line="276" w:lineRule="auto"/>
        <w:jc w:val="both"/>
      </w:pPr>
      <w:r w:rsidRPr="00EC2E32">
        <w:t>Proponowane model</w:t>
      </w:r>
      <w:r w:rsidR="00745A6C" w:rsidRPr="00EC2E32">
        <w:t>e</w:t>
      </w:r>
      <w:r w:rsidRPr="00EC2E32">
        <w:t xml:space="preserve"> wsparcia stanowią kompromisowe rozwiązanie mające na celu pełne wykorzystanie dostępnych środków UE w ramach FEnIKS z uwzględnieniem aktualnych uwarunkowań prawnych i przewidzianych horyzontów czasowych wykorzystania środków UE </w:t>
      </w:r>
      <w:r w:rsidR="006A3FCE">
        <w:br/>
      </w:r>
      <w:r w:rsidRPr="00EC2E32">
        <w:t>i równoczesnym zapewnieniu wsparcia dla jak największej liczby projektów charakteryzujących się maksymalną popraw</w:t>
      </w:r>
      <w:r w:rsidR="006D505F" w:rsidRPr="00EC2E32">
        <w:t>ą</w:t>
      </w:r>
      <w:r w:rsidRPr="00EC2E32">
        <w:t xml:space="preserve"> efektywności energetycznej. </w:t>
      </w:r>
    </w:p>
    <w:p w14:paraId="1A2F799D" w14:textId="04DAE610" w:rsidR="003700DC" w:rsidRPr="00EC2E32" w:rsidRDefault="009054FE" w:rsidP="00EC2E32">
      <w:pPr>
        <w:pStyle w:val="Akapitzlist"/>
        <w:numPr>
          <w:ilvl w:val="0"/>
          <w:numId w:val="31"/>
        </w:numPr>
        <w:spacing w:line="276" w:lineRule="auto"/>
        <w:jc w:val="both"/>
      </w:pPr>
      <w:r w:rsidRPr="00EC2E32">
        <w:t xml:space="preserve">Proponowane </w:t>
      </w:r>
      <w:r w:rsidR="00342989" w:rsidRPr="00EC2E32">
        <w:t>model</w:t>
      </w:r>
      <w:r w:rsidR="00745A6C" w:rsidRPr="00EC2E32">
        <w:t>e</w:t>
      </w:r>
      <w:r w:rsidR="00342989" w:rsidRPr="00EC2E32">
        <w:t xml:space="preserve"> wsparcia kładą nacisk na </w:t>
      </w:r>
      <w:r w:rsidR="00CF6021" w:rsidRPr="00EC2E32">
        <w:t xml:space="preserve">częściowe </w:t>
      </w:r>
      <w:r w:rsidR="00E04519" w:rsidRPr="00EC2E32">
        <w:t>wykorzystanie mechanizmów wsparcia bezzwrotnego, które są już znane docelowej grupie beneficjentów</w:t>
      </w:r>
      <w:r w:rsidR="007B18B1" w:rsidRPr="008B613D">
        <w:t>/odbiorców ostatecznych</w:t>
      </w:r>
      <w:r w:rsidR="00E04519" w:rsidRPr="00EC2E32">
        <w:t>, zwłaszcza podmiotom publicznym o ograniczonym zapleczu instytucjonalnym, co</w:t>
      </w:r>
      <w:r w:rsidR="00664C7C">
        <w:t> </w:t>
      </w:r>
      <w:r w:rsidR="00E04519" w:rsidRPr="00EC2E32">
        <w:t>powinno</w:t>
      </w:r>
      <w:r w:rsidRPr="00EC2E32">
        <w:t xml:space="preserve"> ogranicz</w:t>
      </w:r>
      <w:r w:rsidR="00E04519" w:rsidRPr="00EC2E32">
        <w:t>yć bariery po stronie</w:t>
      </w:r>
      <w:r w:rsidRPr="00EC2E32">
        <w:t xml:space="preserve"> </w:t>
      </w:r>
      <w:r w:rsidR="00E01487" w:rsidRPr="00EC2E32">
        <w:t>beneficjentów</w:t>
      </w:r>
      <w:r w:rsidR="00E04519" w:rsidRPr="00EC2E32">
        <w:t xml:space="preserve"> </w:t>
      </w:r>
      <w:r w:rsidRPr="00EC2E32">
        <w:t>w pozyskiwaniu i rozliczaniu środków pomocowych.</w:t>
      </w:r>
    </w:p>
    <w:p w14:paraId="2A5932A9" w14:textId="5CB89EE5" w:rsidR="00AA51B5" w:rsidRPr="00EC2E32" w:rsidRDefault="00AA51B5" w:rsidP="00EC2E32">
      <w:pPr>
        <w:pStyle w:val="Akapitzlist"/>
        <w:numPr>
          <w:ilvl w:val="0"/>
          <w:numId w:val="31"/>
        </w:numPr>
        <w:spacing w:line="276" w:lineRule="auto"/>
        <w:jc w:val="both"/>
      </w:pPr>
      <w:r w:rsidRPr="00EC2E32">
        <w:t xml:space="preserve">Proponowane modele wsparcia uwzględniają: przyjęte, stosowane i sprawdzone zasady realizacji inwestycji </w:t>
      </w:r>
      <w:r w:rsidR="00745A6C" w:rsidRPr="00EC2E32">
        <w:t>typu termomodernizacja</w:t>
      </w:r>
      <w:r w:rsidRPr="00EC2E32">
        <w:t xml:space="preserve"> budynków z uwzględnieniem planowanych przepisów techniczno-budowlanych</w:t>
      </w:r>
      <w:r w:rsidR="00D84293" w:rsidRPr="00EC2E32">
        <w:t xml:space="preserve"> oraz</w:t>
      </w:r>
      <w:r w:rsidRPr="00EC2E32">
        <w:t xml:space="preserve"> </w:t>
      </w:r>
      <w:r w:rsidR="00D84293" w:rsidRPr="00EC2E32">
        <w:t>uwarunkowań prawnych dla poszczególnych grup beneficjentów</w:t>
      </w:r>
      <w:r w:rsidR="007B18B1" w:rsidRPr="008B613D">
        <w:t>/odbiorców ostatecznych</w:t>
      </w:r>
      <w:r w:rsidR="00D84293" w:rsidRPr="007B18B1">
        <w:t>;</w:t>
      </w:r>
      <w:r w:rsidRPr="00EC2E32">
        <w:t xml:space="preserve"> </w:t>
      </w:r>
    </w:p>
    <w:p w14:paraId="0A3BB862" w14:textId="4334099B" w:rsidR="00AD7133" w:rsidRDefault="00932923" w:rsidP="00AD7133">
      <w:pPr>
        <w:pStyle w:val="Akapitzlist"/>
        <w:numPr>
          <w:ilvl w:val="0"/>
          <w:numId w:val="31"/>
        </w:numPr>
        <w:spacing w:line="276" w:lineRule="auto"/>
        <w:jc w:val="both"/>
      </w:pPr>
      <w:bookmarkStart w:id="65" w:name="_Hlk189213010"/>
      <w:r w:rsidRPr="00EC2E32">
        <w:lastRenderedPageBreak/>
        <w:t xml:space="preserve">Proponowane modele wsparcia kładą nacisk na realizację inwestycji </w:t>
      </w:r>
      <w:r w:rsidR="00CF6021" w:rsidRPr="00EC2E32">
        <w:t xml:space="preserve">w </w:t>
      </w:r>
      <w:r w:rsidRPr="00EC2E32">
        <w:t>popraw</w:t>
      </w:r>
      <w:r w:rsidR="00CF6021" w:rsidRPr="00EC2E32">
        <w:t>ę</w:t>
      </w:r>
      <w:r w:rsidRPr="00EC2E32">
        <w:t xml:space="preserve"> efektywności energetycznej budynków użyteczności publicznej z wykorzystaniem </w:t>
      </w:r>
      <w:r w:rsidR="00690DBA">
        <w:t xml:space="preserve">obligatoryjnej </w:t>
      </w:r>
      <w:r w:rsidRPr="00EC2E32">
        <w:t>formuły EPC/ESCO</w:t>
      </w:r>
      <w:r w:rsidR="00A12AF1" w:rsidRPr="00EC2E32">
        <w:t xml:space="preserve"> oraz zastosowania </w:t>
      </w:r>
      <w:r w:rsidR="00C16B44" w:rsidRPr="007B18B1">
        <w:t>IF</w:t>
      </w:r>
      <w:r w:rsidR="007B18B1" w:rsidRPr="007B18B1">
        <w:t>.</w:t>
      </w:r>
      <w:r w:rsidR="00745A6C" w:rsidRPr="007B18B1">
        <w:t xml:space="preserve"> </w:t>
      </w:r>
      <w:r w:rsidR="00745A6C" w:rsidRPr="00EC2E32">
        <w:t>Modele te wymuszają  wprowadzenie obowiązkowego zarządzania energią i rozliczania się z corocznego uzyskiwania Gwarantowanej Oszczędności Energii przez firmę ESCO  w zmodernizowanych budynkach</w:t>
      </w:r>
      <w:r w:rsidR="00936FD1" w:rsidRPr="00EC2E32">
        <w:t>.</w:t>
      </w:r>
      <w:r w:rsidR="00745A6C" w:rsidRPr="00EC2E32">
        <w:t xml:space="preserve"> </w:t>
      </w:r>
      <w:bookmarkEnd w:id="65"/>
      <w:r w:rsidR="00745A6C" w:rsidRPr="00EC2E32">
        <w:t>Minimalny okres zarządzania energią</w:t>
      </w:r>
      <w:r w:rsidR="004909B9" w:rsidRPr="00EC2E32">
        <w:t>,</w:t>
      </w:r>
      <w:r w:rsidR="00745A6C" w:rsidRPr="00EC2E32">
        <w:t xml:space="preserve"> co do zasady wynikać będzie ze spłaty inwestycji z uzyskanych oszczędności energii, </w:t>
      </w:r>
      <w:r w:rsidR="00745A6C" w:rsidRPr="00954317">
        <w:t xml:space="preserve">natomiast </w:t>
      </w:r>
      <w:r w:rsidR="00936FD1" w:rsidRPr="00954317">
        <w:t>ze względu na fakt</w:t>
      </w:r>
      <w:r w:rsidR="004909B9" w:rsidRPr="00954317">
        <w:t>,</w:t>
      </w:r>
      <w:r w:rsidR="00936FD1" w:rsidRPr="00954317">
        <w:t xml:space="preserve"> że</w:t>
      </w:r>
      <w:r w:rsidR="00664C7C" w:rsidRPr="00954317">
        <w:t> </w:t>
      </w:r>
      <w:r w:rsidR="00936FD1" w:rsidRPr="00954317">
        <w:t>możliwe będzie w określonych przypadkach uzyskanie dofinansowania w formie dotacji</w:t>
      </w:r>
      <w:r w:rsidR="00EB79A0">
        <w:t xml:space="preserve"> i pożyczki</w:t>
      </w:r>
      <w:r w:rsidR="00936FD1" w:rsidRPr="00954317">
        <w:t xml:space="preserve"> nawet do </w:t>
      </w:r>
      <w:r w:rsidR="00EB79A0">
        <w:t>100</w:t>
      </w:r>
      <w:r w:rsidR="00936FD1" w:rsidRPr="00954317">
        <w:t xml:space="preserve">% </w:t>
      </w:r>
      <w:r w:rsidR="00936FD1" w:rsidRPr="00EC2E32">
        <w:t>okres minimalny zarzadzania energi</w:t>
      </w:r>
      <w:r w:rsidR="004909B9" w:rsidRPr="00EC2E32">
        <w:t>ą</w:t>
      </w:r>
      <w:r w:rsidR="00936FD1" w:rsidRPr="00EC2E32">
        <w:t xml:space="preserve"> mógłby być </w:t>
      </w:r>
      <w:r w:rsidR="004909B9" w:rsidRPr="00EC2E32">
        <w:t>z</w:t>
      </w:r>
      <w:r w:rsidR="00936FD1" w:rsidRPr="00EC2E32">
        <w:t xml:space="preserve">byt krótki, zatem opcjonalnie należy określić </w:t>
      </w:r>
      <w:r w:rsidR="004909B9" w:rsidRPr="00EC2E32">
        <w:t xml:space="preserve">oddzielnie </w:t>
      </w:r>
      <w:r w:rsidR="00936FD1" w:rsidRPr="00EC2E32">
        <w:t xml:space="preserve">dla każdej formy dofinansowania minimalny okres zarządzania energią. </w:t>
      </w:r>
    </w:p>
    <w:p w14:paraId="7C54FB69" w14:textId="38C64C74" w:rsidR="00AD7133" w:rsidRDefault="00B262E3" w:rsidP="00EB62DD">
      <w:pPr>
        <w:pStyle w:val="Akapitzlist"/>
        <w:numPr>
          <w:ilvl w:val="0"/>
          <w:numId w:val="31"/>
        </w:numPr>
        <w:spacing w:line="276" w:lineRule="auto"/>
        <w:jc w:val="both"/>
      </w:pPr>
      <w:r w:rsidRPr="00B262E3">
        <w:t xml:space="preserve">Mając na uwadze możliwości finansowe </w:t>
      </w:r>
      <w:proofErr w:type="spellStart"/>
      <w:r>
        <w:t>pjb</w:t>
      </w:r>
      <w:proofErr w:type="spellEnd"/>
      <w:r>
        <w:t xml:space="preserve"> </w:t>
      </w:r>
      <w:r w:rsidRPr="00B262E3">
        <w:t>oraz ich ograniczone zaplecze organizacyjne, sugeruje się w przedmiotowym obszarze zastosowanie modelu wsparcia ze środków FEnIKS wyłącznie o charakterze bezzwrotnym</w:t>
      </w:r>
      <w:r w:rsidR="004C7973">
        <w:t xml:space="preserve"> </w:t>
      </w:r>
      <w:r w:rsidR="00AD7133">
        <w:t>w formie dotacji, gdzie przewidziano 227 mln euro. W tym modelu formuła ESCO nie będzie obligatoryjna, natomiast preferencja będzie uwzględniona w kryteriach rankingujących.</w:t>
      </w:r>
    </w:p>
    <w:p w14:paraId="3342A7C7" w14:textId="5C88EBAF" w:rsidR="00B97199" w:rsidRDefault="00B04666" w:rsidP="00900FE0">
      <w:pPr>
        <w:pStyle w:val="Akapitzlist"/>
        <w:numPr>
          <w:ilvl w:val="0"/>
          <w:numId w:val="31"/>
        </w:numPr>
        <w:spacing w:line="276" w:lineRule="auto"/>
        <w:jc w:val="both"/>
      </w:pPr>
      <w:r>
        <w:t xml:space="preserve">Biorąc pod uwagę zarówno </w:t>
      </w:r>
      <w:r w:rsidR="0044270E">
        <w:t xml:space="preserve">niedojrzałość rynku ESCO w Polsce </w:t>
      </w:r>
      <w:r>
        <w:t>(</w:t>
      </w:r>
      <w:r w:rsidR="0044270E">
        <w:t>doświadczenia</w:t>
      </w:r>
      <w:r w:rsidR="00CB6D84">
        <w:t xml:space="preserve"> i wnioski</w:t>
      </w:r>
      <w:r w:rsidR="0044270E">
        <w:t xml:space="preserve"> NFOŚiGW </w:t>
      </w:r>
      <w:r w:rsidR="008854CB">
        <w:t xml:space="preserve">szerzej opisane w </w:t>
      </w:r>
      <w:hyperlink w:anchor="_Analiza_zarządcza_doświadczeń" w:history="1">
        <w:r w:rsidR="008854CB" w:rsidRPr="00150010">
          <w:rPr>
            <w:rStyle w:val="Hipercze"/>
          </w:rPr>
          <w:t>sekcji 3.2</w:t>
        </w:r>
      </w:hyperlink>
      <w:r w:rsidR="008854CB">
        <w:t>),</w:t>
      </w:r>
      <w:r>
        <w:t xml:space="preserve"> jak i aktualne zapisy GBER</w:t>
      </w:r>
      <w:r w:rsidR="00B97199">
        <w:t xml:space="preserve"> (przytoczone poniżej)</w:t>
      </w:r>
      <w:r w:rsidR="00FA5911">
        <w:t xml:space="preserve"> w </w:t>
      </w:r>
      <w:r>
        <w:t>zakresie</w:t>
      </w:r>
      <w:r w:rsidR="00FA5911">
        <w:t xml:space="preserve"> pomocy na ułatwianie zawierania umów EPC </w:t>
      </w:r>
      <w:r w:rsidR="008854CB">
        <w:t>sugeruje</w:t>
      </w:r>
      <w:r>
        <w:t xml:space="preserve"> się rezygnację z</w:t>
      </w:r>
      <w:r w:rsidR="008854CB">
        <w:t>e wsparcia firm ESCO (pierwotnie z</w:t>
      </w:r>
      <w:r w:rsidR="00B97199">
        <w:t xml:space="preserve">akładany model nr </w:t>
      </w:r>
      <w:r w:rsidR="008F0155">
        <w:t>2</w:t>
      </w:r>
      <w:r w:rsidR="00F54B41">
        <w:t xml:space="preserve"> w wersji analizy </w:t>
      </w:r>
      <w:r w:rsidR="00F54B41" w:rsidRPr="00F54B41">
        <w:rPr>
          <w:i/>
          <w:iCs/>
        </w:rPr>
        <w:t>ex-</w:t>
      </w:r>
      <w:proofErr w:type="spellStart"/>
      <w:r w:rsidR="00F54B41" w:rsidRPr="00F54B41">
        <w:rPr>
          <w:i/>
          <w:iCs/>
        </w:rPr>
        <w:t>ante</w:t>
      </w:r>
      <w:proofErr w:type="spellEnd"/>
      <w:r w:rsidR="00F54B41">
        <w:t xml:space="preserve"> z marca 2024</w:t>
      </w:r>
      <w:r w:rsidR="00B97199">
        <w:t>)</w:t>
      </w:r>
      <w:r w:rsidR="00413878">
        <w:t xml:space="preserve">, </w:t>
      </w:r>
      <w:r w:rsidR="00413878" w:rsidRPr="00413878">
        <w:t>jako mało prawdopodobnego do zaistnienia w rzeczywistości</w:t>
      </w:r>
      <w:r w:rsidR="00E15BD0">
        <w:t xml:space="preserve">, oraz </w:t>
      </w:r>
      <w:r w:rsidR="00413878" w:rsidRPr="00413878">
        <w:t>nie uwzględniającego aktualnego stanu rynku firm ESCO.</w:t>
      </w:r>
      <w:r w:rsidR="000B0EB6">
        <w:t xml:space="preserve"> Pierwotnie zakładane wsparcie dla ESCO </w:t>
      </w:r>
      <w:r w:rsidR="00B97199">
        <w:t>oferowało pożyczkę na zasadach rynkowych oraz/lub preferencyjną</w:t>
      </w:r>
      <w:r w:rsidR="008F0155">
        <w:t xml:space="preserve"> -</w:t>
      </w:r>
      <w:r w:rsidR="00B97199">
        <w:t xml:space="preserve"> uprzywilejowaną </w:t>
      </w:r>
      <w:r w:rsidR="008F0155">
        <w:t>stanowiącą</w:t>
      </w:r>
      <w:r w:rsidR="00B97199" w:rsidRPr="00B97199">
        <w:t xml:space="preserve"> uzupełnienie brakującego finansowanie inwestycji w formule EPC</w:t>
      </w:r>
      <w:r w:rsidR="008F0155">
        <w:t>/ESCO. Poziom dofinansowania miał wynosić</w:t>
      </w:r>
      <w:r w:rsidR="00B97199" w:rsidRPr="00B97199">
        <w:t xml:space="preserve"> </w:t>
      </w:r>
      <w:r w:rsidR="008F0155">
        <w:t>o</w:t>
      </w:r>
      <w:r w:rsidR="00B97199" w:rsidRPr="00B97199">
        <w:t>d 15% do max. 100% kosztów kwalifikowalnych z uwzględnieniem innych pozyskanych form dofinansowań dotacyjnych i pożyczkowych.</w:t>
      </w:r>
    </w:p>
    <w:p w14:paraId="6FA7FA21" w14:textId="06137380" w:rsidR="00FF51C8" w:rsidRDefault="00FF51C8" w:rsidP="00B97199">
      <w:pPr>
        <w:pStyle w:val="Akapitzlist"/>
        <w:spacing w:line="276" w:lineRule="auto"/>
        <w:jc w:val="both"/>
      </w:pPr>
      <w:r w:rsidRPr="00FF51C8">
        <w:t xml:space="preserve">Zgodnie z art. 38b rozporządzenia </w:t>
      </w:r>
      <w:proofErr w:type="spellStart"/>
      <w:r w:rsidRPr="00FF51C8">
        <w:t>ws</w:t>
      </w:r>
      <w:proofErr w:type="spellEnd"/>
      <w:r w:rsidRPr="00FF51C8">
        <w:t>. wyłączeń blokowych (tzw. GBER) pomoc udzielana firmom ESCO na realizację umów EPC, musiałyby spełnić następujące warunki:</w:t>
      </w:r>
    </w:p>
    <w:p w14:paraId="6B5B2C5B" w14:textId="2970C32D" w:rsidR="00FF51C8" w:rsidRDefault="00FF51C8" w:rsidP="00FF51C8">
      <w:pPr>
        <w:pStyle w:val="Akapitzlist"/>
        <w:spacing w:line="276" w:lineRule="auto"/>
        <w:jc w:val="both"/>
      </w:pPr>
      <w:r>
        <w:t>•</w:t>
      </w:r>
      <w:r>
        <w:tab/>
        <w:t xml:space="preserve">mieć formę pożyczki uprzywilejowanej lub gwarancji, lub mieć postać produktu finansowego mającego na celu finansowanie dostawcy (na przykład faktoring lub </w:t>
      </w:r>
      <w:proofErr w:type="spellStart"/>
      <w:r>
        <w:t>fortfaiting</w:t>
      </w:r>
      <w:proofErr w:type="spellEnd"/>
      <w:r>
        <w:t>);</w:t>
      </w:r>
    </w:p>
    <w:p w14:paraId="23C18A6F" w14:textId="0F3FFE2C" w:rsidR="00FF51C8" w:rsidRDefault="00FF51C8" w:rsidP="00FF51C8">
      <w:pPr>
        <w:pStyle w:val="Akapitzlist"/>
        <w:spacing w:line="276" w:lineRule="auto"/>
        <w:jc w:val="both"/>
      </w:pPr>
      <w:r>
        <w:t>•</w:t>
      </w:r>
      <w:r>
        <w:tab/>
        <w:t xml:space="preserve">do pomocy </w:t>
      </w:r>
      <w:r w:rsidR="002C5A8A">
        <w:t xml:space="preserve">mogłyby </w:t>
      </w:r>
      <w:r>
        <w:t>kwalifik</w:t>
      </w:r>
      <w:r w:rsidR="002C5A8A">
        <w:t>ować</w:t>
      </w:r>
      <w:r>
        <w:t xml:space="preserve"> się tylko MŚP i małe spółki średniej kapitalizacji;</w:t>
      </w:r>
    </w:p>
    <w:p w14:paraId="52E8830A" w14:textId="22673D90" w:rsidR="00FF51C8" w:rsidRDefault="00FF51C8" w:rsidP="00FF51C8">
      <w:pPr>
        <w:pStyle w:val="Akapitzlist"/>
        <w:spacing w:line="276" w:lineRule="auto"/>
        <w:jc w:val="both"/>
      </w:pPr>
      <w:r>
        <w:t>•</w:t>
      </w:r>
      <w:r>
        <w:tab/>
        <w:t xml:space="preserve">okres na który udzielono pożyczki nie </w:t>
      </w:r>
      <w:r w:rsidR="002C5A8A">
        <w:t>mógłby</w:t>
      </w:r>
      <w:r>
        <w:t xml:space="preserve"> przekraczać 10 lat;</w:t>
      </w:r>
    </w:p>
    <w:p w14:paraId="1C022657" w14:textId="3715039E" w:rsidR="00D67B35" w:rsidRDefault="00FF51C8" w:rsidP="00FF51C8">
      <w:pPr>
        <w:pStyle w:val="Akapitzlist"/>
        <w:spacing w:line="276" w:lineRule="auto"/>
        <w:jc w:val="both"/>
      </w:pPr>
      <w:r>
        <w:t>•</w:t>
      </w:r>
      <w:r>
        <w:tab/>
        <w:t xml:space="preserve">w przypadku formy uprzywilejowanej pożyczki, </w:t>
      </w:r>
      <w:r w:rsidR="002C5A8A">
        <w:t xml:space="preserve">wymagane byłoby </w:t>
      </w:r>
      <w:r>
        <w:t>zapewni</w:t>
      </w:r>
      <w:r w:rsidR="002C5A8A">
        <w:t>enie</w:t>
      </w:r>
      <w:r>
        <w:t xml:space="preserve"> współfinansowani</w:t>
      </w:r>
      <w:r w:rsidR="002C5A8A">
        <w:t>a</w:t>
      </w:r>
      <w:r>
        <w:t xml:space="preserve"> przez komercyjnych dostawców finansowania dłużnego </w:t>
      </w:r>
      <w:r w:rsidR="002C5A8A">
        <w:t xml:space="preserve">w wysokości </w:t>
      </w:r>
      <w:r>
        <w:t>nie mniej</w:t>
      </w:r>
      <w:r w:rsidR="002C5A8A">
        <w:t>szej</w:t>
      </w:r>
      <w:r>
        <w:t xml:space="preserve"> niż 30% wartości portfela bazowego umów o poprawę efektywności energetycznej, a spłata przez ESCO jest co najmniej równa kwocie pożyczki.</w:t>
      </w:r>
    </w:p>
    <w:p w14:paraId="78ED2633" w14:textId="4DDE3A4E" w:rsidR="00F54D92" w:rsidRDefault="00AC1A50" w:rsidP="002C5A8A">
      <w:pPr>
        <w:pStyle w:val="Akapitzlist"/>
        <w:spacing w:line="276" w:lineRule="auto"/>
        <w:jc w:val="both"/>
      </w:pPr>
      <w:r>
        <w:t xml:space="preserve">Istnieje </w:t>
      </w:r>
      <w:r w:rsidR="00FA5127">
        <w:t>duże ryzyko, iż p</w:t>
      </w:r>
      <w:r>
        <w:t>owyższe ograniczenia</w:t>
      </w:r>
      <w:r w:rsidR="008F0155">
        <w:t xml:space="preserve"> oraz stan rozwoju rynku ESCO w Polsce</w:t>
      </w:r>
      <w:r>
        <w:t xml:space="preserve"> </w:t>
      </w:r>
      <w:r w:rsidR="00FA5127">
        <w:t>będ</w:t>
      </w:r>
      <w:r w:rsidR="008F0155">
        <w:t>zie</w:t>
      </w:r>
      <w:r w:rsidR="00FA5127">
        <w:t xml:space="preserve"> skutkować</w:t>
      </w:r>
      <w:r>
        <w:t xml:space="preserve"> </w:t>
      </w:r>
      <w:r w:rsidR="00F54D92" w:rsidRPr="00FF51C8">
        <w:t>brak</w:t>
      </w:r>
      <w:r>
        <w:t>iem</w:t>
      </w:r>
      <w:r w:rsidR="00F54D92" w:rsidRPr="00FF51C8">
        <w:t xml:space="preserve"> zainteresowania ze strony ESCO</w:t>
      </w:r>
      <w:r w:rsidR="00F54D92">
        <w:t xml:space="preserve"> </w:t>
      </w:r>
      <w:r w:rsidR="00F54D92" w:rsidRPr="00FF51C8">
        <w:t>wsparci</w:t>
      </w:r>
      <w:r w:rsidR="00F54D92">
        <w:t>em</w:t>
      </w:r>
      <w:r w:rsidR="00F54D92" w:rsidRPr="00FF51C8">
        <w:t xml:space="preserve"> w postaci pożyczki na </w:t>
      </w:r>
      <w:proofErr w:type="spellStart"/>
      <w:r w:rsidR="00F54D92" w:rsidRPr="00FF51C8">
        <w:t>pre</w:t>
      </w:r>
      <w:proofErr w:type="spellEnd"/>
      <w:r w:rsidR="00F54D92" w:rsidRPr="00FF51C8">
        <w:t>-finansowanie inwestycji w termomodernizację budynków użyteczności publicznej, nawet na preferencyjnych warunkach.</w:t>
      </w:r>
      <w:r w:rsidR="00F54D92">
        <w:t xml:space="preserve"> </w:t>
      </w:r>
    </w:p>
    <w:p w14:paraId="60B1D9F1" w14:textId="392CC666" w:rsidR="00B04666" w:rsidRDefault="00FA5127" w:rsidP="002C5A8A">
      <w:pPr>
        <w:pStyle w:val="Akapitzlist"/>
        <w:spacing w:line="276" w:lineRule="auto"/>
        <w:jc w:val="both"/>
      </w:pPr>
      <w:r>
        <w:t>W związku z tym p</w:t>
      </w:r>
      <w:r w:rsidR="00B04666">
        <w:t xml:space="preserve">roponuje się udzielić dofinansowania do 100% kosztów inwestycji dla </w:t>
      </w:r>
      <w:r>
        <w:t>n-</w:t>
      </w:r>
      <w:proofErr w:type="spellStart"/>
      <w:r>
        <w:t>pjb</w:t>
      </w:r>
      <w:proofErr w:type="spellEnd"/>
      <w:r>
        <w:t xml:space="preserve"> </w:t>
      </w:r>
      <w:r w:rsidR="00B04666">
        <w:t xml:space="preserve"> (z pominięciem finansowania bezpośrednio firm ESCO</w:t>
      </w:r>
      <w:r>
        <w:t xml:space="preserve">, </w:t>
      </w:r>
      <w:r w:rsidR="008F0155">
        <w:t xml:space="preserve">zaktualizowany </w:t>
      </w:r>
      <w:r>
        <w:t xml:space="preserve">model opisano w </w:t>
      </w:r>
      <w:hyperlink w:anchor="_Model_wsparcia_dla" w:history="1">
        <w:r w:rsidRPr="00150010">
          <w:rPr>
            <w:rStyle w:val="Hipercze"/>
          </w:rPr>
          <w:t>sekcji 3.5.1</w:t>
        </w:r>
      </w:hyperlink>
      <w:r w:rsidR="00B04666">
        <w:t>)</w:t>
      </w:r>
      <w:r>
        <w:t xml:space="preserve"> w tym:</w:t>
      </w:r>
    </w:p>
    <w:p w14:paraId="7E2C0741" w14:textId="6E647ADB" w:rsidR="00FA5127" w:rsidRDefault="00B04666" w:rsidP="002C5A8A">
      <w:pPr>
        <w:pStyle w:val="Akapitzlist"/>
        <w:numPr>
          <w:ilvl w:val="0"/>
          <w:numId w:val="41"/>
        </w:numPr>
        <w:spacing w:line="276" w:lineRule="auto"/>
        <w:jc w:val="both"/>
      </w:pPr>
      <w:r>
        <w:t xml:space="preserve">do 85% - </w:t>
      </w:r>
      <w:r w:rsidR="00480D38">
        <w:t xml:space="preserve">ze </w:t>
      </w:r>
      <w:r>
        <w:t>środk</w:t>
      </w:r>
      <w:r w:rsidR="00480D38">
        <w:t>ów</w:t>
      </w:r>
      <w:r>
        <w:t xml:space="preserve"> </w:t>
      </w:r>
      <w:proofErr w:type="spellStart"/>
      <w:r>
        <w:t>FE</w:t>
      </w:r>
      <w:r w:rsidR="00C414EA">
        <w:t>nIKS</w:t>
      </w:r>
      <w:proofErr w:type="spellEnd"/>
      <w:r>
        <w:t>, gdzie maksymalnie do 49% kosztów inwestycji w formie dotacji – zależnie od spodziewanych oszczędności energii końcowej, pozostałe środki to nieoprocentowana pożyczka zwracana z uzyskiwanych oszczędności energii;</w:t>
      </w:r>
    </w:p>
    <w:p w14:paraId="3B25D84B" w14:textId="74A5549C" w:rsidR="00B04666" w:rsidRDefault="00B04666" w:rsidP="002C5A8A">
      <w:pPr>
        <w:pStyle w:val="Akapitzlist"/>
        <w:numPr>
          <w:ilvl w:val="0"/>
          <w:numId w:val="41"/>
        </w:numPr>
        <w:spacing w:line="276" w:lineRule="auto"/>
        <w:jc w:val="both"/>
      </w:pPr>
      <w:r>
        <w:lastRenderedPageBreak/>
        <w:t>do 15% - preferencyjn</w:t>
      </w:r>
      <w:r w:rsidR="00A416D8">
        <w:t>a</w:t>
      </w:r>
      <w:r>
        <w:t xml:space="preserve"> pożyczka NFOŚiGW zwracana z uzyskiwanych oszczędności energii.</w:t>
      </w:r>
    </w:p>
    <w:p w14:paraId="04B9B95F" w14:textId="540F9255" w:rsidR="00480D38" w:rsidRDefault="00480D38" w:rsidP="00480D38">
      <w:pPr>
        <w:spacing w:line="276" w:lineRule="auto"/>
        <w:ind w:left="360"/>
        <w:jc w:val="both"/>
      </w:pPr>
      <w:r>
        <w:t>Zakłada się, iż na tym etapie rozwoju rynku firm ESCO zaproponowane rozwiązanie zminimalizuje ryzyka związane z zawyżaniem kosztów realizacji inwestycji poprzez:</w:t>
      </w:r>
    </w:p>
    <w:p w14:paraId="64092DC1" w14:textId="4D52DFB8" w:rsidR="00480D38" w:rsidRDefault="00480D38" w:rsidP="002C5A8A">
      <w:pPr>
        <w:pStyle w:val="Akapitzlist"/>
        <w:numPr>
          <w:ilvl w:val="0"/>
          <w:numId w:val="43"/>
        </w:numPr>
        <w:spacing w:line="276" w:lineRule="auto"/>
        <w:jc w:val="both"/>
      </w:pPr>
      <w:r>
        <w:t>zapewnienie zbilansowania kosztów inwestycji do 100% z uwzględnieniem dotacji do 49%;</w:t>
      </w:r>
    </w:p>
    <w:p w14:paraId="4F2D2073" w14:textId="104CD04F" w:rsidR="00480D38" w:rsidRDefault="00480D38" w:rsidP="002C5A8A">
      <w:pPr>
        <w:pStyle w:val="Akapitzlist"/>
        <w:numPr>
          <w:ilvl w:val="0"/>
          <w:numId w:val="43"/>
        </w:numPr>
        <w:spacing w:line="276" w:lineRule="auto"/>
        <w:jc w:val="both"/>
      </w:pPr>
      <w:r>
        <w:t>rozszerzenie potencjalnej liczby firm ESCO, obecnie znacznie ograniczoną zdolnościami pozyskania środków zewnętrznych na pokrycie środków własnych;</w:t>
      </w:r>
    </w:p>
    <w:p w14:paraId="1142C5BB" w14:textId="7A421E48" w:rsidR="00480D38" w:rsidRDefault="00480D38" w:rsidP="002C5A8A">
      <w:pPr>
        <w:pStyle w:val="Akapitzlist"/>
        <w:numPr>
          <w:ilvl w:val="0"/>
          <w:numId w:val="43"/>
        </w:numPr>
        <w:spacing w:line="276" w:lineRule="auto"/>
        <w:jc w:val="both"/>
      </w:pPr>
      <w:r>
        <w:t>standaryzację kwestii uzyskiwania i rozliczania corocznych Gwarantowanych Oszczędności Energii;</w:t>
      </w:r>
    </w:p>
    <w:p w14:paraId="1EAF4E6A" w14:textId="1665C25F" w:rsidR="00480D38" w:rsidRDefault="00480D38" w:rsidP="00C63615">
      <w:pPr>
        <w:spacing w:line="276" w:lineRule="auto"/>
        <w:ind w:left="360"/>
        <w:jc w:val="both"/>
      </w:pPr>
      <w:r>
        <w:t xml:space="preserve">Powyższe jest oczekiwane i postrzegane przez potencjalnych wnioskodawców jak i przez nieliczne firmy ESCO jako warunek stworzenia dogodnych warunków dla realizacji inwestycji w formule EPC/ESCO.  Tak samo widzą to potencjalni wnioskodawcy spodziewając się obniżenia zawyżanych kosztów inwestycji i potwierdzają to w rozmowach podmioty  zainteresowane uzyskaniem dofinansowania w ramach opracowywanego instrumentu finansowego w ramach środków </w:t>
      </w:r>
      <w:proofErr w:type="spellStart"/>
      <w:r>
        <w:t>FEnIKS</w:t>
      </w:r>
      <w:proofErr w:type="spellEnd"/>
      <w:r>
        <w:t>, którzy również prowadzą już wstępne rozmowy z potencjalnymi firmami ESCO.</w:t>
      </w:r>
    </w:p>
    <w:p w14:paraId="1D93925E" w14:textId="788ABE8A" w:rsidR="006F030D" w:rsidRPr="00EC2E32" w:rsidRDefault="00A12AF1" w:rsidP="00EC2E32">
      <w:pPr>
        <w:pStyle w:val="Nagwek2"/>
      </w:pPr>
      <w:bookmarkStart w:id="66" w:name="_Toc187745764"/>
      <w:r w:rsidRPr="00EC2E32">
        <w:t>Uwarunkowania wsparcia wynikające z wykorzystania środków FEnIKS:</w:t>
      </w:r>
      <w:bookmarkEnd w:id="66"/>
    </w:p>
    <w:p w14:paraId="1490E760" w14:textId="3672B794" w:rsidR="00146485" w:rsidRPr="008B613D" w:rsidRDefault="00146485" w:rsidP="00592520">
      <w:pPr>
        <w:spacing w:line="276" w:lineRule="auto"/>
        <w:jc w:val="both"/>
      </w:pPr>
      <w:r w:rsidRPr="008B613D">
        <w:t>Biorąc pod uwagę uwarunkowania wynikające z kwestii programowych FEnIKS, należy przyją</w:t>
      </w:r>
      <w:r w:rsidR="00664C7C">
        <w:t>ć</w:t>
      </w:r>
      <w:r w:rsidRPr="008B613D">
        <w:t xml:space="preserve"> następujące uwarunkowania:</w:t>
      </w:r>
    </w:p>
    <w:p w14:paraId="539A935E" w14:textId="69F96DFF" w:rsidR="00146485" w:rsidRPr="00EC2E32" w:rsidRDefault="00A12AF1" w:rsidP="006A3FCE">
      <w:pPr>
        <w:pStyle w:val="Akapitzlist"/>
        <w:numPr>
          <w:ilvl w:val="0"/>
          <w:numId w:val="32"/>
        </w:numPr>
        <w:spacing w:line="276" w:lineRule="auto"/>
        <w:jc w:val="both"/>
      </w:pPr>
      <w:r w:rsidRPr="00EC2E32">
        <w:t>W zakresie poprawy efektywności energetycznej budynków, minimalny próg wymaganych oszczędności energii pierwotnej, uwzględniający zakres projektu, wynosi 30% (z wyjątkiem budynków zabytkowych).</w:t>
      </w:r>
    </w:p>
    <w:p w14:paraId="712B80CC" w14:textId="4329C7A4" w:rsidR="00146485" w:rsidRPr="00EC2E32" w:rsidRDefault="00A12AF1" w:rsidP="006A3FCE">
      <w:pPr>
        <w:pStyle w:val="Akapitzlist"/>
        <w:numPr>
          <w:ilvl w:val="0"/>
          <w:numId w:val="32"/>
        </w:numPr>
        <w:spacing w:line="276" w:lineRule="auto"/>
        <w:jc w:val="both"/>
      </w:pPr>
      <w:r w:rsidRPr="00EC2E32">
        <w:t>Zakres działań w odniesieniu do budynków, urządzeń technicznych lub instalacji i procesów technologicznych musi wynikać z audytów energetycznych</w:t>
      </w:r>
      <w:r w:rsidR="00A003BD" w:rsidRPr="00EC2E32">
        <w:t>.</w:t>
      </w:r>
      <w:r w:rsidRPr="00EC2E32">
        <w:t xml:space="preserve"> </w:t>
      </w:r>
    </w:p>
    <w:p w14:paraId="17CFA167" w14:textId="668B4EE8" w:rsidR="004909B9" w:rsidRDefault="00A12AF1" w:rsidP="006A3FCE">
      <w:pPr>
        <w:pStyle w:val="Akapitzlist"/>
        <w:numPr>
          <w:ilvl w:val="0"/>
          <w:numId w:val="32"/>
        </w:numPr>
        <w:spacing w:line="276" w:lineRule="auto"/>
        <w:jc w:val="both"/>
      </w:pPr>
      <w:r w:rsidRPr="00EC2E32">
        <w:t>W przypadku projektów kompleksowych wspierane mogą być także elementy niewynikające z</w:t>
      </w:r>
      <w:r w:rsidR="00664C7C">
        <w:t> </w:t>
      </w:r>
      <w:r w:rsidRPr="00EC2E32">
        <w:t xml:space="preserve">audytów energetycznych, jeżeli realizują szersze cele Europejskiego Zielonego Ładu, w tym strategii na rzecz Fali renowacji, np. zwiększenie powierzchni zielonych (zielone dachy, ściany), </w:t>
      </w:r>
      <w:proofErr w:type="spellStart"/>
      <w:r w:rsidRPr="00EC2E32">
        <w:t>elektromobilności</w:t>
      </w:r>
      <w:proofErr w:type="spellEnd"/>
      <w:r w:rsidRPr="00EC2E32">
        <w:t xml:space="preserve">, rozwiązania na rzecz gospodarki </w:t>
      </w:r>
      <w:r w:rsidR="00664C7C">
        <w:t>w</w:t>
      </w:r>
      <w:r w:rsidRPr="00EC2E32">
        <w:t xml:space="preserve"> obiegu zamkniętym, infrastruktura związana z dostępnością, montaż urządzeń do magazynowania energii i służących cyfryzacji budynku. Wsparcie dla elementów wykraczających poza audyt energetyczny będzie możliwe do wysokości 15% kosztów kwalifikowalnych projektu.</w:t>
      </w:r>
    </w:p>
    <w:p w14:paraId="66ED30D9" w14:textId="7BB86C88" w:rsidR="00932923" w:rsidRPr="00EC2E32" w:rsidRDefault="00932923" w:rsidP="00EC2E32">
      <w:pPr>
        <w:pStyle w:val="Nagwek2"/>
      </w:pPr>
      <w:bookmarkStart w:id="67" w:name="_Toc187745765"/>
      <w:r w:rsidRPr="00EC2E32">
        <w:t>Proponowan</w:t>
      </w:r>
      <w:r w:rsidR="008C185B">
        <w:t>y</w:t>
      </w:r>
      <w:r w:rsidRPr="00EC2E32">
        <w:t xml:space="preserve"> model wsparcia</w:t>
      </w:r>
      <w:r w:rsidR="00936FD1" w:rsidRPr="00EC2E32">
        <w:t xml:space="preserve"> dla wspierania termomodernizacji dla </w:t>
      </w:r>
      <w:r w:rsidR="00260638">
        <w:t xml:space="preserve">niezabytkowych </w:t>
      </w:r>
      <w:r w:rsidR="00936FD1" w:rsidRPr="00EC2E32">
        <w:t xml:space="preserve">budynków użyteczności publicznej dla </w:t>
      </w:r>
      <w:r w:rsidR="00664C7C">
        <w:t>nie-</w:t>
      </w:r>
      <w:proofErr w:type="spellStart"/>
      <w:r w:rsidR="00664C7C">
        <w:t>pjb</w:t>
      </w:r>
      <w:proofErr w:type="spellEnd"/>
      <w:r w:rsidRPr="00EC2E32">
        <w:t>:</w:t>
      </w:r>
      <w:bookmarkEnd w:id="67"/>
    </w:p>
    <w:p w14:paraId="0303C5F3" w14:textId="0E1B3DF7" w:rsidR="002401D9" w:rsidRPr="00592520" w:rsidRDefault="00DF4962" w:rsidP="002401D9">
      <w:pPr>
        <w:spacing w:line="276" w:lineRule="auto"/>
        <w:jc w:val="both"/>
      </w:pPr>
      <w:r>
        <w:rPr>
          <w:bCs/>
        </w:rPr>
        <w:t>Z</w:t>
      </w:r>
      <w:r w:rsidR="002401D9" w:rsidRPr="00592520">
        <w:rPr>
          <w:bCs/>
        </w:rPr>
        <w:t xml:space="preserve">asadne jest, aby </w:t>
      </w:r>
      <w:r w:rsidR="002401D9" w:rsidRPr="00592520">
        <w:t>audyty energetyczne ex-</w:t>
      </w:r>
      <w:proofErr w:type="spellStart"/>
      <w:r w:rsidR="002401D9" w:rsidRPr="00592520">
        <w:t>ante</w:t>
      </w:r>
      <w:proofErr w:type="spellEnd"/>
      <w:r w:rsidR="002401D9" w:rsidRPr="00592520">
        <w:t xml:space="preserve"> stanowiły istotny element wybranej oferty firmy ESCO, zarówno w odniesieniu do docelowego modelu usprawnień budynków, jak i wyceny kosztów tych usprawnień oraz będą potwierdzać spełnienie warunków technicznych planowanego naboru dla określonego poziomu wsparcia. Zakłada się, że firma ESCO, biorąc na siebie większość </w:t>
      </w:r>
      <w:proofErr w:type="spellStart"/>
      <w:r w:rsidR="002401D9" w:rsidRPr="00592520">
        <w:t>ryzyk</w:t>
      </w:r>
      <w:proofErr w:type="spellEnd"/>
      <w:r w:rsidR="002401D9" w:rsidRPr="00592520">
        <w:t>, powinna mieć wpływ na ostateczny kształt audytu energetycznego ex-</w:t>
      </w:r>
      <w:proofErr w:type="spellStart"/>
      <w:r w:rsidR="002401D9" w:rsidRPr="00592520">
        <w:t>ante</w:t>
      </w:r>
      <w:proofErr w:type="spellEnd"/>
      <w:r w:rsidR="002401D9" w:rsidRPr="00592520">
        <w:t xml:space="preserve"> czyli docelowego zestawu usprawnień w</w:t>
      </w:r>
      <w:r w:rsidR="00664C7C" w:rsidRPr="00592520">
        <w:t> </w:t>
      </w:r>
      <w:r w:rsidR="002401D9" w:rsidRPr="00592520">
        <w:t>ramach poprawy efektywności energetycznej budynku użyteczności publicznej. Planuje się obowiązkową realizację w ramach przedsięwzięcia systemu BMS</w:t>
      </w:r>
      <w:r w:rsidR="00854F15" w:rsidRPr="00592520">
        <w:t xml:space="preserve"> (</w:t>
      </w:r>
      <w:proofErr w:type="spellStart"/>
      <w:r w:rsidR="00854F15" w:rsidRPr="00592520">
        <w:rPr>
          <w:i/>
          <w:iCs/>
        </w:rPr>
        <w:t>Building</w:t>
      </w:r>
      <w:proofErr w:type="spellEnd"/>
      <w:r w:rsidR="00854F15" w:rsidRPr="00592520">
        <w:rPr>
          <w:i/>
          <w:iCs/>
        </w:rPr>
        <w:t xml:space="preserve"> Management System</w:t>
      </w:r>
      <w:r w:rsidR="00854F15" w:rsidRPr="00592520">
        <w:t>)</w:t>
      </w:r>
      <w:r w:rsidR="002401D9" w:rsidRPr="00592520">
        <w:t>, bez którego nie byłoby możliwe skuteczne zarządzanie energią.</w:t>
      </w:r>
    </w:p>
    <w:p w14:paraId="42CDB858" w14:textId="1BCFC890" w:rsidR="002401D9" w:rsidRDefault="002401D9" w:rsidP="002401D9">
      <w:pPr>
        <w:spacing w:line="276" w:lineRule="auto"/>
        <w:jc w:val="both"/>
      </w:pPr>
      <w:r w:rsidRPr="00592520">
        <w:lastRenderedPageBreak/>
        <w:t xml:space="preserve">Ponadto, przewiduje się, że w ramach kosztów kwalifikowanych projektu beneficjent będzie mógł powołać tzw. </w:t>
      </w:r>
      <w:proofErr w:type="spellStart"/>
      <w:r w:rsidRPr="00592520">
        <w:t>facylitatora</w:t>
      </w:r>
      <w:proofErr w:type="spellEnd"/>
      <w:r w:rsidRPr="00592520">
        <w:t xml:space="preserve"> (niezbędna pomoc techniczna do prowadzenia technicznego dialogu z firmą ESCO na każdym z etapów: od wyboru firmy ESCO, rozliczenie inwestycji, rozliczenie dofinansowania, aż do rozliczania GOE), czyli dowolnego eksperta/grupy ekspertów wybieranego w trybie konkurencyjnym (zgodnie z PZP), dla każdego przedsięwzięcia osobno, z</w:t>
      </w:r>
      <w:r w:rsidR="00664C7C" w:rsidRPr="00592520">
        <w:t> </w:t>
      </w:r>
      <w:r w:rsidRPr="00592520">
        <w:t>uwzględnieniem jego lokalnej specyfiki, planowanego zakresu, lokalizacji oraz zidentyfikowanych potrzeb.</w:t>
      </w:r>
    </w:p>
    <w:p w14:paraId="173A584C" w14:textId="5F25D38E" w:rsidR="00952BFB" w:rsidRDefault="006C3234" w:rsidP="006C3234">
      <w:pPr>
        <w:spacing w:line="276" w:lineRule="auto"/>
        <w:jc w:val="both"/>
      </w:pPr>
      <w:r>
        <w:t xml:space="preserve">Istotne jest, aby– dopuścić możliwość składania wniosków o dofinansowanie w tej formule, gdy beneficjent nie ma jeszcze zawartej umowy EPC i wybranej firmy ESCO. Pojawia się wtedy możliwość uzyskania realnego wsparcia technicznego (ww. </w:t>
      </w:r>
      <w:proofErr w:type="spellStart"/>
      <w:r>
        <w:t>facylitatora</w:t>
      </w:r>
      <w:proofErr w:type="spellEnd"/>
      <w:r>
        <w:t xml:space="preserve">), </w:t>
      </w:r>
      <w:r w:rsidR="003B5602">
        <w:br/>
      </w:r>
      <w:r>
        <w:t>w ramach projektu, na etap przygotowania wyboru firmy ESCO z uwzględnieniem PZP i posiadania wsparcia technicznego na etap zawierania Umowy EPC, gdzie struktura zagadnień technicznych rozliczania corocznej Gwarantowanej Oszczędności Energii jest kluczowa dla zabezpieczenia interesów stron Umowy EPC.</w:t>
      </w:r>
    </w:p>
    <w:p w14:paraId="6925E33B" w14:textId="1E54A60F" w:rsidR="002401D9" w:rsidRPr="00592520" w:rsidRDefault="002401D9" w:rsidP="002401D9">
      <w:pPr>
        <w:spacing w:line="276" w:lineRule="auto"/>
        <w:jc w:val="both"/>
      </w:pPr>
      <w:r w:rsidRPr="00592520">
        <w:t>Na potrzeby realizacji wsparcia termomodernizacji budynków użyteczności publicznej w</w:t>
      </w:r>
      <w:r w:rsidR="00664C7C" w:rsidRPr="00592520">
        <w:t> </w:t>
      </w:r>
      <w:r w:rsidR="00690DBA">
        <w:t xml:space="preserve">obligatoryjnej </w:t>
      </w:r>
      <w:r w:rsidRPr="00592520">
        <w:t>formule ESCO/EPC proponuje się dodatkowo określić minimalne warunki techniczne dla budynków użyteczności publicznej z uwzględnieniem rodzaju budynków, które powinny być zapewnione przez docelowy scenariusz usprawnień. Wszelkie szczegóły techniczne dotyczące powyższych wymagań powinny być zapisane (technicznym językiem) w osobnym dokumencie jako podstawa opracowania docelowej dokumentacji technicznej, na podstawie której budynki, z uwzględnieniem rodzaju, będą spełniały minimalne wymagania techniczne</w:t>
      </w:r>
      <w:r w:rsidR="006C3234">
        <w:t xml:space="preserve"> </w:t>
      </w:r>
      <w:r w:rsidR="006C3234" w:rsidRPr="006C3234">
        <w:t>wraz z określeniem podstawowych zasad rozliczenia uzyskiwania GOE na etapie zarządzania energią w budynku. Standaryzacja techniczna procesu corocznego rozliczania uzyskiwania GOE w projektach jest warunkiem rozwoju rynku ESCO w Polsce</w:t>
      </w:r>
      <w:r w:rsidRPr="00592520">
        <w:t>. W</w:t>
      </w:r>
      <w:r w:rsidR="00664C7C" w:rsidRPr="00592520">
        <w:t> </w:t>
      </w:r>
      <w:r w:rsidRPr="00592520">
        <w:t xml:space="preserve">przyszłości wymagania docelowego standardu budynków mogły by być odniesione do planowanych minimalnych klas energetycznych budynków, zależnie od ostatecznej formy wdrożenia Dyrektywy EPBD w tym zakresie. </w:t>
      </w:r>
      <w:bookmarkStart w:id="68" w:name="_Hlk189212453"/>
      <w:r w:rsidRPr="00954317">
        <w:t xml:space="preserve">Ze względu na możliwość uzyskania dofinansowania do </w:t>
      </w:r>
      <w:r w:rsidR="00373B67">
        <w:t>100%</w:t>
      </w:r>
      <w:r w:rsidRPr="00954317">
        <w:t xml:space="preserve"> w określonych przypadkach</w:t>
      </w:r>
      <w:r w:rsidRPr="00592520">
        <w:t xml:space="preserve">, należy również założyć dla tych przedsięwzięć minimalny okres zarzadzania energią w budynkach użyteczności publicznej realizowany przez firmę ESCO, który będzie </w:t>
      </w:r>
      <w:r w:rsidR="003B5602">
        <w:t xml:space="preserve"> </w:t>
      </w:r>
      <w:r w:rsidR="006C3234">
        <w:t>uwzględniał przynajmniej okres trwałości określony w umowie o dofinansowanie</w:t>
      </w:r>
      <w:r w:rsidRPr="00592520">
        <w:t xml:space="preserve">. </w:t>
      </w:r>
    </w:p>
    <w:bookmarkEnd w:id="68"/>
    <w:p w14:paraId="6D8B486A" w14:textId="77777777" w:rsidR="002401D9" w:rsidRPr="00592520" w:rsidRDefault="002401D9" w:rsidP="002401D9">
      <w:pPr>
        <w:spacing w:line="276" w:lineRule="auto"/>
        <w:jc w:val="both"/>
      </w:pPr>
      <w:r w:rsidRPr="00592520">
        <w:t xml:space="preserve">W związku z powyższym proponuje się uwzględnienie 3 poziomów dofinansowania skierowanego bezpośrednio do beneficjentów dla różnych scenariuszy realizacyjnych, związanych z planowanymi poziomami oszczędności energii końcowej: </w:t>
      </w:r>
    </w:p>
    <w:p w14:paraId="4B0C4D01" w14:textId="55799D20" w:rsidR="002401D9" w:rsidRPr="00592520" w:rsidRDefault="002401D9" w:rsidP="008B613D">
      <w:pPr>
        <w:pStyle w:val="Akapitzlist"/>
        <w:numPr>
          <w:ilvl w:val="0"/>
          <w:numId w:val="11"/>
        </w:numPr>
        <w:spacing w:line="276" w:lineRule="auto"/>
        <w:jc w:val="both"/>
      </w:pPr>
      <w:r w:rsidRPr="00592520">
        <w:rPr>
          <w:b/>
        </w:rPr>
        <w:t>mała termomodernizacja</w:t>
      </w:r>
      <w:r w:rsidRPr="00592520">
        <w:t xml:space="preserve"> - np. usprawnienie tylko instalacyjne (zakładające możliwość przekazania do zarządzania energią już ocieplonych ostatnio budynków) np. montaż obowiązkowego systemu BMS/oświetlenie/PV/liczniki inteligentne itp. Warun</w:t>
      </w:r>
      <w:r w:rsidR="00854F15" w:rsidRPr="00592520">
        <w:t>kiem jest</w:t>
      </w:r>
      <w:r w:rsidRPr="00592520">
        <w:t xml:space="preserve"> redukcja zapotrzebowania </w:t>
      </w:r>
      <w:r w:rsidRPr="00004980">
        <w:t>energii końcowej minimum 30%.</w:t>
      </w:r>
      <w:r w:rsidRPr="00592520">
        <w:t xml:space="preserve"> Pozwoli to na dołączenie budynków już </w:t>
      </w:r>
      <w:proofErr w:type="spellStart"/>
      <w:r w:rsidRPr="00592520">
        <w:t>termomodernizowanych</w:t>
      </w:r>
      <w:proofErr w:type="spellEnd"/>
      <w:r w:rsidRPr="00592520">
        <w:t xml:space="preserve"> w ostatnich latach, które mogłyby rozszerzyć </w:t>
      </w:r>
      <w:r w:rsidR="00854F15" w:rsidRPr="00592520">
        <w:t>wykaz</w:t>
      </w:r>
      <w:r w:rsidRPr="00592520">
        <w:t xml:space="preserve"> ewentualnych budynków skierowanych do zarządzania energią przez firmy ESCO po niewielkich usprawnieniach instalacyjnych np. montaż systemu zarzadzania energią, dodatkowe OZE itp. Minimalny obowiązkowy okres zarządzania energią proponuje się</w:t>
      </w:r>
      <w:r w:rsidR="006C3234">
        <w:t xml:space="preserve"> objąć na przynajmniej okres trwałości projektu</w:t>
      </w:r>
      <w:r w:rsidRPr="00592520">
        <w:t>,</w:t>
      </w:r>
      <w:r w:rsidR="006C3234">
        <w:t xml:space="preserve"> lub więcej</w:t>
      </w:r>
      <w:r w:rsidRPr="00592520">
        <w:t xml:space="preserve"> o ile wynika to z innych warunków (</w:t>
      </w:r>
      <w:r w:rsidR="006C3234">
        <w:t xml:space="preserve">np. </w:t>
      </w:r>
      <w:r w:rsidRPr="00592520">
        <w:t>do spłaty kosztów inwestycji z powstałych oszczędności energii).</w:t>
      </w:r>
    </w:p>
    <w:p w14:paraId="31F2FBD3" w14:textId="30DC26CF" w:rsidR="002401D9" w:rsidRPr="00592520" w:rsidRDefault="002401D9" w:rsidP="002401D9">
      <w:pPr>
        <w:pStyle w:val="Akapitzlist"/>
        <w:numPr>
          <w:ilvl w:val="0"/>
          <w:numId w:val="11"/>
        </w:numPr>
        <w:spacing w:line="276" w:lineRule="auto"/>
        <w:jc w:val="both"/>
      </w:pPr>
      <w:r w:rsidRPr="00592520">
        <w:rPr>
          <w:b/>
        </w:rPr>
        <w:t xml:space="preserve">Średnia termomodernizacja </w:t>
      </w:r>
      <w:r w:rsidRPr="00592520">
        <w:t>– podstawowe działania termomodernizacyjne. Warun</w:t>
      </w:r>
      <w:r w:rsidR="00854F15" w:rsidRPr="00592520">
        <w:t>kiem jest</w:t>
      </w:r>
      <w:r w:rsidRPr="00592520">
        <w:t xml:space="preserve"> redukcja zapotrzebowania na </w:t>
      </w:r>
      <w:r w:rsidRPr="00004980">
        <w:t>energię końcową</w:t>
      </w:r>
      <w:r w:rsidRPr="00592520">
        <w:t xml:space="preserve"> budynku pomiędzy 45% a 60%. Średnia </w:t>
      </w:r>
      <w:r w:rsidRPr="00592520">
        <w:lastRenderedPageBreak/>
        <w:t>termomodernizacja dotyczyłaby w szczególności szeregu podstawowych działań termomodernizacyjnych z elementem zarzadzania energią. Minimalny obowiązkowy okres zarządzania energią proponuje się</w:t>
      </w:r>
      <w:r w:rsidR="006C3234" w:rsidRPr="006C3234">
        <w:t xml:space="preserve"> objąć na przynajmniej okres trwałości projektu, lub więcej </w:t>
      </w:r>
      <w:r w:rsidRPr="00592520">
        <w:t>, o ile wynika to z innych warunków (</w:t>
      </w:r>
      <w:r w:rsidR="006C3234">
        <w:t xml:space="preserve">np. </w:t>
      </w:r>
      <w:r w:rsidRPr="00592520">
        <w:t>do spłaty kosztów inwestycji z powstałych oszczędności energii).</w:t>
      </w:r>
    </w:p>
    <w:p w14:paraId="750214DF" w14:textId="3CBF802B" w:rsidR="002401D9" w:rsidRPr="00592520" w:rsidRDefault="002401D9" w:rsidP="002401D9">
      <w:pPr>
        <w:pStyle w:val="Akapitzlist"/>
        <w:numPr>
          <w:ilvl w:val="0"/>
          <w:numId w:val="11"/>
        </w:numPr>
        <w:spacing w:line="276" w:lineRule="auto"/>
        <w:jc w:val="both"/>
      </w:pPr>
      <w:r w:rsidRPr="00592520">
        <w:rPr>
          <w:b/>
        </w:rPr>
        <w:t xml:space="preserve">głęboka termomodernizacja + obowiązkowe działania dodatkowe EPC+. </w:t>
      </w:r>
      <w:r w:rsidRPr="00592520">
        <w:t>Warun</w:t>
      </w:r>
      <w:r w:rsidR="00854F15" w:rsidRPr="00592520">
        <w:t>kiem jest</w:t>
      </w:r>
      <w:r w:rsidRPr="00592520">
        <w:t xml:space="preserve"> redukcja zapotrzebowania na </w:t>
      </w:r>
      <w:r w:rsidRPr="00004980">
        <w:t>energię końcową budynku powyżej 60%.</w:t>
      </w:r>
      <w:r w:rsidRPr="00592520">
        <w:t xml:space="preserve"> Największa forma wsparcia służyłaby dofinansowaniu </w:t>
      </w:r>
      <w:r w:rsidR="001D2096" w:rsidRPr="00592520">
        <w:t xml:space="preserve">również </w:t>
      </w:r>
      <w:r w:rsidRPr="00592520">
        <w:t>działań, które nie mają bezpośredniego wpływu na podniesienie standardu energetycznego budynku</w:t>
      </w:r>
      <w:r w:rsidR="00854F15" w:rsidRPr="00592520">
        <w:t>,</w:t>
      </w:r>
      <w:r w:rsidRPr="00592520">
        <w:t xml:space="preserve"> ale szczególnie istotnych, związanych </w:t>
      </w:r>
      <w:r w:rsidR="006A3FCE">
        <w:br/>
      </w:r>
      <w:r w:rsidRPr="00592520">
        <w:t xml:space="preserve">z wprowadzaniem dodatkowych usprawnień takich jak zielono-niebieska infrastruktura, zagospodarowane wód opadowych, </w:t>
      </w:r>
      <w:proofErr w:type="spellStart"/>
      <w:r w:rsidRPr="00592520">
        <w:t>debetonizacja</w:t>
      </w:r>
      <w:proofErr w:type="spellEnd"/>
      <w:r w:rsidRPr="00592520">
        <w:t xml:space="preserve"> terenu wokół budynku czy np. dostosowanie budynku do potrzeb dla osób niepełnosprawnych</w:t>
      </w:r>
      <w:r w:rsidR="0017534F">
        <w:t>,</w:t>
      </w:r>
      <w:r w:rsidRPr="00592520">
        <w:t xml:space="preserve"> itp.</w:t>
      </w:r>
      <w:r w:rsidR="001D2096" w:rsidRPr="00592520">
        <w:t xml:space="preserve">, jeżeli realizują szersze cele Europejskiego Zielonego Ładu, w tym strategii na rzecz Fali renowacji, o których mowa </w:t>
      </w:r>
      <w:r w:rsidR="006A3FCE">
        <w:br/>
      </w:r>
      <w:r w:rsidR="001D2096" w:rsidRPr="00592520">
        <w:t xml:space="preserve">w pkt. </w:t>
      </w:r>
      <w:r w:rsidR="00A57A02" w:rsidRPr="00592520">
        <w:t>3.</w:t>
      </w:r>
      <w:r w:rsidR="001D2096" w:rsidRPr="00592520">
        <w:t>4.3.</w:t>
      </w:r>
      <w:r w:rsidRPr="00592520">
        <w:t xml:space="preserve"> Minimalny obowiązkowy okres zarządzania energią proponuje się</w:t>
      </w:r>
      <w:r w:rsidR="003B65F9">
        <w:t xml:space="preserve"> </w:t>
      </w:r>
      <w:r w:rsidR="006C3234" w:rsidRPr="006C3234">
        <w:t>objąć na przynajmniej okres trwałości projektu, lub więcej</w:t>
      </w:r>
      <w:r w:rsidR="006C3234" w:rsidRPr="00592520" w:rsidDel="006C3234">
        <w:t xml:space="preserve"> </w:t>
      </w:r>
      <w:r w:rsidRPr="00592520">
        <w:t>, o ile okres ten wynika z innych warunków (</w:t>
      </w:r>
      <w:r w:rsidR="006C3234">
        <w:t xml:space="preserve">np. </w:t>
      </w:r>
      <w:r w:rsidRPr="00592520">
        <w:t>do spłaty kosztów inwestycji z powstałych oszczędności energii).</w:t>
      </w:r>
    </w:p>
    <w:p w14:paraId="2FB4DEB4" w14:textId="1870FD70" w:rsidR="004C5F77" w:rsidRPr="00664C7C" w:rsidRDefault="002401D9" w:rsidP="00EC2E32">
      <w:r w:rsidRPr="00664C7C">
        <w:t>Szczegółowy opis proponowan</w:t>
      </w:r>
      <w:r w:rsidR="00DF4962">
        <w:t>ego</w:t>
      </w:r>
      <w:r w:rsidRPr="00664C7C">
        <w:t xml:space="preserve"> model</w:t>
      </w:r>
      <w:r w:rsidR="00DF4962">
        <w:t>u</w:t>
      </w:r>
      <w:r w:rsidRPr="00664C7C">
        <w:t xml:space="preserve"> wsparcia zawarto poniżej.</w:t>
      </w:r>
    </w:p>
    <w:p w14:paraId="57C3952B" w14:textId="25D5A3E4" w:rsidR="00667D47" w:rsidRPr="00EC2E32" w:rsidRDefault="00667D47" w:rsidP="00EC2E32">
      <w:pPr>
        <w:pStyle w:val="Nagwek3"/>
      </w:pPr>
      <w:bookmarkStart w:id="69" w:name="_Toc156258113"/>
      <w:bookmarkStart w:id="70" w:name="_Toc156258144"/>
      <w:bookmarkStart w:id="71" w:name="_Toc156258195"/>
      <w:bookmarkStart w:id="72" w:name="_Model_wsparcia_dla"/>
      <w:bookmarkStart w:id="73" w:name="_Toc187745766"/>
      <w:bookmarkEnd w:id="69"/>
      <w:bookmarkEnd w:id="70"/>
      <w:bookmarkEnd w:id="71"/>
      <w:bookmarkEnd w:id="72"/>
      <w:r w:rsidRPr="00EC2E32">
        <w:t xml:space="preserve">Model </w:t>
      </w:r>
      <w:r w:rsidR="00DF4962">
        <w:t>w</w:t>
      </w:r>
      <w:r w:rsidRPr="00EC2E32">
        <w:t>sparci</w:t>
      </w:r>
      <w:r w:rsidR="00DF4962">
        <w:t>a</w:t>
      </w:r>
      <w:r w:rsidRPr="00EC2E32">
        <w:t xml:space="preserve"> dla </w:t>
      </w:r>
      <w:r w:rsidR="00A5632B" w:rsidRPr="00EC2E32">
        <w:t>nie-</w:t>
      </w:r>
      <w:proofErr w:type="spellStart"/>
      <w:r w:rsidR="00C336A4">
        <w:t>pjb</w:t>
      </w:r>
      <w:bookmarkEnd w:id="73"/>
      <w:proofErr w:type="spellEnd"/>
    </w:p>
    <w:p w14:paraId="4E4E8BE8" w14:textId="0FA6039E" w:rsidR="00FC5500" w:rsidRPr="00592520" w:rsidRDefault="00810BC5" w:rsidP="00667D47">
      <w:pPr>
        <w:spacing w:line="276" w:lineRule="auto"/>
        <w:jc w:val="both"/>
      </w:pPr>
      <w:r>
        <w:t>S</w:t>
      </w:r>
      <w:r w:rsidR="00543DE1" w:rsidRPr="00592520">
        <w:t>chemat</w:t>
      </w:r>
      <w:r>
        <w:t xml:space="preserve"> ten</w:t>
      </w:r>
      <w:r w:rsidR="00543DE1" w:rsidRPr="00592520">
        <w:t xml:space="preserve"> skierowany jest </w:t>
      </w:r>
      <w:r w:rsidR="00A12AF1" w:rsidRPr="00592520">
        <w:t xml:space="preserve">do podmiotów uprawnionych do wsparcia, </w:t>
      </w:r>
      <w:r w:rsidR="00A12AF1" w:rsidRPr="00592520">
        <w:rPr>
          <w:b/>
        </w:rPr>
        <w:t>niebędących państwowymi jednostkami budżetowymi (</w:t>
      </w:r>
      <w:r w:rsidR="00A5632B" w:rsidRPr="00592520">
        <w:rPr>
          <w:b/>
        </w:rPr>
        <w:t>nie</w:t>
      </w:r>
      <w:r w:rsidR="00A12AF1" w:rsidRPr="00592520">
        <w:rPr>
          <w:b/>
        </w:rPr>
        <w:t>-</w:t>
      </w:r>
      <w:proofErr w:type="spellStart"/>
      <w:r w:rsidR="00C336A4" w:rsidRPr="00592520">
        <w:rPr>
          <w:b/>
        </w:rPr>
        <w:t>pjb</w:t>
      </w:r>
      <w:proofErr w:type="spellEnd"/>
      <w:r w:rsidR="00A12AF1" w:rsidRPr="00592520">
        <w:rPr>
          <w:b/>
        </w:rPr>
        <w:t>)</w:t>
      </w:r>
      <w:r w:rsidR="00A12AF1" w:rsidRPr="00592520">
        <w:t xml:space="preserve">, </w:t>
      </w:r>
      <w:r w:rsidR="00543DE1" w:rsidRPr="00592520">
        <w:t xml:space="preserve">takich jak </w:t>
      </w:r>
      <w:r w:rsidR="00A12AF1" w:rsidRPr="00592520">
        <w:t xml:space="preserve">nadzorowane lub podległe organy administracji rządowej i jednostki organizacyjne, prowadzące samodzielną gospodarkę finansową, w tym m.in. szkoły wyższe lub szpitale „resortowe”. </w:t>
      </w:r>
      <w:r>
        <w:t>Istnieje m</w:t>
      </w:r>
      <w:r w:rsidRPr="00810BC5">
        <w:t>ożliwość zwiększenia alokacji na pilotaż dla n</w:t>
      </w:r>
      <w:r w:rsidR="00833010">
        <w:t>ie</w:t>
      </w:r>
      <w:r w:rsidRPr="00810BC5">
        <w:t>-</w:t>
      </w:r>
      <w:proofErr w:type="spellStart"/>
      <w:r w:rsidRPr="00810BC5">
        <w:t>pjb</w:t>
      </w:r>
      <w:proofErr w:type="spellEnd"/>
      <w:r w:rsidRPr="00810BC5">
        <w:t xml:space="preserve">  w zależności od zapotrzebowania / efektów (np. po zakończeniu naborów).</w:t>
      </w:r>
    </w:p>
    <w:tbl>
      <w:tblPr>
        <w:tblStyle w:val="Tabela-Siatka"/>
        <w:tblW w:w="0" w:type="auto"/>
        <w:tblLook w:val="04A0" w:firstRow="1" w:lastRow="0" w:firstColumn="1" w:lastColumn="0" w:noHBand="0" w:noVBand="1"/>
      </w:tblPr>
      <w:tblGrid>
        <w:gridCol w:w="1413"/>
        <w:gridCol w:w="20"/>
        <w:gridCol w:w="2153"/>
        <w:gridCol w:w="3461"/>
        <w:gridCol w:w="2015"/>
      </w:tblGrid>
      <w:tr w:rsidR="005554BF" w14:paraId="66AF74ED" w14:textId="77777777" w:rsidTr="00667D47">
        <w:tc>
          <w:tcPr>
            <w:tcW w:w="9062" w:type="dxa"/>
            <w:gridSpan w:val="5"/>
            <w:shd w:val="pct15" w:color="auto" w:fill="auto"/>
          </w:tcPr>
          <w:p w14:paraId="25B9DF12" w14:textId="51222512" w:rsidR="005554BF" w:rsidRPr="005554BF" w:rsidRDefault="00910EB5" w:rsidP="00981F35">
            <w:pPr>
              <w:spacing w:line="276" w:lineRule="auto"/>
              <w:jc w:val="center"/>
              <w:rPr>
                <w:b/>
                <w:bCs/>
                <w:sz w:val="18"/>
                <w:szCs w:val="18"/>
              </w:rPr>
            </w:pPr>
            <w:r>
              <w:rPr>
                <w:b/>
                <w:bCs/>
                <w:sz w:val="18"/>
                <w:szCs w:val="18"/>
              </w:rPr>
              <w:t xml:space="preserve">Tabela </w:t>
            </w:r>
            <w:r w:rsidR="00F71AC9">
              <w:rPr>
                <w:b/>
                <w:bCs/>
                <w:sz w:val="18"/>
                <w:szCs w:val="18"/>
              </w:rPr>
              <w:t>1</w:t>
            </w:r>
            <w:r>
              <w:rPr>
                <w:b/>
                <w:bCs/>
                <w:sz w:val="18"/>
                <w:szCs w:val="18"/>
              </w:rPr>
              <w:t xml:space="preserve"> </w:t>
            </w:r>
            <w:r w:rsidR="00981F35">
              <w:rPr>
                <w:b/>
                <w:bCs/>
                <w:sz w:val="18"/>
                <w:szCs w:val="18"/>
              </w:rPr>
              <w:t>Założenia modelu wsparcia dla nie-</w:t>
            </w:r>
            <w:proofErr w:type="spellStart"/>
            <w:r w:rsidR="00981F35">
              <w:rPr>
                <w:b/>
                <w:bCs/>
                <w:sz w:val="18"/>
                <w:szCs w:val="18"/>
              </w:rPr>
              <w:t>pjb</w:t>
            </w:r>
            <w:proofErr w:type="spellEnd"/>
            <w:r w:rsidR="00981F35">
              <w:rPr>
                <w:b/>
                <w:bCs/>
                <w:sz w:val="18"/>
                <w:szCs w:val="18"/>
              </w:rPr>
              <w:t xml:space="preserve"> </w:t>
            </w:r>
          </w:p>
        </w:tc>
      </w:tr>
      <w:tr w:rsidR="005554BF" w14:paraId="1B1AABD6" w14:textId="77777777" w:rsidTr="00422465">
        <w:tc>
          <w:tcPr>
            <w:tcW w:w="1433" w:type="dxa"/>
            <w:gridSpan w:val="2"/>
            <w:shd w:val="pct15" w:color="auto" w:fill="auto"/>
          </w:tcPr>
          <w:p w14:paraId="74259B8F" w14:textId="77777777" w:rsidR="005554BF" w:rsidRPr="005554BF" w:rsidRDefault="005554BF" w:rsidP="00667D47">
            <w:pPr>
              <w:spacing w:line="276" w:lineRule="auto"/>
              <w:jc w:val="center"/>
              <w:rPr>
                <w:sz w:val="18"/>
                <w:szCs w:val="18"/>
              </w:rPr>
            </w:pPr>
            <w:r w:rsidRPr="005554BF">
              <w:rPr>
                <w:sz w:val="18"/>
                <w:szCs w:val="18"/>
              </w:rPr>
              <w:t>Forma dofinansowania:</w:t>
            </w:r>
          </w:p>
        </w:tc>
        <w:tc>
          <w:tcPr>
            <w:tcW w:w="2153" w:type="dxa"/>
            <w:shd w:val="pct15" w:color="auto" w:fill="auto"/>
          </w:tcPr>
          <w:p w14:paraId="61CDB9A1" w14:textId="1391AE3E" w:rsidR="005554BF" w:rsidRPr="005554BF" w:rsidRDefault="005554BF" w:rsidP="00667D47">
            <w:pPr>
              <w:spacing w:line="276" w:lineRule="auto"/>
              <w:jc w:val="center"/>
              <w:rPr>
                <w:sz w:val="18"/>
                <w:szCs w:val="18"/>
              </w:rPr>
            </w:pPr>
            <w:r>
              <w:rPr>
                <w:sz w:val="18"/>
                <w:szCs w:val="18"/>
              </w:rPr>
              <w:t>Poziom wsparcia</w:t>
            </w:r>
            <w:r w:rsidR="00D97741">
              <w:rPr>
                <w:sz w:val="18"/>
                <w:szCs w:val="18"/>
              </w:rPr>
              <w:t xml:space="preserve"> (% kosztów kwalifikowalnych – dalej kk.)</w:t>
            </w:r>
            <w:r>
              <w:rPr>
                <w:sz w:val="18"/>
                <w:szCs w:val="18"/>
              </w:rPr>
              <w:t>:</w:t>
            </w:r>
          </w:p>
        </w:tc>
        <w:tc>
          <w:tcPr>
            <w:tcW w:w="3461" w:type="dxa"/>
            <w:shd w:val="pct15" w:color="auto" w:fill="auto"/>
          </w:tcPr>
          <w:p w14:paraId="2C5738EB" w14:textId="77777777" w:rsidR="005554BF" w:rsidRPr="005554BF" w:rsidRDefault="005554BF" w:rsidP="00667D47">
            <w:pPr>
              <w:spacing w:line="276" w:lineRule="auto"/>
              <w:jc w:val="center"/>
              <w:rPr>
                <w:sz w:val="18"/>
                <w:szCs w:val="18"/>
              </w:rPr>
            </w:pPr>
            <w:r>
              <w:rPr>
                <w:sz w:val="18"/>
                <w:szCs w:val="18"/>
              </w:rPr>
              <w:t>Opis działania:</w:t>
            </w:r>
          </w:p>
        </w:tc>
        <w:tc>
          <w:tcPr>
            <w:tcW w:w="2015" w:type="dxa"/>
            <w:shd w:val="pct15" w:color="auto" w:fill="auto"/>
          </w:tcPr>
          <w:p w14:paraId="292F6AA3" w14:textId="77777777" w:rsidR="005554BF" w:rsidRPr="005554BF" w:rsidRDefault="005554BF" w:rsidP="00667D47">
            <w:pPr>
              <w:spacing w:line="276" w:lineRule="auto"/>
              <w:jc w:val="center"/>
              <w:rPr>
                <w:sz w:val="18"/>
                <w:szCs w:val="18"/>
              </w:rPr>
            </w:pPr>
            <w:r>
              <w:rPr>
                <w:sz w:val="18"/>
                <w:szCs w:val="18"/>
              </w:rPr>
              <w:t>Rozliczenie dofinansowania:</w:t>
            </w:r>
          </w:p>
        </w:tc>
      </w:tr>
      <w:tr w:rsidR="00422465" w14:paraId="25D023E1" w14:textId="77777777" w:rsidTr="00422465">
        <w:tc>
          <w:tcPr>
            <w:tcW w:w="1433" w:type="dxa"/>
            <w:gridSpan w:val="2"/>
            <w:vMerge w:val="restart"/>
            <w:vAlign w:val="center"/>
          </w:tcPr>
          <w:p w14:paraId="693EE231" w14:textId="4A5AE0F0" w:rsidR="00422465" w:rsidRPr="005554BF" w:rsidRDefault="00422465" w:rsidP="00667D47">
            <w:pPr>
              <w:spacing w:line="276" w:lineRule="auto"/>
              <w:jc w:val="both"/>
              <w:rPr>
                <w:sz w:val="18"/>
                <w:szCs w:val="18"/>
              </w:rPr>
            </w:pPr>
            <w:r>
              <w:rPr>
                <w:sz w:val="18"/>
                <w:szCs w:val="18"/>
              </w:rPr>
              <w:t>Dotacja</w:t>
            </w:r>
            <w:r w:rsidR="001B5468">
              <w:rPr>
                <w:sz w:val="18"/>
                <w:szCs w:val="18"/>
              </w:rPr>
              <w:t xml:space="preserve"> UE</w:t>
            </w:r>
            <w:r>
              <w:rPr>
                <w:sz w:val="18"/>
                <w:szCs w:val="18"/>
              </w:rPr>
              <w:t>:</w:t>
            </w:r>
          </w:p>
        </w:tc>
        <w:tc>
          <w:tcPr>
            <w:tcW w:w="2153" w:type="dxa"/>
            <w:vAlign w:val="center"/>
          </w:tcPr>
          <w:p w14:paraId="2C786D82" w14:textId="0B27556B" w:rsidR="00422465" w:rsidRPr="005554BF" w:rsidRDefault="00422465" w:rsidP="00115FE7">
            <w:pPr>
              <w:spacing w:line="276" w:lineRule="auto"/>
              <w:jc w:val="center"/>
              <w:rPr>
                <w:sz w:val="18"/>
                <w:szCs w:val="18"/>
              </w:rPr>
            </w:pPr>
            <w:r>
              <w:rPr>
                <w:sz w:val="18"/>
                <w:szCs w:val="18"/>
              </w:rPr>
              <w:t xml:space="preserve">do </w:t>
            </w:r>
            <w:r w:rsidR="001B5468">
              <w:rPr>
                <w:sz w:val="18"/>
                <w:szCs w:val="18"/>
              </w:rPr>
              <w:t>2</w:t>
            </w:r>
            <w:r w:rsidR="004C5F77">
              <w:rPr>
                <w:sz w:val="18"/>
                <w:szCs w:val="18"/>
              </w:rPr>
              <w:t>9</w:t>
            </w:r>
            <w:r>
              <w:rPr>
                <w:sz w:val="18"/>
                <w:szCs w:val="18"/>
              </w:rPr>
              <w:t>%</w:t>
            </w:r>
            <w:r w:rsidR="00AD411D">
              <w:rPr>
                <w:sz w:val="18"/>
                <w:szCs w:val="18"/>
              </w:rPr>
              <w:t xml:space="preserve"> kk</w:t>
            </w:r>
            <w:r w:rsidR="00D97741">
              <w:rPr>
                <w:sz w:val="18"/>
                <w:szCs w:val="18"/>
              </w:rPr>
              <w:t>.</w:t>
            </w:r>
          </w:p>
        </w:tc>
        <w:tc>
          <w:tcPr>
            <w:tcW w:w="3461" w:type="dxa"/>
          </w:tcPr>
          <w:p w14:paraId="230DE9CC" w14:textId="21F7B4A5" w:rsidR="00422465" w:rsidRDefault="00422465" w:rsidP="00667D47">
            <w:pPr>
              <w:spacing w:line="276" w:lineRule="auto"/>
              <w:jc w:val="both"/>
              <w:rPr>
                <w:sz w:val="18"/>
                <w:szCs w:val="18"/>
              </w:rPr>
            </w:pPr>
            <w:r w:rsidRPr="004353DD">
              <w:rPr>
                <w:sz w:val="18"/>
                <w:szCs w:val="18"/>
              </w:rPr>
              <w:t xml:space="preserve">mała termomodernizacja - np. usprawnienie tylko instalacyjne (np. dodanie do już ocieplonych ostatnio budynków: BMS/oświetlenie/PV/liczniki inteligentne itp.) </w:t>
            </w:r>
          </w:p>
          <w:p w14:paraId="287BD22C" w14:textId="36D9EF64" w:rsidR="00422465" w:rsidRDefault="00422465" w:rsidP="00667D47">
            <w:pPr>
              <w:spacing w:line="276" w:lineRule="auto"/>
              <w:jc w:val="both"/>
              <w:rPr>
                <w:sz w:val="18"/>
                <w:szCs w:val="18"/>
              </w:rPr>
            </w:pPr>
            <w:r w:rsidRPr="004353DD">
              <w:rPr>
                <w:sz w:val="18"/>
                <w:szCs w:val="18"/>
              </w:rPr>
              <w:t>Warun</w:t>
            </w:r>
            <w:r>
              <w:rPr>
                <w:sz w:val="18"/>
                <w:szCs w:val="18"/>
              </w:rPr>
              <w:t>ki</w:t>
            </w:r>
            <w:r w:rsidRPr="004353DD">
              <w:rPr>
                <w:sz w:val="18"/>
                <w:szCs w:val="18"/>
              </w:rPr>
              <w:t xml:space="preserve">: </w:t>
            </w:r>
          </w:p>
          <w:p w14:paraId="1A9C21B3" w14:textId="61C193D0" w:rsidR="00422465" w:rsidRDefault="00422465" w:rsidP="00667D47">
            <w:pPr>
              <w:spacing w:line="276" w:lineRule="auto"/>
              <w:jc w:val="both"/>
              <w:rPr>
                <w:sz w:val="18"/>
                <w:szCs w:val="18"/>
              </w:rPr>
            </w:pPr>
            <w:r w:rsidRPr="004353DD">
              <w:rPr>
                <w:sz w:val="18"/>
                <w:szCs w:val="18"/>
              </w:rPr>
              <w:t>redukcja zapotrzebowania energii końcowej minimum 30%</w:t>
            </w:r>
          </w:p>
          <w:p w14:paraId="67CEFB38" w14:textId="1F0D9522" w:rsidR="00422465" w:rsidRPr="005554BF" w:rsidRDefault="00422465" w:rsidP="00667D47">
            <w:pPr>
              <w:spacing w:line="276" w:lineRule="auto"/>
              <w:jc w:val="both"/>
              <w:rPr>
                <w:sz w:val="18"/>
                <w:szCs w:val="18"/>
              </w:rPr>
            </w:pPr>
            <w:r>
              <w:rPr>
                <w:sz w:val="18"/>
                <w:szCs w:val="18"/>
              </w:rPr>
              <w:t>redukcja zapotrzebowania na energią pierwotną – minimum 30% (nie dotyczy zabytków)</w:t>
            </w:r>
          </w:p>
        </w:tc>
        <w:tc>
          <w:tcPr>
            <w:tcW w:w="2015" w:type="dxa"/>
            <w:vMerge w:val="restart"/>
          </w:tcPr>
          <w:p w14:paraId="0A887175" w14:textId="77777777" w:rsidR="00422465" w:rsidRDefault="00422465" w:rsidP="00667D47">
            <w:pPr>
              <w:spacing w:line="276" w:lineRule="auto"/>
              <w:jc w:val="both"/>
              <w:rPr>
                <w:sz w:val="18"/>
                <w:szCs w:val="18"/>
              </w:rPr>
            </w:pPr>
          </w:p>
          <w:p w14:paraId="2F754E60" w14:textId="77777777" w:rsidR="00422465" w:rsidRDefault="00422465" w:rsidP="00115FE7">
            <w:pPr>
              <w:spacing w:line="276" w:lineRule="auto"/>
              <w:jc w:val="both"/>
              <w:rPr>
                <w:sz w:val="18"/>
                <w:szCs w:val="18"/>
              </w:rPr>
            </w:pPr>
            <w:r>
              <w:rPr>
                <w:sz w:val="18"/>
                <w:szCs w:val="18"/>
              </w:rPr>
              <w:t>Rozliczenie dofinansowania z NFOŚiGW:</w:t>
            </w:r>
          </w:p>
          <w:p w14:paraId="424C8D8B" w14:textId="77777777" w:rsidR="00422465" w:rsidRDefault="00422465" w:rsidP="00115FE7">
            <w:pPr>
              <w:spacing w:line="276" w:lineRule="auto"/>
              <w:jc w:val="both"/>
              <w:rPr>
                <w:sz w:val="18"/>
                <w:szCs w:val="18"/>
              </w:rPr>
            </w:pPr>
            <w:r>
              <w:rPr>
                <w:sz w:val="18"/>
                <w:szCs w:val="18"/>
              </w:rPr>
              <w:t>obliczeniowo - na podstawie audytu ex-post i SCHE po zakończeniu realizacji.</w:t>
            </w:r>
          </w:p>
          <w:p w14:paraId="0DDEF114" w14:textId="77777777" w:rsidR="00422465" w:rsidRDefault="00422465" w:rsidP="00115FE7">
            <w:pPr>
              <w:spacing w:line="276" w:lineRule="auto"/>
              <w:jc w:val="both"/>
              <w:rPr>
                <w:sz w:val="18"/>
                <w:szCs w:val="18"/>
              </w:rPr>
            </w:pPr>
          </w:p>
          <w:p w14:paraId="3CD34F1A" w14:textId="77777777" w:rsidR="00422465" w:rsidRDefault="00422465" w:rsidP="00115FE7">
            <w:pPr>
              <w:spacing w:line="276" w:lineRule="auto"/>
              <w:jc w:val="both"/>
              <w:rPr>
                <w:sz w:val="18"/>
                <w:szCs w:val="18"/>
              </w:rPr>
            </w:pPr>
            <w:r>
              <w:rPr>
                <w:sz w:val="18"/>
                <w:szCs w:val="18"/>
              </w:rPr>
              <w:t xml:space="preserve">Rozliczenie GOE - na podstawie Umowy EPC: </w:t>
            </w:r>
          </w:p>
          <w:p w14:paraId="118E7330" w14:textId="77777777" w:rsidR="00422465" w:rsidRDefault="00422465" w:rsidP="00115FE7">
            <w:pPr>
              <w:spacing w:line="276" w:lineRule="auto"/>
              <w:jc w:val="both"/>
              <w:rPr>
                <w:sz w:val="18"/>
                <w:szCs w:val="18"/>
              </w:rPr>
            </w:pPr>
            <w:r>
              <w:rPr>
                <w:sz w:val="18"/>
                <w:szCs w:val="18"/>
              </w:rPr>
              <w:t>Przynajmniej raz na rok z uwzględnieniem minimalnego okresu zarządzania energią.</w:t>
            </w:r>
          </w:p>
          <w:p w14:paraId="20E5AAA4" w14:textId="77777777" w:rsidR="00422465" w:rsidRPr="005554BF" w:rsidRDefault="00422465" w:rsidP="00115FE7">
            <w:pPr>
              <w:spacing w:line="276" w:lineRule="auto"/>
              <w:jc w:val="both"/>
              <w:rPr>
                <w:sz w:val="18"/>
                <w:szCs w:val="18"/>
              </w:rPr>
            </w:pPr>
            <w:r>
              <w:rPr>
                <w:sz w:val="18"/>
                <w:szCs w:val="18"/>
              </w:rPr>
              <w:t>Rozliczanie GOE reguluje umowa EPC.</w:t>
            </w:r>
          </w:p>
        </w:tc>
      </w:tr>
      <w:tr w:rsidR="00422465" w14:paraId="5FCA01E8" w14:textId="77777777" w:rsidTr="00422465">
        <w:tc>
          <w:tcPr>
            <w:tcW w:w="1433" w:type="dxa"/>
            <w:gridSpan w:val="2"/>
            <w:vMerge/>
            <w:vAlign w:val="center"/>
          </w:tcPr>
          <w:p w14:paraId="3CFD4176" w14:textId="77777777" w:rsidR="00422465" w:rsidRPr="005554BF" w:rsidRDefault="00422465" w:rsidP="00667D47">
            <w:pPr>
              <w:spacing w:line="276" w:lineRule="auto"/>
              <w:jc w:val="both"/>
              <w:rPr>
                <w:sz w:val="18"/>
                <w:szCs w:val="18"/>
              </w:rPr>
            </w:pPr>
          </w:p>
        </w:tc>
        <w:tc>
          <w:tcPr>
            <w:tcW w:w="2153" w:type="dxa"/>
            <w:vAlign w:val="center"/>
          </w:tcPr>
          <w:p w14:paraId="5AC513B9" w14:textId="70E9BBEC" w:rsidR="00422465" w:rsidRPr="005554BF" w:rsidRDefault="00422465" w:rsidP="00115FE7">
            <w:pPr>
              <w:spacing w:line="276" w:lineRule="auto"/>
              <w:jc w:val="center"/>
              <w:rPr>
                <w:sz w:val="18"/>
                <w:szCs w:val="18"/>
              </w:rPr>
            </w:pPr>
            <w:r>
              <w:rPr>
                <w:sz w:val="18"/>
                <w:szCs w:val="18"/>
              </w:rPr>
              <w:t xml:space="preserve">do </w:t>
            </w:r>
            <w:r w:rsidR="001B5468">
              <w:rPr>
                <w:sz w:val="18"/>
                <w:szCs w:val="18"/>
              </w:rPr>
              <w:t>3</w:t>
            </w:r>
            <w:r w:rsidR="004C5F77">
              <w:rPr>
                <w:sz w:val="18"/>
                <w:szCs w:val="18"/>
              </w:rPr>
              <w:t>9</w:t>
            </w:r>
            <w:r w:rsidR="001B5468">
              <w:rPr>
                <w:sz w:val="18"/>
                <w:szCs w:val="18"/>
              </w:rPr>
              <w:t>%</w:t>
            </w:r>
            <w:r w:rsidR="00AD411D">
              <w:rPr>
                <w:sz w:val="18"/>
                <w:szCs w:val="18"/>
              </w:rPr>
              <w:t xml:space="preserve"> kk</w:t>
            </w:r>
            <w:r w:rsidR="00D97741">
              <w:rPr>
                <w:sz w:val="18"/>
                <w:szCs w:val="18"/>
              </w:rPr>
              <w:t>.</w:t>
            </w:r>
          </w:p>
        </w:tc>
        <w:tc>
          <w:tcPr>
            <w:tcW w:w="3461" w:type="dxa"/>
          </w:tcPr>
          <w:p w14:paraId="55928177" w14:textId="77777777" w:rsidR="00422465" w:rsidRDefault="00422465" w:rsidP="00667D47">
            <w:pPr>
              <w:spacing w:line="276" w:lineRule="auto"/>
              <w:jc w:val="both"/>
              <w:rPr>
                <w:sz w:val="18"/>
                <w:szCs w:val="18"/>
              </w:rPr>
            </w:pPr>
            <w:r w:rsidRPr="004353DD">
              <w:rPr>
                <w:sz w:val="18"/>
                <w:szCs w:val="18"/>
              </w:rPr>
              <w:t xml:space="preserve">średnia termomodernizacja - podstawowe działania termomodernizacyjne. </w:t>
            </w:r>
          </w:p>
          <w:p w14:paraId="32BABC8E" w14:textId="5A506D26" w:rsidR="00422465" w:rsidRDefault="00422465" w:rsidP="00667D47">
            <w:pPr>
              <w:spacing w:line="276" w:lineRule="auto"/>
              <w:jc w:val="both"/>
              <w:rPr>
                <w:sz w:val="18"/>
                <w:szCs w:val="18"/>
              </w:rPr>
            </w:pPr>
            <w:r w:rsidRPr="004353DD">
              <w:rPr>
                <w:sz w:val="18"/>
                <w:szCs w:val="18"/>
              </w:rPr>
              <w:t>Warun</w:t>
            </w:r>
            <w:r>
              <w:rPr>
                <w:sz w:val="18"/>
                <w:szCs w:val="18"/>
              </w:rPr>
              <w:t>ki</w:t>
            </w:r>
            <w:r w:rsidRPr="004353DD">
              <w:rPr>
                <w:sz w:val="18"/>
                <w:szCs w:val="18"/>
              </w:rPr>
              <w:t xml:space="preserve">: </w:t>
            </w:r>
          </w:p>
          <w:p w14:paraId="7899F0E5" w14:textId="5A783BCC" w:rsidR="00422465" w:rsidRDefault="00422465" w:rsidP="00667D47">
            <w:pPr>
              <w:spacing w:line="276" w:lineRule="auto"/>
              <w:jc w:val="both"/>
              <w:rPr>
                <w:sz w:val="18"/>
                <w:szCs w:val="18"/>
              </w:rPr>
            </w:pPr>
            <w:r w:rsidRPr="004353DD">
              <w:rPr>
                <w:sz w:val="18"/>
                <w:szCs w:val="18"/>
              </w:rPr>
              <w:t>redukcja zapotrzebowania na energię końcową budynku pomiędzy 45% a 60%</w:t>
            </w:r>
          </w:p>
          <w:p w14:paraId="707D833A" w14:textId="64CDBA90" w:rsidR="00422465" w:rsidRPr="005554BF" w:rsidRDefault="00422465" w:rsidP="00667D47">
            <w:pPr>
              <w:spacing w:line="276" w:lineRule="auto"/>
              <w:jc w:val="both"/>
              <w:rPr>
                <w:sz w:val="18"/>
                <w:szCs w:val="18"/>
              </w:rPr>
            </w:pPr>
            <w:r>
              <w:rPr>
                <w:sz w:val="18"/>
                <w:szCs w:val="18"/>
              </w:rPr>
              <w:t>redukcja zapotrzebowania na energią pierwotną – minimum 30% (nie dotyczy zabytków)</w:t>
            </w:r>
          </w:p>
        </w:tc>
        <w:tc>
          <w:tcPr>
            <w:tcW w:w="2015" w:type="dxa"/>
            <w:vMerge/>
          </w:tcPr>
          <w:p w14:paraId="1A202F79" w14:textId="77777777" w:rsidR="00422465" w:rsidRPr="005554BF" w:rsidRDefault="00422465" w:rsidP="00667D47">
            <w:pPr>
              <w:spacing w:line="276" w:lineRule="auto"/>
              <w:jc w:val="both"/>
              <w:rPr>
                <w:sz w:val="18"/>
                <w:szCs w:val="18"/>
              </w:rPr>
            </w:pPr>
          </w:p>
        </w:tc>
      </w:tr>
      <w:tr w:rsidR="00422465" w14:paraId="409F1F9A" w14:textId="77777777" w:rsidTr="00422465">
        <w:tc>
          <w:tcPr>
            <w:tcW w:w="1433" w:type="dxa"/>
            <w:gridSpan w:val="2"/>
            <w:vMerge/>
            <w:vAlign w:val="center"/>
          </w:tcPr>
          <w:p w14:paraId="63B81006" w14:textId="77777777" w:rsidR="00422465" w:rsidRPr="005554BF" w:rsidRDefault="00422465" w:rsidP="00667D47">
            <w:pPr>
              <w:spacing w:line="276" w:lineRule="auto"/>
              <w:jc w:val="both"/>
              <w:rPr>
                <w:sz w:val="18"/>
                <w:szCs w:val="18"/>
              </w:rPr>
            </w:pPr>
          </w:p>
        </w:tc>
        <w:tc>
          <w:tcPr>
            <w:tcW w:w="2153" w:type="dxa"/>
            <w:vAlign w:val="center"/>
          </w:tcPr>
          <w:p w14:paraId="274BA1DA" w14:textId="6226C755" w:rsidR="00422465" w:rsidRPr="005554BF" w:rsidRDefault="00422465" w:rsidP="00115FE7">
            <w:pPr>
              <w:spacing w:line="276" w:lineRule="auto"/>
              <w:jc w:val="center"/>
              <w:rPr>
                <w:sz w:val="18"/>
                <w:szCs w:val="18"/>
              </w:rPr>
            </w:pPr>
            <w:r>
              <w:rPr>
                <w:sz w:val="18"/>
                <w:szCs w:val="18"/>
              </w:rPr>
              <w:t>do 4</w:t>
            </w:r>
            <w:r w:rsidR="004C5F77">
              <w:rPr>
                <w:sz w:val="18"/>
                <w:szCs w:val="18"/>
              </w:rPr>
              <w:t>9</w:t>
            </w:r>
            <w:r>
              <w:rPr>
                <w:sz w:val="18"/>
                <w:szCs w:val="18"/>
              </w:rPr>
              <w:t>%</w:t>
            </w:r>
            <w:r w:rsidR="00AD411D">
              <w:rPr>
                <w:sz w:val="18"/>
                <w:szCs w:val="18"/>
              </w:rPr>
              <w:t xml:space="preserve"> kk</w:t>
            </w:r>
            <w:r w:rsidR="00D97741">
              <w:rPr>
                <w:sz w:val="18"/>
                <w:szCs w:val="18"/>
              </w:rPr>
              <w:t>.</w:t>
            </w:r>
          </w:p>
        </w:tc>
        <w:tc>
          <w:tcPr>
            <w:tcW w:w="3461" w:type="dxa"/>
          </w:tcPr>
          <w:p w14:paraId="1B8D02B6" w14:textId="77777777" w:rsidR="00422465" w:rsidRDefault="00422465" w:rsidP="00667D47">
            <w:pPr>
              <w:spacing w:line="276" w:lineRule="auto"/>
              <w:jc w:val="both"/>
              <w:rPr>
                <w:sz w:val="18"/>
                <w:szCs w:val="18"/>
              </w:rPr>
            </w:pPr>
            <w:r w:rsidRPr="004353DD">
              <w:rPr>
                <w:sz w:val="18"/>
                <w:szCs w:val="18"/>
              </w:rPr>
              <w:t xml:space="preserve">głęboka termomodernizacja - głębokie działania termomodernizacyjne + działania dodatkowe EPC +. </w:t>
            </w:r>
          </w:p>
          <w:p w14:paraId="7C792552" w14:textId="519AD7A7" w:rsidR="00422465" w:rsidRDefault="00422465" w:rsidP="00667D47">
            <w:pPr>
              <w:spacing w:line="276" w:lineRule="auto"/>
              <w:jc w:val="both"/>
              <w:rPr>
                <w:sz w:val="18"/>
                <w:szCs w:val="18"/>
              </w:rPr>
            </w:pPr>
            <w:r w:rsidRPr="004353DD">
              <w:rPr>
                <w:sz w:val="18"/>
                <w:szCs w:val="18"/>
              </w:rPr>
              <w:t>Warun</w:t>
            </w:r>
            <w:r>
              <w:rPr>
                <w:sz w:val="18"/>
                <w:szCs w:val="18"/>
              </w:rPr>
              <w:t>ki</w:t>
            </w:r>
            <w:r w:rsidRPr="004353DD">
              <w:rPr>
                <w:sz w:val="18"/>
                <w:szCs w:val="18"/>
              </w:rPr>
              <w:t xml:space="preserve">: </w:t>
            </w:r>
          </w:p>
          <w:p w14:paraId="7B3FCD16" w14:textId="3C4FF3A4" w:rsidR="00422465" w:rsidRDefault="00422465" w:rsidP="00667D47">
            <w:pPr>
              <w:spacing w:line="276" w:lineRule="auto"/>
              <w:jc w:val="both"/>
              <w:rPr>
                <w:sz w:val="18"/>
                <w:szCs w:val="18"/>
              </w:rPr>
            </w:pPr>
            <w:r w:rsidRPr="004353DD">
              <w:rPr>
                <w:sz w:val="18"/>
                <w:szCs w:val="18"/>
              </w:rPr>
              <w:t>redukcja zapotrzebowania na energię końcową budynku powyżej 60%</w:t>
            </w:r>
          </w:p>
          <w:p w14:paraId="0BADC3C8" w14:textId="2F6AED75" w:rsidR="00422465" w:rsidRPr="005554BF" w:rsidRDefault="00422465" w:rsidP="00667D47">
            <w:pPr>
              <w:spacing w:line="276" w:lineRule="auto"/>
              <w:jc w:val="both"/>
              <w:rPr>
                <w:sz w:val="18"/>
                <w:szCs w:val="18"/>
              </w:rPr>
            </w:pPr>
            <w:r>
              <w:rPr>
                <w:sz w:val="18"/>
                <w:szCs w:val="18"/>
              </w:rPr>
              <w:t>redukcja zapotrzebowania na energią pierwotną – minimum 30% (nie dotyczy zabytków)</w:t>
            </w:r>
          </w:p>
        </w:tc>
        <w:tc>
          <w:tcPr>
            <w:tcW w:w="2015" w:type="dxa"/>
            <w:vMerge/>
          </w:tcPr>
          <w:p w14:paraId="243C83F5" w14:textId="77777777" w:rsidR="00422465" w:rsidRPr="005554BF" w:rsidRDefault="00422465" w:rsidP="00667D47">
            <w:pPr>
              <w:spacing w:line="276" w:lineRule="auto"/>
              <w:jc w:val="both"/>
              <w:rPr>
                <w:sz w:val="18"/>
                <w:szCs w:val="18"/>
              </w:rPr>
            </w:pPr>
          </w:p>
        </w:tc>
      </w:tr>
      <w:tr w:rsidR="00422465" w14:paraId="62D5B857" w14:textId="77777777" w:rsidTr="00422465">
        <w:tc>
          <w:tcPr>
            <w:tcW w:w="1413" w:type="dxa"/>
            <w:vAlign w:val="center"/>
          </w:tcPr>
          <w:p w14:paraId="338C295E" w14:textId="0C755E91" w:rsidR="00422465" w:rsidRPr="00B071F1" w:rsidRDefault="00422465" w:rsidP="00667D47">
            <w:pPr>
              <w:spacing w:line="276" w:lineRule="auto"/>
              <w:jc w:val="both"/>
              <w:rPr>
                <w:sz w:val="18"/>
                <w:szCs w:val="18"/>
              </w:rPr>
            </w:pPr>
            <w:r w:rsidRPr="00B071F1">
              <w:rPr>
                <w:sz w:val="18"/>
                <w:szCs w:val="18"/>
              </w:rPr>
              <w:t>Pożyczka</w:t>
            </w:r>
            <w:r w:rsidR="001B5468">
              <w:rPr>
                <w:sz w:val="18"/>
                <w:szCs w:val="18"/>
              </w:rPr>
              <w:t xml:space="preserve"> UE</w:t>
            </w:r>
            <w:r w:rsidR="009C0184">
              <w:rPr>
                <w:rStyle w:val="Odwoanieprzypisudolnego"/>
                <w:sz w:val="18"/>
                <w:szCs w:val="18"/>
              </w:rPr>
              <w:footnoteReference w:id="5"/>
            </w:r>
            <w:r w:rsidRPr="00B071F1">
              <w:rPr>
                <w:sz w:val="18"/>
                <w:szCs w:val="18"/>
              </w:rPr>
              <w:t>:</w:t>
            </w:r>
          </w:p>
        </w:tc>
        <w:tc>
          <w:tcPr>
            <w:tcW w:w="2173" w:type="dxa"/>
            <w:gridSpan w:val="2"/>
            <w:vAlign w:val="center"/>
          </w:tcPr>
          <w:p w14:paraId="7AE7E591" w14:textId="536FC6B2" w:rsidR="00422465" w:rsidRDefault="004C5F77" w:rsidP="00115FE7">
            <w:pPr>
              <w:spacing w:line="276" w:lineRule="auto"/>
              <w:jc w:val="center"/>
              <w:rPr>
                <w:sz w:val="18"/>
                <w:szCs w:val="18"/>
              </w:rPr>
            </w:pPr>
            <w:r>
              <w:rPr>
                <w:sz w:val="18"/>
                <w:szCs w:val="18"/>
              </w:rPr>
              <w:t>56</w:t>
            </w:r>
            <w:r w:rsidR="00422465">
              <w:rPr>
                <w:sz w:val="18"/>
                <w:szCs w:val="18"/>
              </w:rPr>
              <w:t>%</w:t>
            </w:r>
            <w:r w:rsidR="00AD411D">
              <w:rPr>
                <w:sz w:val="18"/>
                <w:szCs w:val="18"/>
              </w:rPr>
              <w:t xml:space="preserve"> kk</w:t>
            </w:r>
            <w:r w:rsidR="00D97741">
              <w:rPr>
                <w:sz w:val="18"/>
                <w:szCs w:val="18"/>
              </w:rPr>
              <w:t>.</w:t>
            </w:r>
            <w:r w:rsidR="00422465">
              <w:rPr>
                <w:sz w:val="18"/>
                <w:szCs w:val="18"/>
              </w:rPr>
              <w:t xml:space="preserve"> albo </w:t>
            </w:r>
            <w:r w:rsidR="00422465">
              <w:rPr>
                <w:sz w:val="18"/>
                <w:szCs w:val="18"/>
              </w:rPr>
              <w:br/>
            </w:r>
            <w:r>
              <w:rPr>
                <w:sz w:val="18"/>
                <w:szCs w:val="18"/>
              </w:rPr>
              <w:t>46</w:t>
            </w:r>
            <w:r w:rsidR="00422465">
              <w:rPr>
                <w:sz w:val="18"/>
                <w:szCs w:val="18"/>
              </w:rPr>
              <w:t>%</w:t>
            </w:r>
            <w:r w:rsidR="00AD411D">
              <w:rPr>
                <w:sz w:val="18"/>
                <w:szCs w:val="18"/>
              </w:rPr>
              <w:t xml:space="preserve"> kk</w:t>
            </w:r>
            <w:r w:rsidR="00D97741">
              <w:rPr>
                <w:sz w:val="18"/>
                <w:szCs w:val="18"/>
              </w:rPr>
              <w:t>.</w:t>
            </w:r>
            <w:r w:rsidR="00422465">
              <w:rPr>
                <w:sz w:val="18"/>
                <w:szCs w:val="18"/>
              </w:rPr>
              <w:t xml:space="preserve"> albo</w:t>
            </w:r>
            <w:r w:rsidR="00422465">
              <w:rPr>
                <w:sz w:val="18"/>
                <w:szCs w:val="18"/>
              </w:rPr>
              <w:br/>
              <w:t xml:space="preserve"> </w:t>
            </w:r>
            <w:r>
              <w:rPr>
                <w:sz w:val="18"/>
                <w:szCs w:val="18"/>
              </w:rPr>
              <w:t>36</w:t>
            </w:r>
            <w:r w:rsidR="001B5468">
              <w:rPr>
                <w:sz w:val="18"/>
                <w:szCs w:val="18"/>
              </w:rPr>
              <w:t xml:space="preserve">% </w:t>
            </w:r>
            <w:r w:rsidR="00AD411D">
              <w:rPr>
                <w:sz w:val="18"/>
                <w:szCs w:val="18"/>
              </w:rPr>
              <w:t>kk</w:t>
            </w:r>
            <w:r w:rsidR="00D97741">
              <w:rPr>
                <w:sz w:val="18"/>
                <w:szCs w:val="18"/>
              </w:rPr>
              <w:t>.</w:t>
            </w:r>
          </w:p>
          <w:p w14:paraId="231BCD7F" w14:textId="7A9C5580" w:rsidR="00422465" w:rsidRPr="00B071F1" w:rsidRDefault="00422465" w:rsidP="00115FE7">
            <w:pPr>
              <w:spacing w:line="276" w:lineRule="auto"/>
              <w:jc w:val="center"/>
              <w:rPr>
                <w:sz w:val="18"/>
                <w:szCs w:val="18"/>
              </w:rPr>
            </w:pPr>
            <w:r>
              <w:rPr>
                <w:sz w:val="18"/>
                <w:szCs w:val="18"/>
              </w:rPr>
              <w:t>Łącznie pożyczka</w:t>
            </w:r>
            <w:r w:rsidR="009C0184">
              <w:rPr>
                <w:sz w:val="18"/>
                <w:szCs w:val="18"/>
              </w:rPr>
              <w:t xml:space="preserve"> UE</w:t>
            </w:r>
            <w:r>
              <w:rPr>
                <w:sz w:val="18"/>
                <w:szCs w:val="18"/>
              </w:rPr>
              <w:t xml:space="preserve"> </w:t>
            </w:r>
            <w:r w:rsidRPr="00B071F1">
              <w:rPr>
                <w:sz w:val="18"/>
                <w:szCs w:val="18"/>
              </w:rPr>
              <w:t>wraz z dotacją</w:t>
            </w:r>
            <w:r w:rsidR="009C0184">
              <w:rPr>
                <w:sz w:val="18"/>
                <w:szCs w:val="18"/>
              </w:rPr>
              <w:t xml:space="preserve"> UE</w:t>
            </w:r>
            <w:r w:rsidRPr="00B071F1">
              <w:rPr>
                <w:sz w:val="18"/>
                <w:szCs w:val="18"/>
              </w:rPr>
              <w:t xml:space="preserve"> do </w:t>
            </w:r>
            <w:r w:rsidR="001B5468">
              <w:rPr>
                <w:sz w:val="18"/>
                <w:szCs w:val="18"/>
              </w:rPr>
              <w:t>85</w:t>
            </w:r>
            <w:r w:rsidRPr="00B071F1">
              <w:rPr>
                <w:sz w:val="18"/>
                <w:szCs w:val="18"/>
              </w:rPr>
              <w:t>%</w:t>
            </w:r>
          </w:p>
        </w:tc>
        <w:tc>
          <w:tcPr>
            <w:tcW w:w="3461" w:type="dxa"/>
          </w:tcPr>
          <w:p w14:paraId="7CA74C83" w14:textId="090AEAB4" w:rsidR="00422465" w:rsidRPr="00B071F1" w:rsidRDefault="00422465" w:rsidP="001C573A">
            <w:pPr>
              <w:spacing w:line="276" w:lineRule="auto"/>
              <w:jc w:val="both"/>
              <w:rPr>
                <w:sz w:val="18"/>
                <w:szCs w:val="18"/>
              </w:rPr>
            </w:pPr>
            <w:r w:rsidRPr="00B071F1">
              <w:rPr>
                <w:sz w:val="18"/>
                <w:szCs w:val="18"/>
              </w:rPr>
              <w:t>Warunek: zarządzanie budynkiem/</w:t>
            </w:r>
            <w:proofErr w:type="spellStart"/>
            <w:r w:rsidRPr="00B071F1">
              <w:rPr>
                <w:sz w:val="18"/>
                <w:szCs w:val="18"/>
              </w:rPr>
              <w:t>ami</w:t>
            </w:r>
            <w:proofErr w:type="spellEnd"/>
            <w:r w:rsidRPr="00B071F1">
              <w:rPr>
                <w:sz w:val="18"/>
                <w:szCs w:val="18"/>
              </w:rPr>
              <w:t xml:space="preserve"> przez firmę ESCO, aż do zakończenia spłaty pożyczki (i/lub wskazanego okresu minimalnego zarządzania energią) </w:t>
            </w:r>
            <w:r w:rsidRPr="00AF6FE1">
              <w:rPr>
                <w:sz w:val="18"/>
                <w:szCs w:val="18"/>
              </w:rPr>
              <w:t>i do rozważenia: np. wypłata części ostatniej transzy pożyczki firmie ESCO -  po I roku zarządzania po potwierdzeniu uzyskani</w:t>
            </w:r>
            <w:r w:rsidR="00DA0958">
              <w:rPr>
                <w:sz w:val="18"/>
                <w:szCs w:val="18"/>
              </w:rPr>
              <w:t>a</w:t>
            </w:r>
            <w:r w:rsidRPr="00AF6FE1">
              <w:rPr>
                <w:sz w:val="18"/>
                <w:szCs w:val="18"/>
              </w:rPr>
              <w:t xml:space="preserve"> GOE.</w:t>
            </w:r>
            <w:r w:rsidRPr="00B071F1">
              <w:rPr>
                <w:sz w:val="18"/>
                <w:szCs w:val="18"/>
              </w:rPr>
              <w:t xml:space="preserve"> </w:t>
            </w:r>
          </w:p>
        </w:tc>
        <w:tc>
          <w:tcPr>
            <w:tcW w:w="2015" w:type="dxa"/>
            <w:vMerge/>
          </w:tcPr>
          <w:p w14:paraId="392F3374" w14:textId="77777777" w:rsidR="00422465" w:rsidRPr="005554BF" w:rsidRDefault="00422465" w:rsidP="00667D47">
            <w:pPr>
              <w:spacing w:line="276" w:lineRule="auto"/>
              <w:jc w:val="both"/>
              <w:rPr>
                <w:sz w:val="18"/>
                <w:szCs w:val="18"/>
              </w:rPr>
            </w:pPr>
          </w:p>
        </w:tc>
      </w:tr>
      <w:tr w:rsidR="00422465" w14:paraId="55CA4DFB" w14:textId="77777777" w:rsidTr="00422465">
        <w:tc>
          <w:tcPr>
            <w:tcW w:w="1413" w:type="dxa"/>
            <w:vAlign w:val="center"/>
          </w:tcPr>
          <w:p w14:paraId="0059B3FB" w14:textId="2F047E60" w:rsidR="00422465" w:rsidRPr="00B071F1" w:rsidRDefault="00422465" w:rsidP="00667D47">
            <w:pPr>
              <w:spacing w:line="276" w:lineRule="auto"/>
              <w:jc w:val="both"/>
              <w:rPr>
                <w:sz w:val="18"/>
                <w:szCs w:val="18"/>
              </w:rPr>
            </w:pPr>
            <w:r>
              <w:rPr>
                <w:sz w:val="18"/>
                <w:szCs w:val="18"/>
              </w:rPr>
              <w:t>Pożyczka z NFOŚiGW</w:t>
            </w:r>
            <w:r w:rsidR="009C0184">
              <w:rPr>
                <w:sz w:val="18"/>
                <w:szCs w:val="18"/>
              </w:rPr>
              <w:t xml:space="preserve"> (środki krajowe)</w:t>
            </w:r>
          </w:p>
        </w:tc>
        <w:tc>
          <w:tcPr>
            <w:tcW w:w="2173" w:type="dxa"/>
            <w:gridSpan w:val="2"/>
            <w:vAlign w:val="center"/>
          </w:tcPr>
          <w:p w14:paraId="0C5A4348" w14:textId="61AC7BF9" w:rsidR="00422465" w:rsidRDefault="00422465" w:rsidP="00115FE7">
            <w:pPr>
              <w:spacing w:line="276" w:lineRule="auto"/>
              <w:jc w:val="center"/>
              <w:rPr>
                <w:sz w:val="18"/>
                <w:szCs w:val="18"/>
              </w:rPr>
            </w:pPr>
            <w:r>
              <w:rPr>
                <w:sz w:val="18"/>
                <w:szCs w:val="18"/>
              </w:rPr>
              <w:t>15%</w:t>
            </w:r>
            <w:r w:rsidR="00AD411D">
              <w:rPr>
                <w:sz w:val="18"/>
                <w:szCs w:val="18"/>
              </w:rPr>
              <w:t xml:space="preserve"> kk</w:t>
            </w:r>
            <w:r w:rsidR="009C0184">
              <w:rPr>
                <w:sz w:val="18"/>
                <w:szCs w:val="18"/>
              </w:rPr>
              <w:t>.</w:t>
            </w:r>
            <w:r w:rsidR="00D97741">
              <w:rPr>
                <w:sz w:val="18"/>
                <w:szCs w:val="18"/>
              </w:rPr>
              <w:t xml:space="preserve"> jako uzupełnienie </w:t>
            </w:r>
            <w:r w:rsidR="009C0184">
              <w:rPr>
                <w:sz w:val="18"/>
                <w:szCs w:val="18"/>
              </w:rPr>
              <w:t>do</w:t>
            </w:r>
            <w:r w:rsidR="00D97741">
              <w:rPr>
                <w:sz w:val="18"/>
                <w:szCs w:val="18"/>
              </w:rPr>
              <w:t>finansowania</w:t>
            </w:r>
            <w:r w:rsidR="009C0184">
              <w:rPr>
                <w:sz w:val="18"/>
                <w:szCs w:val="18"/>
              </w:rPr>
              <w:t xml:space="preserve"> UE</w:t>
            </w:r>
            <w:r w:rsidR="00D97741">
              <w:rPr>
                <w:sz w:val="18"/>
                <w:szCs w:val="18"/>
              </w:rPr>
              <w:t xml:space="preserve"> do 100% kk</w:t>
            </w:r>
            <w:r w:rsidR="009C0184">
              <w:rPr>
                <w:sz w:val="18"/>
                <w:szCs w:val="18"/>
              </w:rPr>
              <w:t>.</w:t>
            </w:r>
          </w:p>
        </w:tc>
        <w:tc>
          <w:tcPr>
            <w:tcW w:w="3461" w:type="dxa"/>
          </w:tcPr>
          <w:p w14:paraId="7DD3E33E" w14:textId="4356EDAA" w:rsidR="00C63615" w:rsidRPr="00B071F1" w:rsidRDefault="00422465" w:rsidP="001C573A">
            <w:pPr>
              <w:spacing w:line="276" w:lineRule="auto"/>
              <w:jc w:val="both"/>
              <w:rPr>
                <w:sz w:val="18"/>
                <w:szCs w:val="18"/>
              </w:rPr>
            </w:pPr>
            <w:r w:rsidRPr="00B071F1">
              <w:rPr>
                <w:sz w:val="18"/>
                <w:szCs w:val="18"/>
              </w:rPr>
              <w:t>Warunek: zarządzanie budynkiem/</w:t>
            </w:r>
            <w:proofErr w:type="spellStart"/>
            <w:r w:rsidRPr="00B071F1">
              <w:rPr>
                <w:sz w:val="18"/>
                <w:szCs w:val="18"/>
              </w:rPr>
              <w:t>ami</w:t>
            </w:r>
            <w:proofErr w:type="spellEnd"/>
            <w:r w:rsidRPr="00B071F1">
              <w:rPr>
                <w:sz w:val="18"/>
                <w:szCs w:val="18"/>
              </w:rPr>
              <w:t xml:space="preserve"> przez firmę ESCO, aż do zakończenia spłaty pożyczki (i/lub wskazanego okresu minimalnego zarządzania energią) i do rozważenia: np. wypłata części ostatniej transzy pożyczki firmie ESCO -  po I roku zarządzania po potwierdzeniu uzyskani</w:t>
            </w:r>
            <w:r w:rsidR="00DA0958">
              <w:rPr>
                <w:sz w:val="18"/>
                <w:szCs w:val="18"/>
              </w:rPr>
              <w:t>a</w:t>
            </w:r>
            <w:r w:rsidRPr="00B071F1">
              <w:rPr>
                <w:sz w:val="18"/>
                <w:szCs w:val="18"/>
              </w:rPr>
              <w:t xml:space="preserve"> GOE.</w:t>
            </w:r>
          </w:p>
        </w:tc>
        <w:tc>
          <w:tcPr>
            <w:tcW w:w="2015" w:type="dxa"/>
            <w:vMerge/>
          </w:tcPr>
          <w:p w14:paraId="44C1B1AF" w14:textId="77777777" w:rsidR="00422465" w:rsidRPr="005554BF" w:rsidRDefault="00422465" w:rsidP="00667D47">
            <w:pPr>
              <w:spacing w:line="276" w:lineRule="auto"/>
              <w:jc w:val="both"/>
              <w:rPr>
                <w:sz w:val="18"/>
                <w:szCs w:val="18"/>
              </w:rPr>
            </w:pPr>
          </w:p>
        </w:tc>
      </w:tr>
      <w:tr w:rsidR="001C573A" w14:paraId="2AFE4399" w14:textId="77777777" w:rsidTr="00667D47">
        <w:tc>
          <w:tcPr>
            <w:tcW w:w="9062" w:type="dxa"/>
            <w:gridSpan w:val="5"/>
          </w:tcPr>
          <w:p w14:paraId="71586E66" w14:textId="6242A97A" w:rsidR="00115FE7" w:rsidRDefault="00115FE7" w:rsidP="00115FE7">
            <w:pPr>
              <w:spacing w:line="276" w:lineRule="auto"/>
              <w:jc w:val="both"/>
              <w:rPr>
                <w:sz w:val="18"/>
                <w:szCs w:val="18"/>
              </w:rPr>
            </w:pPr>
            <w:r>
              <w:rPr>
                <w:sz w:val="18"/>
                <w:szCs w:val="18"/>
              </w:rPr>
              <w:t xml:space="preserve">Umowa EPC: Energy Performance </w:t>
            </w:r>
            <w:proofErr w:type="spellStart"/>
            <w:r>
              <w:rPr>
                <w:sz w:val="18"/>
                <w:szCs w:val="18"/>
              </w:rPr>
              <w:t>Contract</w:t>
            </w:r>
            <w:proofErr w:type="spellEnd"/>
            <w:r>
              <w:rPr>
                <w:sz w:val="18"/>
                <w:szCs w:val="18"/>
              </w:rPr>
              <w:t xml:space="preserve"> – Umowa podpisana przez Wnioskodawcę (tu: </w:t>
            </w:r>
            <w:r w:rsidR="00664C7C">
              <w:rPr>
                <w:sz w:val="18"/>
                <w:szCs w:val="18"/>
              </w:rPr>
              <w:t>nie-</w:t>
            </w:r>
            <w:proofErr w:type="spellStart"/>
            <w:r w:rsidR="00664C7C">
              <w:rPr>
                <w:sz w:val="18"/>
                <w:szCs w:val="18"/>
              </w:rPr>
              <w:t>pjb</w:t>
            </w:r>
            <w:proofErr w:type="spellEnd"/>
            <w:r>
              <w:rPr>
                <w:sz w:val="18"/>
                <w:szCs w:val="18"/>
              </w:rPr>
              <w:t>) oraz firmę ESCO na realizację termomodernizacji i późniejszego zarządzania energią w budynku/-ach.;</w:t>
            </w:r>
          </w:p>
          <w:p w14:paraId="6890409B" w14:textId="77777777" w:rsidR="00115FE7" w:rsidRDefault="00115FE7" w:rsidP="00115FE7">
            <w:pPr>
              <w:spacing w:line="276" w:lineRule="auto"/>
              <w:jc w:val="both"/>
              <w:rPr>
                <w:sz w:val="18"/>
                <w:szCs w:val="18"/>
              </w:rPr>
            </w:pPr>
            <w:r>
              <w:rPr>
                <w:sz w:val="18"/>
                <w:szCs w:val="18"/>
              </w:rPr>
              <w:t>GOE: Gwarantowana Oszczędność Energii w umowie EPC;</w:t>
            </w:r>
          </w:p>
          <w:p w14:paraId="010B5666" w14:textId="77777777" w:rsidR="001C573A" w:rsidRPr="002E1D08" w:rsidRDefault="00115FE7" w:rsidP="00115FE7">
            <w:pPr>
              <w:spacing w:line="276" w:lineRule="auto"/>
              <w:jc w:val="both"/>
              <w:rPr>
                <w:sz w:val="18"/>
                <w:szCs w:val="18"/>
              </w:rPr>
            </w:pPr>
            <w:r>
              <w:rPr>
                <w:sz w:val="18"/>
                <w:szCs w:val="18"/>
              </w:rPr>
              <w:t>SCHE: Świadectwo Charakterystyki Energetycznej;</w:t>
            </w:r>
          </w:p>
        </w:tc>
      </w:tr>
    </w:tbl>
    <w:p w14:paraId="7774156E" w14:textId="61441777" w:rsidR="00667D47" w:rsidRDefault="00C336A4" w:rsidP="00667D47">
      <w:pPr>
        <w:spacing w:line="276" w:lineRule="auto"/>
        <w:jc w:val="both"/>
        <w:rPr>
          <w:sz w:val="24"/>
        </w:rPr>
      </w:pPr>
      <w:r w:rsidRPr="00576CED">
        <w:rPr>
          <w:sz w:val="20"/>
        </w:rPr>
        <w:t>Źródło: opracowanie własne.</w:t>
      </w:r>
    </w:p>
    <w:p w14:paraId="3B6701ED" w14:textId="0C05DB1C" w:rsidR="00A12AF1" w:rsidRPr="00592520" w:rsidRDefault="00A12AF1" w:rsidP="00667D47">
      <w:pPr>
        <w:spacing w:line="276" w:lineRule="auto"/>
        <w:jc w:val="both"/>
      </w:pPr>
      <w:r w:rsidRPr="00592520">
        <w:t xml:space="preserve">W tym schemacie </w:t>
      </w:r>
      <w:r w:rsidR="00226BD2" w:rsidRPr="00592520">
        <w:t xml:space="preserve">ostatecznym odbiorcą </w:t>
      </w:r>
      <w:r w:rsidR="00A5632B" w:rsidRPr="00592520">
        <w:t>jest</w:t>
      </w:r>
      <w:r w:rsidRPr="00592520">
        <w:t xml:space="preserve"> </w:t>
      </w:r>
      <w:r w:rsidR="00664C7C">
        <w:t>jednostka sektora finansów publicznych</w:t>
      </w:r>
      <w:r w:rsidR="00664C7C" w:rsidRPr="00592520">
        <w:t xml:space="preserve"> niebędąc</w:t>
      </w:r>
      <w:r w:rsidR="00664C7C">
        <w:t>a</w:t>
      </w:r>
      <w:r w:rsidR="00664C7C" w:rsidRPr="00592520">
        <w:t xml:space="preserve"> </w:t>
      </w:r>
      <w:r w:rsidRPr="00592520">
        <w:t xml:space="preserve">państwową jednostką budżetową, </w:t>
      </w:r>
      <w:r w:rsidR="00664C7C" w:rsidRPr="00592520">
        <w:t>któr</w:t>
      </w:r>
      <w:r w:rsidR="00664C7C">
        <w:t>a</w:t>
      </w:r>
      <w:r w:rsidR="00664C7C" w:rsidRPr="00592520">
        <w:t xml:space="preserve"> m</w:t>
      </w:r>
      <w:r w:rsidR="00664C7C">
        <w:t>o</w:t>
      </w:r>
      <w:r w:rsidR="00664C7C" w:rsidRPr="00592520">
        <w:t>gł</w:t>
      </w:r>
      <w:r w:rsidR="00664C7C">
        <w:t>a</w:t>
      </w:r>
      <w:r w:rsidR="00664C7C" w:rsidRPr="00592520">
        <w:t xml:space="preserve">by </w:t>
      </w:r>
      <w:r w:rsidR="00543DE1" w:rsidRPr="00592520">
        <w:t xml:space="preserve">otrzymać wsparcie w formie </w:t>
      </w:r>
      <w:r w:rsidR="00417128" w:rsidRPr="00592520">
        <w:t>IF</w:t>
      </w:r>
      <w:r w:rsidRPr="00592520">
        <w:t xml:space="preserve"> składającego się </w:t>
      </w:r>
      <w:r w:rsidR="006A3FCE">
        <w:br/>
      </w:r>
      <w:r w:rsidRPr="00592520">
        <w:t xml:space="preserve">z </w:t>
      </w:r>
      <w:r w:rsidRPr="006D1A75">
        <w:t>pożyczki (</w:t>
      </w:r>
      <w:r w:rsidR="006B34AF">
        <w:t xml:space="preserve">od </w:t>
      </w:r>
      <w:r w:rsidR="001A700F">
        <w:t>36</w:t>
      </w:r>
      <w:r w:rsidR="001B5468">
        <w:t>%</w:t>
      </w:r>
      <w:r w:rsidR="00D72808">
        <w:t xml:space="preserve"> </w:t>
      </w:r>
      <w:r w:rsidRPr="006D1A75">
        <w:t xml:space="preserve">do </w:t>
      </w:r>
      <w:r w:rsidR="001B5468">
        <w:t xml:space="preserve">max. </w:t>
      </w:r>
      <w:r w:rsidR="001A700F">
        <w:t>56</w:t>
      </w:r>
      <w:r w:rsidR="001B5468">
        <w:t>%</w:t>
      </w:r>
      <w:r w:rsidR="00F87E3B">
        <w:t>)</w:t>
      </w:r>
      <w:r w:rsidR="00D72808">
        <w:t xml:space="preserve"> </w:t>
      </w:r>
      <w:r w:rsidRPr="006D1A75">
        <w:t xml:space="preserve">oraz dotacji (do </w:t>
      </w:r>
      <w:r w:rsidR="001B5468">
        <w:t>4</w:t>
      </w:r>
      <w:r w:rsidR="001A700F">
        <w:t>9</w:t>
      </w:r>
      <w:r w:rsidRPr="006D1A75">
        <w:t>%).</w:t>
      </w:r>
      <w:r w:rsidR="00AD411D">
        <w:t xml:space="preserve"> Wsparcie </w:t>
      </w:r>
      <w:r w:rsidR="001A700F">
        <w:t>będzie</w:t>
      </w:r>
      <w:r w:rsidR="00981F35">
        <w:t xml:space="preserve"> </w:t>
      </w:r>
      <w:r w:rsidR="00AD411D">
        <w:t>uzupełnione do poziomu 100% ze środków krajowych z NFOŚiGW (15% kk.).</w:t>
      </w:r>
      <w:r w:rsidRPr="00592520">
        <w:t xml:space="preserve"> Inwestycja </w:t>
      </w:r>
      <w:r w:rsidRPr="00B071F1">
        <w:rPr>
          <w:b/>
          <w:bCs/>
        </w:rPr>
        <w:t>obligatoryjnie</w:t>
      </w:r>
      <w:r w:rsidRPr="00592520">
        <w:t xml:space="preserve"> musi</w:t>
      </w:r>
      <w:r w:rsidR="00C16B44" w:rsidRPr="00592520">
        <w:t xml:space="preserve"> być realizowana w formule </w:t>
      </w:r>
      <w:r w:rsidRPr="00592520">
        <w:t>EPC</w:t>
      </w:r>
      <w:r w:rsidR="00C16B44" w:rsidRPr="00592520">
        <w:t>/ESCO</w:t>
      </w:r>
      <w:r w:rsidRPr="00592520">
        <w:t xml:space="preserve">. Poziom wsparcia uzależniony </w:t>
      </w:r>
      <w:r w:rsidR="00A5632B" w:rsidRPr="00592520">
        <w:t xml:space="preserve">jest </w:t>
      </w:r>
      <w:r w:rsidRPr="00592520">
        <w:t>od zakresu inwestycji i efektu ekologicznego (ograniczenia zużycia energii końcowej).</w:t>
      </w:r>
    </w:p>
    <w:p w14:paraId="79C1C4F9" w14:textId="6AD3A68B" w:rsidR="00A12AF1" w:rsidRPr="00592520" w:rsidRDefault="00A12AF1" w:rsidP="00667D47">
      <w:pPr>
        <w:spacing w:line="276" w:lineRule="auto"/>
        <w:jc w:val="both"/>
      </w:pPr>
      <w:r w:rsidRPr="00592520">
        <w:t>Najwyższy dotacyjny poziom wsparcia (do 4</w:t>
      </w:r>
      <w:r w:rsidR="001A700F">
        <w:t>9</w:t>
      </w:r>
      <w:r w:rsidRPr="00592520">
        <w:t>%) w tym modelu zawiera obowiązkowy warunek realizacji inwestycji w standardzie EPC+</w:t>
      </w:r>
      <w:r w:rsidR="004909B9" w:rsidRPr="00592520">
        <w:t>,</w:t>
      </w:r>
      <w:r w:rsidRPr="00592520">
        <w:t xml:space="preserve"> uwzględniający działania dodatkowe (niewpływające bezpośrednio na efekt energetyczny wynikający z audytu</w:t>
      </w:r>
      <w:r w:rsidR="00421CEF">
        <w:t>,</w:t>
      </w:r>
      <w:r w:rsidR="003B65F9">
        <w:t xml:space="preserve"> lecz </w:t>
      </w:r>
      <w:r w:rsidR="00421CEF" w:rsidRPr="00421CEF">
        <w:t xml:space="preserve">nie więcej niż 15% kosztów kwalifikowanych), takie jak: zielono-niebieska infrastruktura, rozwój </w:t>
      </w:r>
      <w:proofErr w:type="spellStart"/>
      <w:r w:rsidR="00421CEF" w:rsidRPr="00421CEF">
        <w:t>elektromobilności</w:t>
      </w:r>
      <w:proofErr w:type="spellEnd"/>
      <w:r w:rsidR="00421CEF" w:rsidRPr="00421CEF">
        <w:t>, rozwiązania na rzecz gospodarki o obiegu zamkniętym, zwiększenie powierzchni zielonych, cyfryzacja budynków, magazyny energii</w:t>
      </w:r>
      <w:r w:rsidRPr="00592520">
        <w:t xml:space="preserve"> lub zwiększanie dostępności budynków.</w:t>
      </w:r>
    </w:p>
    <w:p w14:paraId="6027D46E" w14:textId="6855D604" w:rsidR="009E6C03" w:rsidRDefault="00A12AF1" w:rsidP="009E6C03">
      <w:pPr>
        <w:spacing w:line="276" w:lineRule="auto"/>
        <w:jc w:val="both"/>
      </w:pPr>
      <w:r w:rsidRPr="00592520">
        <w:t xml:space="preserve">Rozliczenie dotacji </w:t>
      </w:r>
      <w:r w:rsidR="00553A14" w:rsidRPr="00592520">
        <w:t>i pożyczki</w:t>
      </w:r>
      <w:r w:rsidR="00AD411D">
        <w:t xml:space="preserve"> na podstawie umowy Beneficjenta</w:t>
      </w:r>
      <w:r w:rsidR="00553A14" w:rsidRPr="00592520">
        <w:t xml:space="preserve"> </w:t>
      </w:r>
      <w:r w:rsidR="00C16B44" w:rsidRPr="00592520">
        <w:t>z</w:t>
      </w:r>
      <w:r w:rsidRPr="00592520">
        <w:t xml:space="preserve"> NFOŚiGW </w:t>
      </w:r>
      <w:r w:rsidR="00C16B44" w:rsidRPr="00592520">
        <w:t>realizowane było</w:t>
      </w:r>
      <w:r w:rsidR="0067374F" w:rsidRPr="00592520">
        <w:t>by</w:t>
      </w:r>
      <w:r w:rsidRPr="00592520">
        <w:t xml:space="preserve"> </w:t>
      </w:r>
      <w:r w:rsidR="008E21D7" w:rsidRPr="00592520">
        <w:t xml:space="preserve">po </w:t>
      </w:r>
      <w:r w:rsidRPr="00592520">
        <w:t>zakończeniu inwestycji na</w:t>
      </w:r>
      <w:r w:rsidR="00417128" w:rsidRPr="00592520">
        <w:t> </w:t>
      </w:r>
      <w:r w:rsidRPr="00592520">
        <w:t xml:space="preserve">podstawie </w:t>
      </w:r>
      <w:r w:rsidR="00553A14" w:rsidRPr="00592520">
        <w:t>protokołów końcowych prac, powykonawczego a</w:t>
      </w:r>
      <w:r w:rsidRPr="00592520">
        <w:t xml:space="preserve">udytu </w:t>
      </w:r>
      <w:r w:rsidR="00A5632B" w:rsidRPr="00592520">
        <w:t>e</w:t>
      </w:r>
      <w:r w:rsidRPr="00592520">
        <w:t>x-post i wykonanego SCHE (Świadectwo Charakterystyki Energetycznej) potwierdzającego realizację inwestycji zgodnie z Umową o</w:t>
      </w:r>
      <w:r w:rsidR="00664C7C">
        <w:t> </w:t>
      </w:r>
      <w:r w:rsidRPr="00592520">
        <w:t xml:space="preserve">dofinansowanie. Dodatkowo na mocy zapisów w </w:t>
      </w:r>
      <w:r w:rsidR="00C16B44" w:rsidRPr="00592520">
        <w:t>umowie</w:t>
      </w:r>
      <w:r w:rsidRPr="00592520">
        <w:t xml:space="preserve"> na zarządzanie energią</w:t>
      </w:r>
      <w:r w:rsidR="00553A14" w:rsidRPr="00592520">
        <w:t xml:space="preserve"> </w:t>
      </w:r>
      <w:r w:rsidR="00553A14" w:rsidRPr="00592520">
        <w:lastRenderedPageBreak/>
        <w:t>(Umowa EPC)</w:t>
      </w:r>
      <w:r w:rsidRPr="00592520">
        <w:t>, pomiędzy Beneficjentem a firmą ESCO, wprowadzone byłoby obligatoryjne zobowiązanie zarządzania energią przez firmę ESCO w budynkach</w:t>
      </w:r>
      <w:r w:rsidR="008E21D7" w:rsidRPr="00592520">
        <w:t>,</w:t>
      </w:r>
      <w:r w:rsidRPr="00592520">
        <w:t xml:space="preserve"> przynajmniej do końca spłaty preferencyjnej pożyczki</w:t>
      </w:r>
      <w:r w:rsidR="00553A14" w:rsidRPr="00592520">
        <w:t xml:space="preserve"> i minimalnego okresu zarządzania energią</w:t>
      </w:r>
      <w:r w:rsidR="003B65F9">
        <w:t xml:space="preserve"> (minimum: okres trwałości w umowach o dofinansowanie)</w:t>
      </w:r>
      <w:r w:rsidRPr="00592520">
        <w:t>, co</w:t>
      </w:r>
      <w:r w:rsidR="00417128" w:rsidRPr="00592520">
        <w:t> </w:t>
      </w:r>
      <w:r w:rsidRPr="00592520">
        <w:t xml:space="preserve">pozwalałoby </w:t>
      </w:r>
      <w:r w:rsidR="008E21D7" w:rsidRPr="00592520">
        <w:t xml:space="preserve">zapewnić </w:t>
      </w:r>
      <w:r w:rsidR="00553A14" w:rsidRPr="00592520">
        <w:t xml:space="preserve">coroczne </w:t>
      </w:r>
      <w:r w:rsidR="008E21D7" w:rsidRPr="00592520">
        <w:t>osiąg</w:t>
      </w:r>
      <w:r w:rsidR="00553A14" w:rsidRPr="00592520">
        <w:t>anie</w:t>
      </w:r>
      <w:r w:rsidR="008E21D7" w:rsidRPr="00592520">
        <w:t xml:space="preserve"> </w:t>
      </w:r>
      <w:r w:rsidRPr="00592520">
        <w:t>Gwarantowanej Oszczędności Energii (GOE).</w:t>
      </w:r>
    </w:p>
    <w:p w14:paraId="6374426D" w14:textId="4BBD97F6" w:rsidR="002E5908" w:rsidRDefault="002E5908" w:rsidP="009E6C03">
      <w:pPr>
        <w:spacing w:line="276" w:lineRule="auto"/>
        <w:jc w:val="both"/>
      </w:pPr>
      <w:r>
        <w:t>Poniżej proponowane kwoty wkładu programu do instrumentu finansowego</w:t>
      </w:r>
      <w:r w:rsidR="00124D3F">
        <w:t xml:space="preserve"> (tabela nr. 2)</w:t>
      </w:r>
      <w:r>
        <w:t xml:space="preserve"> wynikają z poniżej przyjętych założeń przy szacowaniu budżetu dla tego instrumentu:</w:t>
      </w:r>
    </w:p>
    <w:p w14:paraId="72A61515" w14:textId="18A3F2DE" w:rsidR="0040320B" w:rsidRDefault="000535FE" w:rsidP="001A7A07">
      <w:pPr>
        <w:pStyle w:val="Akapitzlist"/>
        <w:numPr>
          <w:ilvl w:val="0"/>
          <w:numId w:val="36"/>
        </w:numPr>
        <w:spacing w:line="276" w:lineRule="auto"/>
        <w:jc w:val="both"/>
      </w:pPr>
      <w:r>
        <w:t>Z</w:t>
      </w:r>
      <w:r w:rsidR="0040320B">
        <w:t xml:space="preserve">większenie </w:t>
      </w:r>
      <w:r w:rsidR="0040320B" w:rsidRPr="00C25652">
        <w:t>alokacji</w:t>
      </w:r>
      <w:r w:rsidR="0040320B">
        <w:t xml:space="preserve"> środków unijnych (FS) na model wsparcia dla n-</w:t>
      </w:r>
      <w:proofErr w:type="spellStart"/>
      <w:r w:rsidR="0040320B">
        <w:t>pjb</w:t>
      </w:r>
      <w:proofErr w:type="spellEnd"/>
      <w:r w:rsidR="0040320B">
        <w:t xml:space="preserve"> </w:t>
      </w:r>
      <w:r w:rsidR="0040320B" w:rsidRPr="00C25652">
        <w:t>z 36 mln EUR na 46 mln EUR</w:t>
      </w:r>
      <w:r w:rsidR="0040320B">
        <w:t xml:space="preserve">. Dodatkowe </w:t>
      </w:r>
      <w:r w:rsidR="0040320B" w:rsidRPr="00C25652">
        <w:t>10 mln EUR</w:t>
      </w:r>
      <w:r w:rsidR="0040320B">
        <w:t xml:space="preserve"> pochodzi z pierwotnie planowanego modelu wsparcia nr </w:t>
      </w:r>
      <w:r w:rsidR="00F54B41">
        <w:t>2</w:t>
      </w:r>
      <w:r w:rsidR="0040320B">
        <w:t xml:space="preserve"> (dla ESCO)</w:t>
      </w:r>
      <w:r>
        <w:t xml:space="preserve">, z którego zrezygnowano z przyczyn opisanych w </w:t>
      </w:r>
      <w:hyperlink w:anchor="_Założenia_aktualizacji_produktów" w:history="1">
        <w:r w:rsidRPr="00ED2336">
          <w:rPr>
            <w:rStyle w:val="Hipercze"/>
          </w:rPr>
          <w:t>sekcji 3.3</w:t>
        </w:r>
      </w:hyperlink>
      <w:r w:rsidR="0040320B" w:rsidRPr="00C25652">
        <w:t xml:space="preserve">. </w:t>
      </w:r>
      <w:r w:rsidR="0040320B">
        <w:t>Kwota wkładu z programu ze środków unijnych dla wsparcia n-</w:t>
      </w:r>
      <w:proofErr w:type="spellStart"/>
      <w:r w:rsidR="0040320B">
        <w:t>pjb</w:t>
      </w:r>
      <w:proofErr w:type="spellEnd"/>
      <w:r w:rsidR="0040320B">
        <w:t xml:space="preserve"> </w:t>
      </w:r>
      <w:r w:rsidR="0040320B" w:rsidRPr="00C25652">
        <w:t>będzie również uzupełnion</w:t>
      </w:r>
      <w:r w:rsidR="0040320B">
        <w:t>a współfinansowaniem publicznym krajowym (środki</w:t>
      </w:r>
      <w:r w:rsidR="0040320B" w:rsidRPr="00C25652">
        <w:t xml:space="preserve"> NFOŚiGW w wysokości ponad 8 mln EUR</w:t>
      </w:r>
      <w:r w:rsidR="0040320B">
        <w:t>)</w:t>
      </w:r>
      <w:r>
        <w:t>. To umożliwi finansowanie do 100% kosztów inwestycji n-</w:t>
      </w:r>
      <w:proofErr w:type="spellStart"/>
      <w:r>
        <w:t>pjb</w:t>
      </w:r>
      <w:proofErr w:type="spellEnd"/>
      <w:r>
        <w:t xml:space="preserve">, co z kolei </w:t>
      </w:r>
      <w:r w:rsidR="0040320B" w:rsidRPr="00C25652">
        <w:t xml:space="preserve">spowoduje zmniejszenie obciążenia firm ESCO finansowaniem dłużnym na realizację inwestycji w głęboką termomodernizację, i </w:t>
      </w:r>
      <w:r>
        <w:t xml:space="preserve">da </w:t>
      </w:r>
      <w:r w:rsidR="0040320B" w:rsidRPr="00C25652">
        <w:t>impuls d</w:t>
      </w:r>
      <w:r>
        <w:t>o rozwoju</w:t>
      </w:r>
      <w:r w:rsidR="0040320B" w:rsidRPr="00C25652">
        <w:t xml:space="preserve"> rynku ESCO.  </w:t>
      </w:r>
    </w:p>
    <w:p w14:paraId="41FBEB3F" w14:textId="648C2116" w:rsidR="002E5908" w:rsidRDefault="002E5908" w:rsidP="001A7A07">
      <w:pPr>
        <w:pStyle w:val="Akapitzlist"/>
        <w:numPr>
          <w:ilvl w:val="0"/>
          <w:numId w:val="36"/>
        </w:numPr>
        <w:spacing w:line="276" w:lineRule="auto"/>
        <w:jc w:val="both"/>
      </w:pPr>
      <w:r>
        <w:t>Założono, że n</w:t>
      </w:r>
      <w:r w:rsidR="00981F35">
        <w:t>ie</w:t>
      </w:r>
      <w:r>
        <w:t>-</w:t>
      </w:r>
      <w:proofErr w:type="spellStart"/>
      <w:r>
        <w:t>pjb</w:t>
      </w:r>
      <w:proofErr w:type="spellEnd"/>
      <w:r>
        <w:t xml:space="preserve"> aplikujące o wsparcie z tego instrumentu </w:t>
      </w:r>
      <w:r w:rsidR="00124D3F">
        <w:t>będą realizować głównie projekty generujące wysokie oszczędności zużycia energii końcowej budynku. W związku z czym z</w:t>
      </w:r>
      <w:r>
        <w:t>ałożono napływ wniosków od n-</w:t>
      </w:r>
      <w:proofErr w:type="spellStart"/>
      <w:r>
        <w:t>pjb</w:t>
      </w:r>
      <w:proofErr w:type="spellEnd"/>
      <w:r>
        <w:t xml:space="preserve"> wyłącznie na głęboką termomodernizację, gdzie możliwy do uzyskania poziom dotacji jest najwyższy (do 4</w:t>
      </w:r>
      <w:r w:rsidR="001A700F">
        <w:t>9</w:t>
      </w:r>
      <w:r>
        <w:t>%)</w:t>
      </w:r>
      <w:r w:rsidR="00DD7C5E">
        <w:t>.</w:t>
      </w:r>
      <w:r>
        <w:t xml:space="preserve"> </w:t>
      </w:r>
    </w:p>
    <w:p w14:paraId="5AAA6557" w14:textId="4279B284" w:rsidR="00C25652" w:rsidRPr="00592520" w:rsidRDefault="002E5908" w:rsidP="0040320B">
      <w:pPr>
        <w:pStyle w:val="Akapitzlist"/>
        <w:numPr>
          <w:ilvl w:val="0"/>
          <w:numId w:val="36"/>
        </w:numPr>
        <w:spacing w:line="276" w:lineRule="auto"/>
        <w:jc w:val="both"/>
      </w:pPr>
      <w:r w:rsidRPr="002E5908">
        <w:t>W sytuacji</w:t>
      </w:r>
      <w:r w:rsidR="00124D3F">
        <w:t xml:space="preserve"> składania przez n-</w:t>
      </w:r>
      <w:proofErr w:type="spellStart"/>
      <w:r w:rsidR="00124D3F">
        <w:t>pjb</w:t>
      </w:r>
      <w:proofErr w:type="spellEnd"/>
      <w:r w:rsidRPr="002E5908">
        <w:t xml:space="preserve"> </w:t>
      </w:r>
      <w:r w:rsidR="00124D3F">
        <w:t xml:space="preserve">wniosków na </w:t>
      </w:r>
      <w:r w:rsidRPr="002E5908">
        <w:t>projek</w:t>
      </w:r>
      <w:r w:rsidR="00124D3F">
        <w:t>ty generujące mniejsze oszczędności zużycia EK, gdzie poziom dotacji jest niższy (max. do 3</w:t>
      </w:r>
      <w:r w:rsidR="001A700F">
        <w:t>9</w:t>
      </w:r>
      <w:r w:rsidR="00124D3F">
        <w:t>%)</w:t>
      </w:r>
      <w:r w:rsidRPr="002E5908">
        <w:t xml:space="preserve"> </w:t>
      </w:r>
      <w:r w:rsidR="00124D3F">
        <w:t xml:space="preserve">w całym instrumencie finansowym </w:t>
      </w:r>
      <w:r w:rsidRPr="002E5908">
        <w:t xml:space="preserve">zwiększy się </w:t>
      </w:r>
      <w:r w:rsidR="00124D3F">
        <w:t>kwota udzielonej</w:t>
      </w:r>
      <w:r w:rsidRPr="002E5908">
        <w:t xml:space="preserve"> pożyczki.</w:t>
      </w:r>
    </w:p>
    <w:tbl>
      <w:tblPr>
        <w:tblW w:w="90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7E6E6" w:themeFill="background2"/>
        <w:tblCellMar>
          <w:left w:w="0" w:type="dxa"/>
          <w:right w:w="0" w:type="dxa"/>
        </w:tblCellMar>
        <w:tblLook w:val="04A0" w:firstRow="1" w:lastRow="0" w:firstColumn="1" w:lastColumn="0" w:noHBand="0" w:noVBand="1"/>
      </w:tblPr>
      <w:tblGrid>
        <w:gridCol w:w="2864"/>
        <w:gridCol w:w="6161"/>
      </w:tblGrid>
      <w:tr w:rsidR="009E6C03" w:rsidRPr="00664C7C" w14:paraId="625D5D97" w14:textId="77777777" w:rsidTr="0036003E">
        <w:trPr>
          <w:trHeight w:val="327"/>
        </w:trPr>
        <w:tc>
          <w:tcPr>
            <w:tcW w:w="9025" w:type="dxa"/>
            <w:gridSpan w:val="2"/>
            <w:shd w:val="clear" w:color="auto" w:fill="E7E6E6" w:themeFill="background2"/>
            <w:tcMar>
              <w:top w:w="0" w:type="dxa"/>
              <w:left w:w="108" w:type="dxa"/>
              <w:bottom w:w="0" w:type="dxa"/>
              <w:right w:w="108" w:type="dxa"/>
            </w:tcMar>
          </w:tcPr>
          <w:p w14:paraId="730D5AB2" w14:textId="40005722" w:rsidR="009E6C03" w:rsidRPr="00592520" w:rsidRDefault="009E6C03" w:rsidP="00417128">
            <w:pPr>
              <w:spacing w:line="276" w:lineRule="auto"/>
              <w:jc w:val="both"/>
              <w:rPr>
                <w:b/>
                <w:bCs/>
              </w:rPr>
            </w:pPr>
            <w:r w:rsidRPr="00592520">
              <w:rPr>
                <w:b/>
                <w:bCs/>
              </w:rPr>
              <w:t xml:space="preserve">Tabela </w:t>
            </w:r>
            <w:r w:rsidR="00A86414">
              <w:rPr>
                <w:b/>
                <w:bCs/>
              </w:rPr>
              <w:t>2</w:t>
            </w:r>
            <w:r w:rsidRPr="00592520">
              <w:rPr>
                <w:b/>
                <w:bCs/>
              </w:rPr>
              <w:t xml:space="preserve">. </w:t>
            </w:r>
            <w:r w:rsidR="00C336A4" w:rsidRPr="00592520">
              <w:rPr>
                <w:b/>
                <w:bCs/>
              </w:rPr>
              <w:t xml:space="preserve">Instrument finansowy dla </w:t>
            </w:r>
            <w:r w:rsidR="00664C7C">
              <w:rPr>
                <w:b/>
                <w:bCs/>
              </w:rPr>
              <w:t>nie-</w:t>
            </w:r>
            <w:proofErr w:type="spellStart"/>
            <w:r w:rsidR="00664C7C">
              <w:rPr>
                <w:b/>
                <w:bCs/>
              </w:rPr>
              <w:t>pjb</w:t>
            </w:r>
            <w:proofErr w:type="spellEnd"/>
          </w:p>
        </w:tc>
      </w:tr>
      <w:tr w:rsidR="009E6C03" w:rsidRPr="00664C7C" w14:paraId="6D563161" w14:textId="77777777" w:rsidTr="00080D23">
        <w:trPr>
          <w:trHeight w:val="1114"/>
        </w:trPr>
        <w:tc>
          <w:tcPr>
            <w:tcW w:w="2864" w:type="dxa"/>
            <w:shd w:val="clear" w:color="auto" w:fill="E7E6E6" w:themeFill="background2"/>
            <w:tcMar>
              <w:top w:w="0" w:type="dxa"/>
              <w:left w:w="108" w:type="dxa"/>
              <w:bottom w:w="0" w:type="dxa"/>
              <w:right w:w="108" w:type="dxa"/>
            </w:tcMar>
            <w:hideMark/>
          </w:tcPr>
          <w:p w14:paraId="32DC5EAB" w14:textId="4834EB66" w:rsidR="009E6C03" w:rsidRPr="00592520" w:rsidRDefault="009E6C03" w:rsidP="003340E6">
            <w:pPr>
              <w:pStyle w:val="Akapitzlist"/>
              <w:numPr>
                <w:ilvl w:val="0"/>
                <w:numId w:val="33"/>
              </w:numPr>
              <w:spacing w:line="276" w:lineRule="auto"/>
              <w:jc w:val="both"/>
            </w:pPr>
            <w:r w:rsidRPr="00592520">
              <w:t>Proponowana kwota wkładu programu do instrumentu finansowego i szacowany efekt dźwigni.</w:t>
            </w:r>
            <w:r w:rsidRPr="00004980">
              <w:rPr>
                <w:b/>
                <w:bCs/>
              </w:rPr>
              <w:t> </w:t>
            </w:r>
          </w:p>
        </w:tc>
        <w:tc>
          <w:tcPr>
            <w:tcW w:w="6161" w:type="dxa"/>
            <w:shd w:val="clear" w:color="auto" w:fill="auto"/>
            <w:tcMar>
              <w:top w:w="0" w:type="dxa"/>
              <w:left w:w="108" w:type="dxa"/>
              <w:bottom w:w="0" w:type="dxa"/>
              <w:right w:w="108" w:type="dxa"/>
            </w:tcMar>
            <w:hideMark/>
          </w:tcPr>
          <w:p w14:paraId="4B28A6C7" w14:textId="681B7A9B" w:rsidR="009E6C03" w:rsidRPr="00592520" w:rsidRDefault="009E6C03" w:rsidP="0036003E">
            <w:pPr>
              <w:spacing w:line="276" w:lineRule="auto"/>
              <w:jc w:val="both"/>
            </w:pPr>
            <w:r w:rsidRPr="003340E6">
              <w:t>Alokacja FS:</w:t>
            </w:r>
            <w:r w:rsidR="002E7E80" w:rsidRPr="003340E6">
              <w:t xml:space="preserve"> </w:t>
            </w:r>
            <w:r w:rsidR="00DF3A33">
              <w:t xml:space="preserve">46 </w:t>
            </w:r>
            <w:r w:rsidR="0058758D">
              <w:t xml:space="preserve">000 </w:t>
            </w:r>
            <w:r w:rsidR="002E7E80" w:rsidRPr="003340E6">
              <w:t xml:space="preserve">000 </w:t>
            </w:r>
            <w:r w:rsidRPr="003340E6">
              <w:t xml:space="preserve"> EUR</w:t>
            </w:r>
          </w:p>
          <w:tbl>
            <w:tblPr>
              <w:tblW w:w="5508" w:type="dxa"/>
              <w:tblInd w:w="1" w:type="dxa"/>
              <w:tblCellMar>
                <w:left w:w="70" w:type="dxa"/>
                <w:right w:w="70" w:type="dxa"/>
              </w:tblCellMar>
              <w:tblLook w:val="04A0" w:firstRow="1" w:lastRow="0" w:firstColumn="1" w:lastColumn="0" w:noHBand="0" w:noVBand="1"/>
            </w:tblPr>
            <w:tblGrid>
              <w:gridCol w:w="3345"/>
              <w:gridCol w:w="2163"/>
            </w:tblGrid>
            <w:tr w:rsidR="009E6C03" w:rsidRPr="00664C7C" w14:paraId="39C76F1D" w14:textId="77777777" w:rsidTr="0036003E">
              <w:trPr>
                <w:trHeight w:val="234"/>
              </w:trPr>
              <w:tc>
                <w:tcPr>
                  <w:tcW w:w="3345" w:type="dxa"/>
                  <w:tcBorders>
                    <w:top w:val="single" w:sz="4" w:space="0" w:color="auto"/>
                    <w:left w:val="single" w:sz="4" w:space="0" w:color="auto"/>
                    <w:bottom w:val="single" w:sz="4" w:space="0" w:color="auto"/>
                    <w:right w:val="single" w:sz="4" w:space="0" w:color="auto"/>
                  </w:tcBorders>
                  <w:shd w:val="clear" w:color="000000" w:fill="A5A5A5"/>
                  <w:noWrap/>
                  <w:vAlign w:val="bottom"/>
                  <w:hideMark/>
                </w:tcPr>
                <w:p w14:paraId="30646713" w14:textId="4EA2FFBB" w:rsidR="009E6C03" w:rsidRPr="00592520" w:rsidRDefault="009E6C03" w:rsidP="0036003E">
                  <w:pPr>
                    <w:spacing w:line="276" w:lineRule="auto"/>
                    <w:jc w:val="both"/>
                    <w:rPr>
                      <w:b/>
                      <w:bCs/>
                    </w:rPr>
                  </w:pPr>
                  <w:r w:rsidRPr="00592520">
                    <w:rPr>
                      <w:b/>
                      <w:bCs/>
                    </w:rPr>
                    <w:t xml:space="preserve">budynki </w:t>
                  </w:r>
                  <w:r w:rsidR="008F2E32" w:rsidRPr="00592520">
                    <w:rPr>
                      <w:b/>
                      <w:bCs/>
                    </w:rPr>
                    <w:t>użyteczności publicznej</w:t>
                  </w:r>
                </w:p>
              </w:tc>
              <w:tc>
                <w:tcPr>
                  <w:tcW w:w="2163" w:type="dxa"/>
                  <w:tcBorders>
                    <w:top w:val="single" w:sz="4" w:space="0" w:color="auto"/>
                    <w:left w:val="nil"/>
                    <w:bottom w:val="single" w:sz="4" w:space="0" w:color="auto"/>
                    <w:right w:val="single" w:sz="4" w:space="0" w:color="auto"/>
                  </w:tcBorders>
                  <w:shd w:val="clear" w:color="000000" w:fill="A5A5A5"/>
                  <w:noWrap/>
                  <w:vAlign w:val="bottom"/>
                  <w:hideMark/>
                </w:tcPr>
                <w:p w14:paraId="16D30DDC" w14:textId="77777777" w:rsidR="009E6C03" w:rsidRPr="00592520" w:rsidRDefault="009E6C03" w:rsidP="0036003E">
                  <w:pPr>
                    <w:spacing w:line="276" w:lineRule="auto"/>
                    <w:jc w:val="both"/>
                  </w:pPr>
                  <w:r w:rsidRPr="00592520">
                    <w:t>Alokacja</w:t>
                  </w:r>
                  <w:r w:rsidRPr="00592520">
                    <w:rPr>
                      <w:i/>
                      <w:iCs/>
                    </w:rPr>
                    <w:t xml:space="preserve"> (w EUR)</w:t>
                  </w:r>
                </w:p>
              </w:tc>
            </w:tr>
            <w:tr w:rsidR="001A700F" w:rsidRPr="00664C7C" w14:paraId="30BC1A30" w14:textId="77777777" w:rsidTr="001A700F">
              <w:trPr>
                <w:trHeight w:val="567"/>
              </w:trPr>
              <w:tc>
                <w:tcPr>
                  <w:tcW w:w="3345" w:type="dxa"/>
                  <w:tcBorders>
                    <w:top w:val="nil"/>
                    <w:left w:val="single" w:sz="4" w:space="0" w:color="auto"/>
                    <w:bottom w:val="single" w:sz="4" w:space="0" w:color="auto"/>
                    <w:right w:val="single" w:sz="4" w:space="0" w:color="auto"/>
                  </w:tcBorders>
                  <w:shd w:val="clear" w:color="auto" w:fill="auto"/>
                  <w:vAlign w:val="bottom"/>
                </w:tcPr>
                <w:p w14:paraId="363A8F69" w14:textId="3A45EBBD" w:rsidR="001A700F" w:rsidRPr="00592520" w:rsidRDefault="001A700F" w:rsidP="0036003E">
                  <w:pPr>
                    <w:spacing w:line="276" w:lineRule="auto"/>
                    <w:jc w:val="both"/>
                  </w:pPr>
                  <w:r w:rsidRPr="00592520">
                    <w:t>IF pożyczki (kod 03)</w:t>
                  </w:r>
                </w:p>
              </w:tc>
              <w:tc>
                <w:tcPr>
                  <w:tcW w:w="2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C7832" w14:textId="1CEFC993" w:rsidR="001A700F" w:rsidRDefault="00080D23" w:rsidP="0036003E">
                  <w:pPr>
                    <w:spacing w:line="276" w:lineRule="auto"/>
                    <w:jc w:val="both"/>
                  </w:pPr>
                  <w:r w:rsidRPr="00080D23">
                    <w:t>19 482 353 EUR</w:t>
                  </w:r>
                </w:p>
              </w:tc>
            </w:tr>
            <w:tr w:rsidR="001A700F" w:rsidRPr="00664C7C" w14:paraId="4FA1C28C" w14:textId="77777777" w:rsidTr="001A700F">
              <w:trPr>
                <w:trHeight w:val="567"/>
              </w:trPr>
              <w:tc>
                <w:tcPr>
                  <w:tcW w:w="3345" w:type="dxa"/>
                  <w:tcBorders>
                    <w:top w:val="nil"/>
                    <w:left w:val="single" w:sz="4" w:space="0" w:color="auto"/>
                    <w:bottom w:val="single" w:sz="4" w:space="0" w:color="auto"/>
                    <w:right w:val="single" w:sz="4" w:space="0" w:color="auto"/>
                  </w:tcBorders>
                  <w:shd w:val="clear" w:color="auto" w:fill="auto"/>
                  <w:vAlign w:val="bottom"/>
                </w:tcPr>
                <w:p w14:paraId="4BFDD4D3" w14:textId="141B77E7" w:rsidR="001A700F" w:rsidRPr="00592520" w:rsidRDefault="001A700F" w:rsidP="0036003E">
                  <w:pPr>
                    <w:spacing w:line="276" w:lineRule="auto"/>
                    <w:jc w:val="both"/>
                  </w:pPr>
                  <w:r w:rsidRPr="00592520">
                    <w:t>Element dotacyjny UE (kod 05)</w:t>
                  </w:r>
                </w:p>
              </w:tc>
              <w:tc>
                <w:tcPr>
                  <w:tcW w:w="21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A7AB1" w14:textId="65C673F2" w:rsidR="001A700F" w:rsidRDefault="00080D23" w:rsidP="0036003E">
                  <w:pPr>
                    <w:spacing w:line="276" w:lineRule="auto"/>
                    <w:jc w:val="both"/>
                  </w:pPr>
                  <w:r w:rsidRPr="00080D23">
                    <w:t>26 517 647 EUR</w:t>
                  </w:r>
                </w:p>
              </w:tc>
            </w:tr>
            <w:tr w:rsidR="001A700F" w:rsidRPr="00664C7C" w14:paraId="1D34AE97" w14:textId="77777777" w:rsidTr="001A700F">
              <w:trPr>
                <w:trHeight w:val="567"/>
              </w:trPr>
              <w:tc>
                <w:tcPr>
                  <w:tcW w:w="3345" w:type="dxa"/>
                  <w:tcBorders>
                    <w:top w:val="nil"/>
                    <w:left w:val="single" w:sz="4" w:space="0" w:color="auto"/>
                    <w:bottom w:val="single" w:sz="4" w:space="0" w:color="auto"/>
                    <w:right w:val="single" w:sz="4" w:space="0" w:color="auto"/>
                  </w:tcBorders>
                  <w:shd w:val="clear" w:color="auto" w:fill="auto"/>
                  <w:vAlign w:val="bottom"/>
                </w:tcPr>
                <w:p w14:paraId="32FE7C3C" w14:textId="4F1AC06A" w:rsidR="001A700F" w:rsidRPr="00592520" w:rsidRDefault="001A700F" w:rsidP="0036003E">
                  <w:pPr>
                    <w:spacing w:line="276" w:lineRule="auto"/>
                    <w:jc w:val="both"/>
                  </w:pPr>
                  <w:r>
                    <w:t>Wkład krajowy (pożyczka NFOŚiGW)</w:t>
                  </w:r>
                </w:p>
              </w:tc>
              <w:tc>
                <w:tcPr>
                  <w:tcW w:w="2163" w:type="dxa"/>
                  <w:tcBorders>
                    <w:top w:val="nil"/>
                    <w:left w:val="single" w:sz="4" w:space="0" w:color="auto"/>
                    <w:bottom w:val="single" w:sz="4" w:space="0" w:color="auto"/>
                    <w:right w:val="single" w:sz="4" w:space="0" w:color="auto"/>
                  </w:tcBorders>
                  <w:shd w:val="clear" w:color="auto" w:fill="auto"/>
                  <w:noWrap/>
                  <w:vAlign w:val="bottom"/>
                </w:tcPr>
                <w:p w14:paraId="67F0D553" w14:textId="79B56C22" w:rsidR="001A700F" w:rsidRPr="00592520" w:rsidRDefault="00CB01CE" w:rsidP="001A700F">
                  <w:pPr>
                    <w:spacing w:line="276" w:lineRule="auto"/>
                    <w:jc w:val="both"/>
                  </w:pPr>
                  <w:r w:rsidRPr="00CB01CE">
                    <w:t>8 117 647 EUR</w:t>
                  </w:r>
                </w:p>
              </w:tc>
            </w:tr>
            <w:tr w:rsidR="001A700F" w:rsidRPr="00664C7C" w14:paraId="03740C4C" w14:textId="77777777">
              <w:trPr>
                <w:trHeight w:val="234"/>
              </w:trPr>
              <w:tc>
                <w:tcPr>
                  <w:tcW w:w="3345" w:type="dxa"/>
                  <w:tcBorders>
                    <w:top w:val="nil"/>
                    <w:left w:val="single" w:sz="4" w:space="0" w:color="auto"/>
                    <w:bottom w:val="single" w:sz="4" w:space="0" w:color="auto"/>
                    <w:right w:val="single" w:sz="4" w:space="0" w:color="auto"/>
                  </w:tcBorders>
                  <w:shd w:val="clear" w:color="000000" w:fill="A5A5A5"/>
                  <w:vAlign w:val="bottom"/>
                  <w:hideMark/>
                </w:tcPr>
                <w:p w14:paraId="091A9DBE" w14:textId="52C0632C" w:rsidR="001A700F" w:rsidRPr="00592520" w:rsidRDefault="001A700F" w:rsidP="0036003E">
                  <w:pPr>
                    <w:spacing w:line="276" w:lineRule="auto"/>
                    <w:jc w:val="both"/>
                  </w:pPr>
                  <w:r w:rsidRPr="00416882">
                    <w:rPr>
                      <w:b/>
                      <w:bCs/>
                    </w:rPr>
                    <w:t>Poziom dźwigni finansowej</w:t>
                  </w:r>
                </w:p>
              </w:tc>
              <w:tc>
                <w:tcPr>
                  <w:tcW w:w="2163" w:type="dxa"/>
                  <w:tcBorders>
                    <w:top w:val="nil"/>
                    <w:left w:val="nil"/>
                    <w:bottom w:val="single" w:sz="4" w:space="0" w:color="auto"/>
                    <w:right w:val="single" w:sz="4" w:space="0" w:color="auto"/>
                  </w:tcBorders>
                  <w:shd w:val="clear" w:color="000000" w:fill="A5A5A5"/>
                  <w:noWrap/>
                  <w:vAlign w:val="bottom"/>
                </w:tcPr>
                <w:p w14:paraId="5D222F0E" w14:textId="380AFB90" w:rsidR="001A700F" w:rsidRPr="00592520" w:rsidRDefault="001A700F" w:rsidP="0036003E">
                  <w:pPr>
                    <w:spacing w:line="276" w:lineRule="auto"/>
                    <w:jc w:val="both"/>
                  </w:pPr>
                  <w:r>
                    <w:rPr>
                      <w:b/>
                      <w:bCs/>
                    </w:rPr>
                    <w:t>1,</w:t>
                  </w:r>
                  <w:r w:rsidR="00CB01CE">
                    <w:rPr>
                      <w:b/>
                      <w:bCs/>
                    </w:rPr>
                    <w:t>18</w:t>
                  </w:r>
                </w:p>
              </w:tc>
            </w:tr>
          </w:tbl>
          <w:p w14:paraId="18A0D69E" w14:textId="77777777" w:rsidR="009E6C03" w:rsidRPr="00592520" w:rsidRDefault="009E6C03" w:rsidP="0036003E">
            <w:pPr>
              <w:spacing w:line="276" w:lineRule="auto"/>
              <w:jc w:val="both"/>
            </w:pPr>
          </w:p>
        </w:tc>
      </w:tr>
      <w:tr w:rsidR="009E6C03" w:rsidRPr="00664C7C" w14:paraId="245849A4" w14:textId="77777777" w:rsidTr="00C336A4">
        <w:trPr>
          <w:trHeight w:val="1232"/>
        </w:trPr>
        <w:tc>
          <w:tcPr>
            <w:tcW w:w="2864" w:type="dxa"/>
            <w:shd w:val="clear" w:color="auto" w:fill="E7E6E6" w:themeFill="background2"/>
            <w:tcMar>
              <w:top w:w="0" w:type="dxa"/>
              <w:left w:w="108" w:type="dxa"/>
              <w:bottom w:w="0" w:type="dxa"/>
              <w:right w:w="108" w:type="dxa"/>
            </w:tcMar>
            <w:hideMark/>
          </w:tcPr>
          <w:p w14:paraId="623F17ED" w14:textId="55DB681F" w:rsidR="009E6C03" w:rsidRPr="00592520" w:rsidRDefault="009E6C03" w:rsidP="003340E6">
            <w:pPr>
              <w:numPr>
                <w:ilvl w:val="0"/>
                <w:numId w:val="33"/>
              </w:numPr>
              <w:spacing w:line="276" w:lineRule="auto"/>
              <w:jc w:val="both"/>
            </w:pPr>
            <w:r w:rsidRPr="00592520">
              <w:t>Proponowane produkty finansowe, które mają być oferowane, w tym ewentualna potrzeba zróżnicowanego traktowania inwestorów.</w:t>
            </w:r>
          </w:p>
        </w:tc>
        <w:tc>
          <w:tcPr>
            <w:tcW w:w="6161" w:type="dxa"/>
            <w:shd w:val="clear" w:color="auto" w:fill="auto"/>
            <w:tcMar>
              <w:top w:w="0" w:type="dxa"/>
              <w:left w:w="108" w:type="dxa"/>
              <w:bottom w:w="0" w:type="dxa"/>
              <w:right w:w="108" w:type="dxa"/>
            </w:tcMar>
            <w:hideMark/>
          </w:tcPr>
          <w:p w14:paraId="2985D99B" w14:textId="77777777" w:rsidR="009E6C03" w:rsidRPr="00592520" w:rsidRDefault="009E6C03" w:rsidP="0036003E">
            <w:pPr>
              <w:spacing w:line="276" w:lineRule="auto"/>
              <w:jc w:val="both"/>
              <w:rPr>
                <w:b/>
                <w:bCs/>
              </w:rPr>
            </w:pPr>
          </w:p>
          <w:p w14:paraId="0EF9E87A" w14:textId="7B745EE5" w:rsidR="009E6C03" w:rsidRPr="00592520" w:rsidRDefault="00910EB5" w:rsidP="001A7A07">
            <w:pPr>
              <w:spacing w:line="276" w:lineRule="auto"/>
              <w:jc w:val="center"/>
            </w:pPr>
            <w:r w:rsidRPr="006A3FCE">
              <w:t xml:space="preserve">Pożyczka </w:t>
            </w:r>
            <w:r w:rsidR="00421CEF">
              <w:t xml:space="preserve">oraz dotacja której wysokość jest </w:t>
            </w:r>
            <w:r w:rsidRPr="006A3FCE">
              <w:t>uzależnio</w:t>
            </w:r>
            <w:r w:rsidR="00421CEF">
              <w:t xml:space="preserve">na </w:t>
            </w:r>
            <w:r w:rsidRPr="006A3FCE">
              <w:t>od osiągniętych efektów – zgodnie z</w:t>
            </w:r>
            <w:r w:rsidRPr="00592520">
              <w:t xml:space="preserve"> </w:t>
            </w:r>
            <w:r w:rsidRPr="00592520">
              <w:rPr>
                <w:b/>
                <w:bCs/>
              </w:rPr>
              <w:t>Tabel</w:t>
            </w:r>
            <w:r w:rsidR="00CC611C">
              <w:rPr>
                <w:b/>
                <w:bCs/>
              </w:rPr>
              <w:t>ą</w:t>
            </w:r>
            <w:r w:rsidRPr="00592520">
              <w:rPr>
                <w:b/>
                <w:bCs/>
              </w:rPr>
              <w:t xml:space="preserve"> </w:t>
            </w:r>
            <w:r w:rsidR="00A86414">
              <w:rPr>
                <w:b/>
                <w:bCs/>
              </w:rPr>
              <w:t>1</w:t>
            </w:r>
            <w:r w:rsidRPr="00592520">
              <w:rPr>
                <w:b/>
                <w:bCs/>
              </w:rPr>
              <w:t>.</w:t>
            </w:r>
            <w:r w:rsidR="00981F35">
              <w:rPr>
                <w:b/>
                <w:bCs/>
              </w:rPr>
              <w:t xml:space="preserve"> </w:t>
            </w:r>
            <w:r w:rsidR="00981F35" w:rsidRPr="00981F35">
              <w:rPr>
                <w:b/>
                <w:bCs/>
              </w:rPr>
              <w:t>Założenia modelu wsparcia dla nie-</w:t>
            </w:r>
            <w:proofErr w:type="spellStart"/>
            <w:r w:rsidR="00981F35" w:rsidRPr="00981F35">
              <w:rPr>
                <w:b/>
                <w:bCs/>
              </w:rPr>
              <w:t>pjb</w:t>
            </w:r>
            <w:proofErr w:type="spellEnd"/>
            <w:r w:rsidRPr="00592520">
              <w:rPr>
                <w:b/>
                <w:bCs/>
              </w:rPr>
              <w:t xml:space="preserve"> </w:t>
            </w:r>
          </w:p>
        </w:tc>
      </w:tr>
      <w:tr w:rsidR="009E6C03" w:rsidRPr="00664C7C" w14:paraId="542C5B07" w14:textId="77777777" w:rsidTr="00C336A4">
        <w:trPr>
          <w:trHeight w:val="1208"/>
        </w:trPr>
        <w:tc>
          <w:tcPr>
            <w:tcW w:w="2864" w:type="dxa"/>
            <w:shd w:val="clear" w:color="auto" w:fill="E7E6E6" w:themeFill="background2"/>
            <w:tcMar>
              <w:top w:w="0" w:type="dxa"/>
              <w:left w:w="108" w:type="dxa"/>
              <w:bottom w:w="0" w:type="dxa"/>
              <w:right w:w="108" w:type="dxa"/>
            </w:tcMar>
            <w:hideMark/>
          </w:tcPr>
          <w:p w14:paraId="33D7A785" w14:textId="055B4D3E" w:rsidR="009E6C03" w:rsidRPr="00592520" w:rsidRDefault="009E6C03" w:rsidP="003340E6">
            <w:pPr>
              <w:numPr>
                <w:ilvl w:val="0"/>
                <w:numId w:val="33"/>
              </w:numPr>
              <w:spacing w:line="276" w:lineRule="auto"/>
              <w:jc w:val="both"/>
            </w:pPr>
            <w:r w:rsidRPr="00592520">
              <w:lastRenderedPageBreak/>
              <w:t>Proponowana grupa docelowa ostatecznych odbiorców.</w:t>
            </w:r>
          </w:p>
        </w:tc>
        <w:tc>
          <w:tcPr>
            <w:tcW w:w="6161" w:type="dxa"/>
            <w:shd w:val="clear" w:color="auto" w:fill="auto"/>
            <w:tcMar>
              <w:top w:w="0" w:type="dxa"/>
              <w:left w:w="108" w:type="dxa"/>
              <w:bottom w:w="0" w:type="dxa"/>
              <w:right w:w="108" w:type="dxa"/>
            </w:tcMar>
          </w:tcPr>
          <w:p w14:paraId="73425E66" w14:textId="290CBB98" w:rsidR="009E6C03" w:rsidRPr="00592520" w:rsidRDefault="00095044" w:rsidP="0036003E">
            <w:pPr>
              <w:spacing w:line="276" w:lineRule="auto"/>
              <w:jc w:val="both"/>
            </w:pPr>
            <w:r w:rsidRPr="00592520">
              <w:rPr>
                <w:bCs/>
              </w:rPr>
              <w:t>Jednostki sektora finansów publicznych niebędące państwowymi jednostkami budżetowymi</w:t>
            </w:r>
          </w:p>
        </w:tc>
      </w:tr>
      <w:tr w:rsidR="009E6C03" w:rsidRPr="00664C7C" w14:paraId="7126CB08" w14:textId="77777777" w:rsidTr="00C336A4">
        <w:trPr>
          <w:trHeight w:val="952"/>
        </w:trPr>
        <w:tc>
          <w:tcPr>
            <w:tcW w:w="2864" w:type="dxa"/>
            <w:shd w:val="clear" w:color="auto" w:fill="E7E6E6" w:themeFill="background2"/>
            <w:tcMar>
              <w:top w:w="0" w:type="dxa"/>
              <w:left w:w="108" w:type="dxa"/>
              <w:bottom w:w="0" w:type="dxa"/>
              <w:right w:w="108" w:type="dxa"/>
            </w:tcMar>
            <w:hideMark/>
          </w:tcPr>
          <w:p w14:paraId="44ACEBA4" w14:textId="77777777" w:rsidR="009E6C03" w:rsidRPr="00592520" w:rsidRDefault="009E6C03" w:rsidP="003340E6">
            <w:pPr>
              <w:numPr>
                <w:ilvl w:val="0"/>
                <w:numId w:val="33"/>
              </w:numPr>
              <w:spacing w:line="276" w:lineRule="auto"/>
              <w:jc w:val="both"/>
            </w:pPr>
            <w:r w:rsidRPr="00592520">
              <w:t>Oczekiwany wkład IF w osiągnięcie określonych celów.</w:t>
            </w:r>
          </w:p>
        </w:tc>
        <w:tc>
          <w:tcPr>
            <w:tcW w:w="6161" w:type="dxa"/>
            <w:shd w:val="clear" w:color="auto" w:fill="auto"/>
            <w:tcMar>
              <w:top w:w="0" w:type="dxa"/>
              <w:left w:w="108" w:type="dxa"/>
              <w:bottom w:w="0" w:type="dxa"/>
              <w:right w:w="108" w:type="dxa"/>
            </w:tcMar>
          </w:tcPr>
          <w:p w14:paraId="38D8D316" w14:textId="08F88C00" w:rsidR="009E6C03" w:rsidRPr="00592520" w:rsidRDefault="006F42EB" w:rsidP="001C2118">
            <w:pPr>
              <w:spacing w:line="276" w:lineRule="auto"/>
              <w:jc w:val="both"/>
            </w:pPr>
            <w:r w:rsidRPr="00592520">
              <w:t xml:space="preserve">Budynki publiczne o lepszej udoskonalonej charakterystyce energetycznej (RCO 19) - </w:t>
            </w:r>
            <w:r w:rsidR="00D75DEC">
              <w:t>175 23</w:t>
            </w:r>
            <w:r w:rsidR="00A16C7D">
              <w:t>8</w:t>
            </w:r>
            <w:r w:rsidR="004970D5">
              <w:t xml:space="preserve"> </w:t>
            </w:r>
            <w:r w:rsidR="00524BC1">
              <w:t>m</w:t>
            </w:r>
            <w:r w:rsidR="00524BC1" w:rsidRPr="004970D5">
              <w:rPr>
                <w:vertAlign w:val="superscript"/>
              </w:rPr>
              <w:t>2</w:t>
            </w:r>
          </w:p>
        </w:tc>
      </w:tr>
    </w:tbl>
    <w:p w14:paraId="795C2C99" w14:textId="5B170D2A" w:rsidR="009E6C03" w:rsidRPr="00667D47" w:rsidRDefault="00C336A4" w:rsidP="00667D47">
      <w:pPr>
        <w:spacing w:line="276" w:lineRule="auto"/>
        <w:jc w:val="both"/>
        <w:rPr>
          <w:sz w:val="24"/>
        </w:rPr>
      </w:pPr>
      <w:bookmarkStart w:id="74" w:name="_Hlk160457783"/>
      <w:r w:rsidRPr="00576CED">
        <w:rPr>
          <w:sz w:val="20"/>
        </w:rPr>
        <w:t>Źródło: opracowanie własne.</w:t>
      </w:r>
    </w:p>
    <w:bookmarkEnd w:id="74"/>
    <w:p w14:paraId="57DEF0A9" w14:textId="01B28F27" w:rsidR="0042378A" w:rsidRDefault="0042378A">
      <w:pPr>
        <w:rPr>
          <w:sz w:val="10"/>
        </w:rPr>
      </w:pPr>
      <w:r>
        <w:rPr>
          <w:sz w:val="10"/>
        </w:rPr>
        <w:br w:type="page"/>
      </w:r>
    </w:p>
    <w:p w14:paraId="3A2A8F34" w14:textId="77777777" w:rsidR="00A12AF1" w:rsidRPr="00C16B44" w:rsidRDefault="00A12AF1" w:rsidP="00686AA4">
      <w:pPr>
        <w:spacing w:after="0" w:line="276" w:lineRule="auto"/>
        <w:ind w:left="709"/>
        <w:jc w:val="both"/>
        <w:rPr>
          <w:sz w:val="10"/>
        </w:rPr>
      </w:pPr>
    </w:p>
    <w:p w14:paraId="752B9FFA" w14:textId="45CF6387" w:rsidR="00911E7D" w:rsidRPr="00EC2E32" w:rsidRDefault="00911E7D" w:rsidP="00EC2E32">
      <w:pPr>
        <w:pStyle w:val="Nagwek3"/>
      </w:pPr>
      <w:bookmarkStart w:id="75" w:name="_Toc156258116"/>
      <w:bookmarkStart w:id="76" w:name="_Toc156258147"/>
      <w:bookmarkStart w:id="77" w:name="_Toc156258198"/>
      <w:bookmarkStart w:id="78" w:name="_Toc156258117"/>
      <w:bookmarkStart w:id="79" w:name="_Toc156258148"/>
      <w:bookmarkStart w:id="80" w:name="_Toc156258199"/>
      <w:bookmarkStart w:id="81" w:name="_Toc187745767"/>
      <w:bookmarkEnd w:id="75"/>
      <w:bookmarkEnd w:id="76"/>
      <w:bookmarkEnd w:id="77"/>
      <w:bookmarkEnd w:id="78"/>
      <w:bookmarkEnd w:id="79"/>
      <w:bookmarkEnd w:id="80"/>
      <w:r w:rsidRPr="00EC2E32">
        <w:t>Schemat model</w:t>
      </w:r>
      <w:r w:rsidR="00DF4962">
        <w:t>u</w:t>
      </w:r>
      <w:r w:rsidRPr="00EC2E32">
        <w:t xml:space="preserve"> wsparcia</w:t>
      </w:r>
      <w:r w:rsidR="00DF4962">
        <w:t xml:space="preserve"> dla n-</w:t>
      </w:r>
      <w:proofErr w:type="spellStart"/>
      <w:r w:rsidR="00DF4962">
        <w:t>pjb</w:t>
      </w:r>
      <w:bookmarkEnd w:id="81"/>
      <w:proofErr w:type="spellEnd"/>
    </w:p>
    <w:p w14:paraId="0F14FBC5" w14:textId="1186ECA4" w:rsidR="00670E26" w:rsidRDefault="0042378A" w:rsidP="0033311C">
      <w:pPr>
        <w:pStyle w:val="xmsonormal"/>
        <w:rPr>
          <w:b/>
          <w:color w:val="000000"/>
          <w:sz w:val="24"/>
          <w:szCs w:val="24"/>
        </w:rPr>
      </w:pPr>
      <w:r w:rsidRPr="00DA4FBA">
        <w:rPr>
          <w:b/>
          <w:noProof/>
          <w:color w:val="000000"/>
          <w:sz w:val="24"/>
          <w:szCs w:val="24"/>
        </w:rPr>
        <w:drawing>
          <wp:inline distT="0" distB="0" distL="0" distR="0" wp14:anchorId="00310E99" wp14:editId="575EC9C9">
            <wp:extent cx="5760720" cy="3159125"/>
            <wp:effectExtent l="0" t="0" r="0" b="3175"/>
            <wp:docPr id="2116375817" name="Obraz 1" descr="Obraz zawierający tekst, zrzut ekranu, Czcionka, numer&#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75817" name="Obraz 1" descr="Obraz zawierający tekst, zrzut ekranu, Czcionka, numer&#10;&#10;Opis wygenerowany automatycznie"/>
                    <pic:cNvPicPr/>
                  </pic:nvPicPr>
                  <pic:blipFill>
                    <a:blip r:embed="rId10"/>
                    <a:stretch>
                      <a:fillRect/>
                    </a:stretch>
                  </pic:blipFill>
                  <pic:spPr>
                    <a:xfrm>
                      <a:off x="0" y="0"/>
                      <a:ext cx="5760720" cy="3159125"/>
                    </a:xfrm>
                    <a:prstGeom prst="rect">
                      <a:avLst/>
                    </a:prstGeom>
                  </pic:spPr>
                </pic:pic>
              </a:graphicData>
            </a:graphic>
          </wp:inline>
        </w:drawing>
      </w:r>
    </w:p>
    <w:p w14:paraId="523DF520" w14:textId="26195102" w:rsidR="00A926A4" w:rsidRPr="00911E7D" w:rsidRDefault="00A926A4" w:rsidP="0033311C">
      <w:pPr>
        <w:pStyle w:val="xmsonormal"/>
        <w:rPr>
          <w:b/>
          <w:color w:val="000000"/>
          <w:sz w:val="24"/>
          <w:szCs w:val="24"/>
        </w:rPr>
      </w:pPr>
    </w:p>
    <w:p w14:paraId="051DD0C2" w14:textId="751B9021" w:rsidR="001A35C5" w:rsidRPr="00EC2E32" w:rsidRDefault="001A35C5" w:rsidP="00EC2E32">
      <w:pPr>
        <w:pStyle w:val="Nagwek2"/>
      </w:pPr>
      <w:bookmarkStart w:id="82" w:name="_Toc187745768"/>
      <w:r w:rsidRPr="00EC2E32">
        <w:t>Uproszczony proces podpisywania i rozliczania Umów o dofinansowanie z NFOŚiGW oraz Umowy EPC</w:t>
      </w:r>
      <w:bookmarkEnd w:id="82"/>
    </w:p>
    <w:p w14:paraId="63DE4B9C" w14:textId="212BF513" w:rsidR="001A35C5" w:rsidRPr="00592520" w:rsidRDefault="00901B4E" w:rsidP="001A35C5">
      <w:pPr>
        <w:spacing w:line="276" w:lineRule="auto"/>
        <w:jc w:val="both"/>
        <w:rPr>
          <w:rFonts w:ascii="Calibri" w:hAnsi="Calibri" w:cs="Calibri"/>
        </w:rPr>
      </w:pPr>
      <w:r w:rsidRPr="00592520">
        <w:rPr>
          <w:rFonts w:ascii="Calibri" w:hAnsi="Calibri" w:cs="Calibri"/>
        </w:rPr>
        <w:t>P</w:t>
      </w:r>
      <w:r w:rsidR="001A35C5" w:rsidRPr="00592520">
        <w:rPr>
          <w:rFonts w:ascii="Calibri" w:hAnsi="Calibri" w:cs="Calibri"/>
        </w:rPr>
        <w:t>odpisani</w:t>
      </w:r>
      <w:r w:rsidR="004909B9" w:rsidRPr="00592520">
        <w:rPr>
          <w:rFonts w:ascii="Calibri" w:hAnsi="Calibri" w:cs="Calibri"/>
        </w:rPr>
        <w:t>e</w:t>
      </w:r>
      <w:r w:rsidR="001A35C5" w:rsidRPr="00592520">
        <w:rPr>
          <w:rFonts w:ascii="Calibri" w:hAnsi="Calibri" w:cs="Calibri"/>
        </w:rPr>
        <w:t xml:space="preserve"> Umowy EPC pomiędzy Beneficjentem </w:t>
      </w:r>
      <w:r w:rsidR="003916EB" w:rsidRPr="00592520">
        <w:rPr>
          <w:rFonts w:ascii="Calibri" w:hAnsi="Calibri" w:cs="Calibri"/>
        </w:rPr>
        <w:t xml:space="preserve">(ostatecznym odbiorcą) </w:t>
      </w:r>
      <w:r w:rsidR="001A35C5" w:rsidRPr="00592520">
        <w:rPr>
          <w:rFonts w:ascii="Calibri" w:hAnsi="Calibri" w:cs="Calibri"/>
        </w:rPr>
        <w:t xml:space="preserve">a firmą ESCO </w:t>
      </w:r>
      <w:r w:rsidRPr="00592520">
        <w:rPr>
          <w:rFonts w:ascii="Calibri" w:hAnsi="Calibri" w:cs="Calibri"/>
        </w:rPr>
        <w:t>jest realizowane</w:t>
      </w:r>
      <w:r w:rsidR="001A35C5" w:rsidRPr="00592520">
        <w:rPr>
          <w:rFonts w:ascii="Calibri" w:hAnsi="Calibri" w:cs="Calibri"/>
        </w:rPr>
        <w:t xml:space="preserve"> na podstawie wykonanego/dostarczonego/przyjętego przez firmę ESCO audytu energetycznego ex-</w:t>
      </w:r>
      <w:proofErr w:type="spellStart"/>
      <w:r w:rsidR="001A35C5" w:rsidRPr="00592520">
        <w:rPr>
          <w:rFonts w:ascii="Calibri" w:hAnsi="Calibri" w:cs="Calibri"/>
        </w:rPr>
        <w:t>ante</w:t>
      </w:r>
      <w:proofErr w:type="spellEnd"/>
      <w:r w:rsidR="001A35C5" w:rsidRPr="00592520">
        <w:rPr>
          <w:rFonts w:ascii="Calibri" w:hAnsi="Calibri" w:cs="Calibri"/>
        </w:rPr>
        <w:t xml:space="preserve"> określającego parametry techniczne przedsięwzięcia </w:t>
      </w:r>
      <w:r w:rsidR="005501F3" w:rsidRPr="00592520">
        <w:rPr>
          <w:rFonts w:ascii="Calibri" w:hAnsi="Calibri" w:cs="Calibri"/>
        </w:rPr>
        <w:t>(</w:t>
      </w:r>
      <w:r w:rsidR="001A35C5" w:rsidRPr="00592520">
        <w:rPr>
          <w:rFonts w:ascii="Calibri" w:hAnsi="Calibri" w:cs="Calibri"/>
        </w:rPr>
        <w:t>spełniające wymagania naboru</w:t>
      </w:r>
      <w:r w:rsidR="005501F3" w:rsidRPr="00592520">
        <w:rPr>
          <w:rFonts w:ascii="Calibri" w:hAnsi="Calibri" w:cs="Calibri"/>
        </w:rPr>
        <w:t>) oraz</w:t>
      </w:r>
      <w:r w:rsidR="001A35C5" w:rsidRPr="00592520">
        <w:rPr>
          <w:rFonts w:ascii="Calibri" w:hAnsi="Calibri" w:cs="Calibri"/>
        </w:rPr>
        <w:t xml:space="preserve"> wysokości dofinansowania z uwzględnieniem minimalnego okresu zarządzania energią w budynku. </w:t>
      </w:r>
    </w:p>
    <w:p w14:paraId="23398DFB" w14:textId="416ED03B" w:rsidR="001A35C5" w:rsidRPr="00592520" w:rsidRDefault="001A35C5" w:rsidP="001A35C5">
      <w:pPr>
        <w:spacing w:line="276" w:lineRule="auto"/>
        <w:jc w:val="both"/>
      </w:pPr>
      <w:r w:rsidRPr="00592520">
        <w:t xml:space="preserve">Rozliczanie uzyskanego dofinansowania </w:t>
      </w:r>
      <w:r w:rsidR="00D80EBA" w:rsidRPr="00592520">
        <w:t>B</w:t>
      </w:r>
      <w:r w:rsidRPr="00592520">
        <w:t xml:space="preserve">eneficjenta </w:t>
      </w:r>
      <w:r w:rsidR="00551975">
        <w:t xml:space="preserve">(ostatecznego odbiorcy wsparcia) </w:t>
      </w:r>
      <w:r w:rsidRPr="00592520">
        <w:t xml:space="preserve">z </w:t>
      </w:r>
      <w:r w:rsidR="006E7B6C" w:rsidRPr="00551975">
        <w:t>I</w:t>
      </w:r>
      <w:r w:rsidRPr="00551975">
        <w:t>nstytucją Wdrażającą</w:t>
      </w:r>
      <w:r w:rsidR="00551975">
        <w:t xml:space="preserve"> Instrument Finansowy</w:t>
      </w:r>
      <w:r w:rsidR="00901B4E" w:rsidRPr="00592520">
        <w:t xml:space="preserve"> następuje</w:t>
      </w:r>
      <w:r w:rsidRPr="00592520">
        <w:t xml:space="preserve"> poprzez Raport końcowy, zawierający komplet protokołów odbioru robót, pozwolenie na użytkowanie (jeśli dotyczy) oraz powykonawczy audyt ex-post i/lub SCHE wykonane na podstawie dokumentacji powykonawczej.</w:t>
      </w:r>
    </w:p>
    <w:p w14:paraId="37D39434" w14:textId="57090F8D" w:rsidR="00B45027" w:rsidRPr="00592520" w:rsidRDefault="001A35C5" w:rsidP="00D769FB">
      <w:pPr>
        <w:spacing w:line="276" w:lineRule="auto"/>
        <w:jc w:val="both"/>
      </w:pPr>
      <w:r w:rsidRPr="00592520">
        <w:t>Natomiast rozliczanie Gwarantowanych Oszczędności Energii (GOE) odbywa się na podstawie Umowy EPC bezpośrednio pomiędzy stronami tej Umowy, z uwzględnieniem minimalnego okresu zarządzania energią w budynku.</w:t>
      </w:r>
    </w:p>
    <w:p w14:paraId="1C7DFABB" w14:textId="0AB47656" w:rsidR="004E0505" w:rsidRPr="00D769FB" w:rsidRDefault="004E0505" w:rsidP="00071311">
      <w:pPr>
        <w:spacing w:line="276" w:lineRule="auto"/>
        <w:jc w:val="both"/>
        <w:rPr>
          <w:sz w:val="24"/>
        </w:rPr>
      </w:pPr>
    </w:p>
    <w:sectPr w:rsidR="004E0505" w:rsidRPr="00D769FB" w:rsidSect="00531673">
      <w:headerReference w:type="default" r:id="rId11"/>
      <w:footerReference w:type="default" r:id="rId12"/>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6D4B" w14:textId="77777777" w:rsidR="00BE0040" w:rsidRDefault="00BE0040" w:rsidP="00911E7D">
      <w:pPr>
        <w:spacing w:after="0" w:line="240" w:lineRule="auto"/>
      </w:pPr>
      <w:r>
        <w:separator/>
      </w:r>
    </w:p>
  </w:endnote>
  <w:endnote w:type="continuationSeparator" w:id="0">
    <w:p w14:paraId="578748A3" w14:textId="77777777" w:rsidR="00BE0040" w:rsidRDefault="00BE0040" w:rsidP="00911E7D">
      <w:pPr>
        <w:spacing w:after="0" w:line="240" w:lineRule="auto"/>
      </w:pPr>
      <w:r>
        <w:continuationSeparator/>
      </w:r>
    </w:p>
  </w:endnote>
  <w:endnote w:type="continuationNotice" w:id="1">
    <w:p w14:paraId="515AFF91" w14:textId="77777777" w:rsidR="00BE0040" w:rsidRDefault="00BE0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389010"/>
      <w:docPartObj>
        <w:docPartGallery w:val="Page Numbers (Bottom of Page)"/>
        <w:docPartUnique/>
      </w:docPartObj>
    </w:sdtPr>
    <w:sdtEndPr/>
    <w:sdtContent>
      <w:p w14:paraId="2637E647" w14:textId="5CAB3962" w:rsidR="00116DA9" w:rsidRDefault="00116DA9">
        <w:pPr>
          <w:pStyle w:val="Stopka"/>
          <w:jc w:val="right"/>
        </w:pPr>
        <w:r>
          <w:fldChar w:fldCharType="begin"/>
        </w:r>
        <w:r>
          <w:instrText>PAGE   \* MERGEFORMAT</w:instrText>
        </w:r>
        <w:r>
          <w:fldChar w:fldCharType="separate"/>
        </w:r>
        <w:r w:rsidR="00A926A4">
          <w:rPr>
            <w:noProof/>
          </w:rPr>
          <w:t>1</w:t>
        </w:r>
        <w:r>
          <w:fldChar w:fldCharType="end"/>
        </w:r>
      </w:p>
    </w:sdtContent>
  </w:sdt>
  <w:p w14:paraId="498A0ABC" w14:textId="77777777" w:rsidR="00116DA9" w:rsidRDefault="00116D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F04B" w14:textId="77777777" w:rsidR="00BE0040" w:rsidRDefault="00BE0040" w:rsidP="00911E7D">
      <w:pPr>
        <w:spacing w:after="0" w:line="240" w:lineRule="auto"/>
      </w:pPr>
      <w:r>
        <w:separator/>
      </w:r>
    </w:p>
  </w:footnote>
  <w:footnote w:type="continuationSeparator" w:id="0">
    <w:p w14:paraId="5483B19E" w14:textId="77777777" w:rsidR="00BE0040" w:rsidRDefault="00BE0040" w:rsidP="00911E7D">
      <w:pPr>
        <w:spacing w:after="0" w:line="240" w:lineRule="auto"/>
      </w:pPr>
      <w:r>
        <w:continuationSeparator/>
      </w:r>
    </w:p>
  </w:footnote>
  <w:footnote w:type="continuationNotice" w:id="1">
    <w:p w14:paraId="097D628F" w14:textId="77777777" w:rsidR="00BE0040" w:rsidRDefault="00BE0040">
      <w:pPr>
        <w:spacing w:after="0" w:line="240" w:lineRule="auto"/>
      </w:pPr>
    </w:p>
  </w:footnote>
  <w:footnote w:id="2">
    <w:p w14:paraId="179C1461" w14:textId="6F3677AB" w:rsidR="00116DA9" w:rsidRDefault="00116DA9" w:rsidP="008B613D">
      <w:pPr>
        <w:pStyle w:val="Tekstprzypisudolnego"/>
        <w:jc w:val="both"/>
      </w:pPr>
      <w:r>
        <w:rPr>
          <w:rStyle w:val="Odwoanieprzypisudolnego"/>
        </w:rPr>
        <w:footnoteRef/>
      </w:r>
      <w:r>
        <w:t xml:space="preserve">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 w:id="3">
    <w:p w14:paraId="24272CC7" w14:textId="321AA9E7" w:rsidR="00116DA9" w:rsidRPr="008B613D" w:rsidRDefault="00116DA9" w:rsidP="008B613D">
      <w:pPr>
        <w:pStyle w:val="Tekstprzypisudolnego"/>
        <w:jc w:val="both"/>
        <w:rPr>
          <w:lang w:val="en-GB"/>
        </w:rPr>
      </w:pPr>
      <w:r>
        <w:rPr>
          <w:rStyle w:val="Odwoanieprzypisudolnego"/>
        </w:rPr>
        <w:footnoteRef/>
      </w:r>
      <w:r w:rsidRPr="008B613D">
        <w:rPr>
          <w:lang w:val="en-GB"/>
        </w:rPr>
        <w:t xml:space="preserve"> </w:t>
      </w:r>
      <w:r w:rsidRPr="008B613D">
        <w:rPr>
          <w:i/>
          <w:lang w:val="en-GB"/>
        </w:rPr>
        <w:t>Ex-ante assessment for the potential use of Financial Instruments for energy efficiency retrofitting in non-historical public buildings under European Funds for Infrastructure, Climate, Environment 2021-2027 Operational Programme</w:t>
      </w:r>
      <w:r w:rsidRPr="00E1774E">
        <w:rPr>
          <w:lang w:val="en-GB"/>
        </w:rPr>
        <w:t>, Raport końcowy EBOiR przekazany MFiPR, 2023.</w:t>
      </w:r>
    </w:p>
  </w:footnote>
  <w:footnote w:id="4">
    <w:p w14:paraId="56E89661" w14:textId="319B9D9E" w:rsidR="00116DA9" w:rsidRPr="008B613D" w:rsidRDefault="00116DA9">
      <w:pPr>
        <w:pStyle w:val="Tekstprzypisudolnego"/>
        <w:rPr>
          <w:lang w:val="en-GB"/>
        </w:rPr>
      </w:pPr>
      <w:r>
        <w:rPr>
          <w:rStyle w:val="Odwoanieprzypisudolnego"/>
        </w:rPr>
        <w:footnoteRef/>
      </w:r>
      <w:r w:rsidRPr="008B613D">
        <w:rPr>
          <w:lang w:val="en-GB"/>
        </w:rPr>
        <w:t xml:space="preserve"> https://www.gov.pl/web/funduszmodernizacyjny/renowacja-z-gwarancja-oszczednosci-epc-energy-performance-contract-plus</w:t>
      </w:r>
    </w:p>
  </w:footnote>
  <w:footnote w:id="5">
    <w:p w14:paraId="0DB9AA42" w14:textId="4EB207E9" w:rsidR="009C0184" w:rsidRDefault="009C0184">
      <w:pPr>
        <w:pStyle w:val="Tekstprzypisudolnego"/>
      </w:pPr>
      <w:r>
        <w:rPr>
          <w:rStyle w:val="Odwoanieprzypisudolnego"/>
        </w:rPr>
        <w:footnoteRef/>
      </w:r>
      <w:r>
        <w:t xml:space="preserve"> Poziomy pożyczki odpowiadają maksymalnemu poziomowi dofinansowania dla kolejno małej, średniej i głębokiej termomodernizacji.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C4E4" w14:textId="77777777" w:rsidR="00116DA9" w:rsidRDefault="00116D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2BC"/>
    <w:multiLevelType w:val="hybridMultilevel"/>
    <w:tmpl w:val="41C0E1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BF3E15"/>
    <w:multiLevelType w:val="hybridMultilevel"/>
    <w:tmpl w:val="EACA050E"/>
    <w:lvl w:ilvl="0" w:tplc="F51851F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817E7"/>
    <w:multiLevelType w:val="hybridMultilevel"/>
    <w:tmpl w:val="41C0E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C74D3"/>
    <w:multiLevelType w:val="hybridMultilevel"/>
    <w:tmpl w:val="B5AC157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F822A19"/>
    <w:multiLevelType w:val="hybridMultilevel"/>
    <w:tmpl w:val="AE4AE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EB7CF2"/>
    <w:multiLevelType w:val="hybridMultilevel"/>
    <w:tmpl w:val="A7782A92"/>
    <w:lvl w:ilvl="0" w:tplc="881C2B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EF74C6"/>
    <w:multiLevelType w:val="multilevel"/>
    <w:tmpl w:val="E704098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743108B"/>
    <w:multiLevelType w:val="hybridMultilevel"/>
    <w:tmpl w:val="94B8C7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413275"/>
    <w:multiLevelType w:val="hybridMultilevel"/>
    <w:tmpl w:val="CEC6FD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745F0"/>
    <w:multiLevelType w:val="hybridMultilevel"/>
    <w:tmpl w:val="B62A0DB6"/>
    <w:lvl w:ilvl="0" w:tplc="F9EA24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777D9E"/>
    <w:multiLevelType w:val="multilevel"/>
    <w:tmpl w:val="35FC7E42"/>
    <w:lvl w:ilvl="0">
      <w:start w:val="1"/>
      <w:numFmt w:val="decimal"/>
      <w:pStyle w:val="Nagwek1"/>
      <w:lvlText w:val="%1."/>
      <w:lvlJc w:val="left"/>
      <w:pPr>
        <w:ind w:left="720"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start w:val="1"/>
      <w:numFmt w:val="decimal"/>
      <w:pStyle w:val="Nagwek2"/>
      <w:isLgl/>
      <w:lvlText w:val="%1.%2."/>
      <w:lvlJc w:val="left"/>
      <w:pPr>
        <w:ind w:left="720" w:hanging="720"/>
      </w:pPr>
      <w:rPr>
        <w:rFonts w:hint="default"/>
      </w:rPr>
    </w:lvl>
    <w:lvl w:ilvl="2">
      <w:start w:val="1"/>
      <w:numFmt w:val="decimal"/>
      <w:pStyle w:val="Nagwek3"/>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935152D"/>
    <w:multiLevelType w:val="hybridMultilevel"/>
    <w:tmpl w:val="9CAC01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C92064"/>
    <w:multiLevelType w:val="hybridMultilevel"/>
    <w:tmpl w:val="0A5A87AC"/>
    <w:lvl w:ilvl="0" w:tplc="05DE9204">
      <w:start w:val="10"/>
      <w:numFmt w:val="bullet"/>
      <w:lvlText w:val="•"/>
      <w:lvlJc w:val="left"/>
      <w:pPr>
        <w:ind w:left="1070" w:hanging="71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0F594C"/>
    <w:multiLevelType w:val="hybridMultilevel"/>
    <w:tmpl w:val="F8E6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27C38"/>
    <w:multiLevelType w:val="hybridMultilevel"/>
    <w:tmpl w:val="5DACE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875B5C"/>
    <w:multiLevelType w:val="hybridMultilevel"/>
    <w:tmpl w:val="F200B3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F4A4C23"/>
    <w:multiLevelType w:val="hybridMultilevel"/>
    <w:tmpl w:val="243210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18974E8"/>
    <w:multiLevelType w:val="hybridMultilevel"/>
    <w:tmpl w:val="3D8201D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994C86"/>
    <w:multiLevelType w:val="hybridMultilevel"/>
    <w:tmpl w:val="E9A871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50921CF"/>
    <w:multiLevelType w:val="multilevel"/>
    <w:tmpl w:val="57109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56570FD"/>
    <w:multiLevelType w:val="hybridMultilevel"/>
    <w:tmpl w:val="41C0E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660B71"/>
    <w:multiLevelType w:val="hybridMultilevel"/>
    <w:tmpl w:val="2A3496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636F37"/>
    <w:multiLevelType w:val="hybridMultilevel"/>
    <w:tmpl w:val="D2522C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286959"/>
    <w:multiLevelType w:val="hybridMultilevel"/>
    <w:tmpl w:val="A4C24A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0B14C36"/>
    <w:multiLevelType w:val="hybridMultilevel"/>
    <w:tmpl w:val="1DA0D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F972C1"/>
    <w:multiLevelType w:val="hybridMultilevel"/>
    <w:tmpl w:val="34CCC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A6E659B"/>
    <w:multiLevelType w:val="hybridMultilevel"/>
    <w:tmpl w:val="1AEE8C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035953"/>
    <w:multiLevelType w:val="hybridMultilevel"/>
    <w:tmpl w:val="1100A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630A77"/>
    <w:multiLevelType w:val="hybridMultilevel"/>
    <w:tmpl w:val="60260694"/>
    <w:lvl w:ilvl="0" w:tplc="9E464B58">
      <w:start w:val="1"/>
      <w:numFmt w:val="decimal"/>
      <w:lvlText w:val="%1)"/>
      <w:lvlJc w:val="left"/>
      <w:pPr>
        <w:ind w:left="720" w:hanging="360"/>
      </w:pPr>
    </w:lvl>
    <w:lvl w:ilvl="1" w:tplc="CA687434">
      <w:start w:val="1"/>
      <w:numFmt w:val="decimal"/>
      <w:lvlText w:val="%2)"/>
      <w:lvlJc w:val="left"/>
      <w:pPr>
        <w:ind w:left="720" w:hanging="360"/>
      </w:pPr>
    </w:lvl>
    <w:lvl w:ilvl="2" w:tplc="5E7ACB9C">
      <w:start w:val="1"/>
      <w:numFmt w:val="decimal"/>
      <w:lvlText w:val="%3)"/>
      <w:lvlJc w:val="left"/>
      <w:pPr>
        <w:ind w:left="720" w:hanging="360"/>
      </w:pPr>
    </w:lvl>
    <w:lvl w:ilvl="3" w:tplc="97924B86">
      <w:start w:val="1"/>
      <w:numFmt w:val="decimal"/>
      <w:lvlText w:val="%4)"/>
      <w:lvlJc w:val="left"/>
      <w:pPr>
        <w:ind w:left="720" w:hanging="360"/>
      </w:pPr>
    </w:lvl>
    <w:lvl w:ilvl="4" w:tplc="D7FEB6FC">
      <w:start w:val="1"/>
      <w:numFmt w:val="decimal"/>
      <w:lvlText w:val="%5)"/>
      <w:lvlJc w:val="left"/>
      <w:pPr>
        <w:ind w:left="720" w:hanging="360"/>
      </w:pPr>
    </w:lvl>
    <w:lvl w:ilvl="5" w:tplc="77602A88">
      <w:start w:val="1"/>
      <w:numFmt w:val="decimal"/>
      <w:lvlText w:val="%6)"/>
      <w:lvlJc w:val="left"/>
      <w:pPr>
        <w:ind w:left="720" w:hanging="360"/>
      </w:pPr>
    </w:lvl>
    <w:lvl w:ilvl="6" w:tplc="29AE852A">
      <w:start w:val="1"/>
      <w:numFmt w:val="decimal"/>
      <w:lvlText w:val="%7)"/>
      <w:lvlJc w:val="left"/>
      <w:pPr>
        <w:ind w:left="720" w:hanging="360"/>
      </w:pPr>
    </w:lvl>
    <w:lvl w:ilvl="7" w:tplc="31E0DD4A">
      <w:start w:val="1"/>
      <w:numFmt w:val="decimal"/>
      <w:lvlText w:val="%8)"/>
      <w:lvlJc w:val="left"/>
      <w:pPr>
        <w:ind w:left="720" w:hanging="360"/>
      </w:pPr>
    </w:lvl>
    <w:lvl w:ilvl="8" w:tplc="05B0AFD0">
      <w:start w:val="1"/>
      <w:numFmt w:val="decimal"/>
      <w:lvlText w:val="%9)"/>
      <w:lvlJc w:val="left"/>
      <w:pPr>
        <w:ind w:left="720" w:hanging="360"/>
      </w:pPr>
    </w:lvl>
  </w:abstractNum>
  <w:abstractNum w:abstractNumId="29" w15:restartNumberingAfterBreak="0">
    <w:nsid w:val="61A7206F"/>
    <w:multiLevelType w:val="hybridMultilevel"/>
    <w:tmpl w:val="41C0E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365280"/>
    <w:multiLevelType w:val="hybridMultilevel"/>
    <w:tmpl w:val="9C5C1CC6"/>
    <w:lvl w:ilvl="0" w:tplc="BEE6F73E">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6674303C"/>
    <w:multiLevelType w:val="hybridMultilevel"/>
    <w:tmpl w:val="357AF4A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7920E6"/>
    <w:multiLevelType w:val="multilevel"/>
    <w:tmpl w:val="C09A5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9B4FE2"/>
    <w:multiLevelType w:val="hybridMultilevel"/>
    <w:tmpl w:val="0A92EA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DC6B2F"/>
    <w:multiLevelType w:val="hybridMultilevel"/>
    <w:tmpl w:val="C1AC863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77677A8C"/>
    <w:multiLevelType w:val="hybridMultilevel"/>
    <w:tmpl w:val="463E2E3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7997B82"/>
    <w:multiLevelType w:val="hybridMultilevel"/>
    <w:tmpl w:val="DD6AE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9F2AB9"/>
    <w:multiLevelType w:val="hybridMultilevel"/>
    <w:tmpl w:val="4FC00D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C965CB"/>
    <w:multiLevelType w:val="hybridMultilevel"/>
    <w:tmpl w:val="B750230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7FCC0930"/>
    <w:multiLevelType w:val="hybridMultilevel"/>
    <w:tmpl w:val="4F76DF78"/>
    <w:lvl w:ilvl="0" w:tplc="62B423CA">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E42F4B"/>
    <w:multiLevelType w:val="hybridMultilevel"/>
    <w:tmpl w:val="38FEC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26868380">
    <w:abstractNumId w:val="29"/>
  </w:num>
  <w:num w:numId="2" w16cid:durableId="863593187">
    <w:abstractNumId w:val="32"/>
  </w:num>
  <w:num w:numId="3" w16cid:durableId="51852504">
    <w:abstractNumId w:val="22"/>
  </w:num>
  <w:num w:numId="4" w16cid:durableId="309865021">
    <w:abstractNumId w:val="31"/>
  </w:num>
  <w:num w:numId="5" w16cid:durableId="993057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53779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604626">
    <w:abstractNumId w:val="24"/>
  </w:num>
  <w:num w:numId="8" w16cid:durableId="149173242">
    <w:abstractNumId w:val="0"/>
  </w:num>
  <w:num w:numId="9" w16cid:durableId="1622804107">
    <w:abstractNumId w:val="20"/>
  </w:num>
  <w:num w:numId="10" w16cid:durableId="420762444">
    <w:abstractNumId w:val="30"/>
  </w:num>
  <w:num w:numId="11" w16cid:durableId="2037534545">
    <w:abstractNumId w:val="40"/>
  </w:num>
  <w:num w:numId="12" w16cid:durableId="1589998682">
    <w:abstractNumId w:val="14"/>
  </w:num>
  <w:num w:numId="13" w16cid:durableId="106127534">
    <w:abstractNumId w:val="2"/>
  </w:num>
  <w:num w:numId="14" w16cid:durableId="744764818">
    <w:abstractNumId w:val="25"/>
  </w:num>
  <w:num w:numId="15" w16cid:durableId="1604147389">
    <w:abstractNumId w:val="6"/>
  </w:num>
  <w:num w:numId="16" w16cid:durableId="1598903047">
    <w:abstractNumId w:val="9"/>
  </w:num>
  <w:num w:numId="17" w16cid:durableId="915896487">
    <w:abstractNumId w:val="13"/>
  </w:num>
  <w:num w:numId="18" w16cid:durableId="1657804680">
    <w:abstractNumId w:val="1"/>
  </w:num>
  <w:num w:numId="19" w16cid:durableId="1484354963">
    <w:abstractNumId w:val="10"/>
  </w:num>
  <w:num w:numId="20" w16cid:durableId="1886791650">
    <w:abstractNumId w:val="36"/>
  </w:num>
  <w:num w:numId="21" w16cid:durableId="174077023">
    <w:abstractNumId w:val="35"/>
  </w:num>
  <w:num w:numId="22" w16cid:durableId="270674235">
    <w:abstractNumId w:val="39"/>
  </w:num>
  <w:num w:numId="23" w16cid:durableId="198864427">
    <w:abstractNumId w:val="3"/>
  </w:num>
  <w:num w:numId="24" w16cid:durableId="1816793521">
    <w:abstractNumId w:val="15"/>
  </w:num>
  <w:num w:numId="25" w16cid:durableId="1569343542">
    <w:abstractNumId w:val="5"/>
  </w:num>
  <w:num w:numId="26" w16cid:durableId="1602255073">
    <w:abstractNumId w:val="23"/>
  </w:num>
  <w:num w:numId="27" w16cid:durableId="298650360">
    <w:abstractNumId w:val="34"/>
  </w:num>
  <w:num w:numId="28" w16cid:durableId="1286621897">
    <w:abstractNumId w:val="7"/>
  </w:num>
  <w:num w:numId="29" w16cid:durableId="1660961032">
    <w:abstractNumId w:val="27"/>
  </w:num>
  <w:num w:numId="30" w16cid:durableId="1121918945">
    <w:abstractNumId w:val="21"/>
  </w:num>
  <w:num w:numId="31" w16cid:durableId="1123572484">
    <w:abstractNumId w:val="11"/>
  </w:num>
  <w:num w:numId="32" w16cid:durableId="1206138946">
    <w:abstractNumId w:val="4"/>
  </w:num>
  <w:num w:numId="33" w16cid:durableId="763845811">
    <w:abstractNumId w:val="33"/>
  </w:num>
  <w:num w:numId="34" w16cid:durableId="1029718241">
    <w:abstractNumId w:val="26"/>
  </w:num>
  <w:num w:numId="35" w16cid:durableId="888880097">
    <w:abstractNumId w:val="28"/>
  </w:num>
  <w:num w:numId="36" w16cid:durableId="1082142167">
    <w:abstractNumId w:val="18"/>
  </w:num>
  <w:num w:numId="37" w16cid:durableId="527372516">
    <w:abstractNumId w:val="17"/>
  </w:num>
  <w:num w:numId="38" w16cid:durableId="706877574">
    <w:abstractNumId w:val="37"/>
  </w:num>
  <w:num w:numId="39" w16cid:durableId="1830946526">
    <w:abstractNumId w:val="8"/>
  </w:num>
  <w:num w:numId="40" w16cid:durableId="418336259">
    <w:abstractNumId w:val="12"/>
  </w:num>
  <w:num w:numId="41" w16cid:durableId="1135175868">
    <w:abstractNumId w:val="16"/>
  </w:num>
  <w:num w:numId="42" w16cid:durableId="130439943">
    <w:abstractNumId w:val="10"/>
  </w:num>
  <w:num w:numId="43" w16cid:durableId="122016472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0DC"/>
    <w:rsid w:val="00000AE2"/>
    <w:rsid w:val="00004980"/>
    <w:rsid w:val="00007ED6"/>
    <w:rsid w:val="000127C0"/>
    <w:rsid w:val="00014EBC"/>
    <w:rsid w:val="0001661A"/>
    <w:rsid w:val="000207A4"/>
    <w:rsid w:val="00020A42"/>
    <w:rsid w:val="00027CA6"/>
    <w:rsid w:val="000357B1"/>
    <w:rsid w:val="00035B4F"/>
    <w:rsid w:val="00041C96"/>
    <w:rsid w:val="00044F97"/>
    <w:rsid w:val="0004598C"/>
    <w:rsid w:val="000535FE"/>
    <w:rsid w:val="00054C62"/>
    <w:rsid w:val="00055C4E"/>
    <w:rsid w:val="00071311"/>
    <w:rsid w:val="00071E4E"/>
    <w:rsid w:val="00072309"/>
    <w:rsid w:val="00080293"/>
    <w:rsid w:val="00080D23"/>
    <w:rsid w:val="00093A81"/>
    <w:rsid w:val="00095044"/>
    <w:rsid w:val="000A4281"/>
    <w:rsid w:val="000B0EB6"/>
    <w:rsid w:val="000B1D12"/>
    <w:rsid w:val="000B7E73"/>
    <w:rsid w:val="000C04E5"/>
    <w:rsid w:val="000C1F84"/>
    <w:rsid w:val="000C2E04"/>
    <w:rsid w:val="000C3A9A"/>
    <w:rsid w:val="000C7E10"/>
    <w:rsid w:val="000E076D"/>
    <w:rsid w:val="000E34AE"/>
    <w:rsid w:val="000E5257"/>
    <w:rsid w:val="000E5A3A"/>
    <w:rsid w:val="00115A69"/>
    <w:rsid w:val="00115FE7"/>
    <w:rsid w:val="00116DA9"/>
    <w:rsid w:val="00122585"/>
    <w:rsid w:val="00124D3F"/>
    <w:rsid w:val="00131F65"/>
    <w:rsid w:val="00136F37"/>
    <w:rsid w:val="0014160C"/>
    <w:rsid w:val="0014314A"/>
    <w:rsid w:val="001440EB"/>
    <w:rsid w:val="001443A0"/>
    <w:rsid w:val="00146485"/>
    <w:rsid w:val="00150010"/>
    <w:rsid w:val="00157288"/>
    <w:rsid w:val="00157DC7"/>
    <w:rsid w:val="00170552"/>
    <w:rsid w:val="0017534F"/>
    <w:rsid w:val="00177A24"/>
    <w:rsid w:val="00177D4A"/>
    <w:rsid w:val="00185819"/>
    <w:rsid w:val="00185D8E"/>
    <w:rsid w:val="00187DF0"/>
    <w:rsid w:val="00190B63"/>
    <w:rsid w:val="00192130"/>
    <w:rsid w:val="00193DA8"/>
    <w:rsid w:val="001A35C5"/>
    <w:rsid w:val="001A4496"/>
    <w:rsid w:val="001A700F"/>
    <w:rsid w:val="001A7A07"/>
    <w:rsid w:val="001B25AF"/>
    <w:rsid w:val="001B481B"/>
    <w:rsid w:val="001B5468"/>
    <w:rsid w:val="001C2118"/>
    <w:rsid w:val="001C573A"/>
    <w:rsid w:val="001C677E"/>
    <w:rsid w:val="001D0B08"/>
    <w:rsid w:val="001D2096"/>
    <w:rsid w:val="001D7C56"/>
    <w:rsid w:val="001E5985"/>
    <w:rsid w:val="001F0186"/>
    <w:rsid w:val="001F16AC"/>
    <w:rsid w:val="001F68D6"/>
    <w:rsid w:val="00201BDB"/>
    <w:rsid w:val="0020437F"/>
    <w:rsid w:val="00224606"/>
    <w:rsid w:val="00226BD2"/>
    <w:rsid w:val="00230760"/>
    <w:rsid w:val="002323EA"/>
    <w:rsid w:val="002401D9"/>
    <w:rsid w:val="00243440"/>
    <w:rsid w:val="0025314F"/>
    <w:rsid w:val="00256009"/>
    <w:rsid w:val="00256FF2"/>
    <w:rsid w:val="00260638"/>
    <w:rsid w:val="002648CF"/>
    <w:rsid w:val="002659E5"/>
    <w:rsid w:val="002678D9"/>
    <w:rsid w:val="00270406"/>
    <w:rsid w:val="00286AAB"/>
    <w:rsid w:val="002905B4"/>
    <w:rsid w:val="00294547"/>
    <w:rsid w:val="002C30E1"/>
    <w:rsid w:val="002C36F0"/>
    <w:rsid w:val="002C3ED3"/>
    <w:rsid w:val="002C43E2"/>
    <w:rsid w:val="002C5A8A"/>
    <w:rsid w:val="002D2ABE"/>
    <w:rsid w:val="002D3D62"/>
    <w:rsid w:val="002E06FA"/>
    <w:rsid w:val="002E1D08"/>
    <w:rsid w:val="002E5908"/>
    <w:rsid w:val="002E5F31"/>
    <w:rsid w:val="002E7E80"/>
    <w:rsid w:val="00303129"/>
    <w:rsid w:val="00307E96"/>
    <w:rsid w:val="00315F59"/>
    <w:rsid w:val="00317057"/>
    <w:rsid w:val="003240BD"/>
    <w:rsid w:val="0032574D"/>
    <w:rsid w:val="0033311C"/>
    <w:rsid w:val="003340E6"/>
    <w:rsid w:val="003413D1"/>
    <w:rsid w:val="00342989"/>
    <w:rsid w:val="00342B97"/>
    <w:rsid w:val="003461D7"/>
    <w:rsid w:val="003468D2"/>
    <w:rsid w:val="00347890"/>
    <w:rsid w:val="00356247"/>
    <w:rsid w:val="0036003E"/>
    <w:rsid w:val="003628FA"/>
    <w:rsid w:val="00362A3B"/>
    <w:rsid w:val="003677DA"/>
    <w:rsid w:val="003700DC"/>
    <w:rsid w:val="00373B67"/>
    <w:rsid w:val="003745C8"/>
    <w:rsid w:val="003748A5"/>
    <w:rsid w:val="00374ADA"/>
    <w:rsid w:val="003770D0"/>
    <w:rsid w:val="00386FC8"/>
    <w:rsid w:val="003916EB"/>
    <w:rsid w:val="003962D9"/>
    <w:rsid w:val="003A17C4"/>
    <w:rsid w:val="003A1BDB"/>
    <w:rsid w:val="003B061F"/>
    <w:rsid w:val="003B11B3"/>
    <w:rsid w:val="003B18A4"/>
    <w:rsid w:val="003B5593"/>
    <w:rsid w:val="003B5602"/>
    <w:rsid w:val="003B65F9"/>
    <w:rsid w:val="003B6EC7"/>
    <w:rsid w:val="003C0806"/>
    <w:rsid w:val="003C23CB"/>
    <w:rsid w:val="003C2E1E"/>
    <w:rsid w:val="003C46B4"/>
    <w:rsid w:val="003C5806"/>
    <w:rsid w:val="003D2CA9"/>
    <w:rsid w:val="003E4D4B"/>
    <w:rsid w:val="003F5A52"/>
    <w:rsid w:val="003F70D8"/>
    <w:rsid w:val="003F7F3D"/>
    <w:rsid w:val="004000A4"/>
    <w:rsid w:val="0040320B"/>
    <w:rsid w:val="0040415E"/>
    <w:rsid w:val="00413878"/>
    <w:rsid w:val="00416882"/>
    <w:rsid w:val="00417128"/>
    <w:rsid w:val="0041735D"/>
    <w:rsid w:val="00417568"/>
    <w:rsid w:val="00421CEF"/>
    <w:rsid w:val="00422465"/>
    <w:rsid w:val="00423041"/>
    <w:rsid w:val="0042378A"/>
    <w:rsid w:val="004337BD"/>
    <w:rsid w:val="004337EF"/>
    <w:rsid w:val="00435294"/>
    <w:rsid w:val="004353DD"/>
    <w:rsid w:val="00436F95"/>
    <w:rsid w:val="004401AD"/>
    <w:rsid w:val="0044270E"/>
    <w:rsid w:val="004561E8"/>
    <w:rsid w:val="0046452C"/>
    <w:rsid w:val="004655D8"/>
    <w:rsid w:val="004666C2"/>
    <w:rsid w:val="00476CBD"/>
    <w:rsid w:val="00480D38"/>
    <w:rsid w:val="004909B9"/>
    <w:rsid w:val="00492768"/>
    <w:rsid w:val="004958CA"/>
    <w:rsid w:val="00496269"/>
    <w:rsid w:val="00496D15"/>
    <w:rsid w:val="004970D5"/>
    <w:rsid w:val="004A16DC"/>
    <w:rsid w:val="004A4A6B"/>
    <w:rsid w:val="004A68E0"/>
    <w:rsid w:val="004B5D14"/>
    <w:rsid w:val="004C0024"/>
    <w:rsid w:val="004C3EB1"/>
    <w:rsid w:val="004C5F77"/>
    <w:rsid w:val="004C71F9"/>
    <w:rsid w:val="004C7973"/>
    <w:rsid w:val="004C7C93"/>
    <w:rsid w:val="004D7EBF"/>
    <w:rsid w:val="004E0505"/>
    <w:rsid w:val="004E0CE4"/>
    <w:rsid w:val="004E15F7"/>
    <w:rsid w:val="004F32BE"/>
    <w:rsid w:val="004F5ABB"/>
    <w:rsid w:val="005043F5"/>
    <w:rsid w:val="0050476C"/>
    <w:rsid w:val="005077C8"/>
    <w:rsid w:val="0051151D"/>
    <w:rsid w:val="0051190B"/>
    <w:rsid w:val="00511AA4"/>
    <w:rsid w:val="0051233E"/>
    <w:rsid w:val="005165B7"/>
    <w:rsid w:val="00524BC1"/>
    <w:rsid w:val="00531673"/>
    <w:rsid w:val="00531CF6"/>
    <w:rsid w:val="00543DE1"/>
    <w:rsid w:val="00545542"/>
    <w:rsid w:val="005501F3"/>
    <w:rsid w:val="00551975"/>
    <w:rsid w:val="00553A14"/>
    <w:rsid w:val="005554BF"/>
    <w:rsid w:val="00561015"/>
    <w:rsid w:val="0057288A"/>
    <w:rsid w:val="0058575B"/>
    <w:rsid w:val="0058758D"/>
    <w:rsid w:val="00592520"/>
    <w:rsid w:val="005A05C4"/>
    <w:rsid w:val="005A445A"/>
    <w:rsid w:val="005B1C73"/>
    <w:rsid w:val="005B250A"/>
    <w:rsid w:val="005C2D9D"/>
    <w:rsid w:val="005C61AC"/>
    <w:rsid w:val="005C7677"/>
    <w:rsid w:val="005D0021"/>
    <w:rsid w:val="005D508D"/>
    <w:rsid w:val="005E10E0"/>
    <w:rsid w:val="005E32AA"/>
    <w:rsid w:val="005E358F"/>
    <w:rsid w:val="005E750D"/>
    <w:rsid w:val="005F5F30"/>
    <w:rsid w:val="006016AD"/>
    <w:rsid w:val="00602183"/>
    <w:rsid w:val="00602C46"/>
    <w:rsid w:val="00614AF5"/>
    <w:rsid w:val="006167B3"/>
    <w:rsid w:val="006225B6"/>
    <w:rsid w:val="00624E8C"/>
    <w:rsid w:val="006258C9"/>
    <w:rsid w:val="00625C42"/>
    <w:rsid w:val="006274CA"/>
    <w:rsid w:val="00636CCB"/>
    <w:rsid w:val="00642899"/>
    <w:rsid w:val="006465C2"/>
    <w:rsid w:val="0065306F"/>
    <w:rsid w:val="00664C7C"/>
    <w:rsid w:val="00667D47"/>
    <w:rsid w:val="0067054E"/>
    <w:rsid w:val="00670E26"/>
    <w:rsid w:val="00671CCD"/>
    <w:rsid w:val="0067374F"/>
    <w:rsid w:val="00674393"/>
    <w:rsid w:val="00677272"/>
    <w:rsid w:val="00681239"/>
    <w:rsid w:val="00686AA4"/>
    <w:rsid w:val="00690DBA"/>
    <w:rsid w:val="006916B8"/>
    <w:rsid w:val="0069750F"/>
    <w:rsid w:val="006A3FCE"/>
    <w:rsid w:val="006B34AF"/>
    <w:rsid w:val="006B403A"/>
    <w:rsid w:val="006B72BF"/>
    <w:rsid w:val="006C3234"/>
    <w:rsid w:val="006D1A75"/>
    <w:rsid w:val="006D505F"/>
    <w:rsid w:val="006D538B"/>
    <w:rsid w:val="006D58B6"/>
    <w:rsid w:val="006E7B6C"/>
    <w:rsid w:val="006F030D"/>
    <w:rsid w:val="006F42EB"/>
    <w:rsid w:val="00705ABD"/>
    <w:rsid w:val="007101CC"/>
    <w:rsid w:val="007114B2"/>
    <w:rsid w:val="007164D4"/>
    <w:rsid w:val="00720013"/>
    <w:rsid w:val="0072195A"/>
    <w:rsid w:val="00723F1C"/>
    <w:rsid w:val="00727EE9"/>
    <w:rsid w:val="00735FA1"/>
    <w:rsid w:val="00745A6C"/>
    <w:rsid w:val="00754385"/>
    <w:rsid w:val="00757648"/>
    <w:rsid w:val="00757836"/>
    <w:rsid w:val="007657DC"/>
    <w:rsid w:val="0076702D"/>
    <w:rsid w:val="00771768"/>
    <w:rsid w:val="007737CB"/>
    <w:rsid w:val="00774C48"/>
    <w:rsid w:val="007755AE"/>
    <w:rsid w:val="0078281A"/>
    <w:rsid w:val="007A7EB2"/>
    <w:rsid w:val="007B18B1"/>
    <w:rsid w:val="007B5A50"/>
    <w:rsid w:val="007B5F9F"/>
    <w:rsid w:val="007B69A7"/>
    <w:rsid w:val="007C39BC"/>
    <w:rsid w:val="007D6FBB"/>
    <w:rsid w:val="007E299B"/>
    <w:rsid w:val="007E6CF8"/>
    <w:rsid w:val="007F1AFF"/>
    <w:rsid w:val="007F557A"/>
    <w:rsid w:val="00810BC5"/>
    <w:rsid w:val="0081300C"/>
    <w:rsid w:val="008172D0"/>
    <w:rsid w:val="00820318"/>
    <w:rsid w:val="00833010"/>
    <w:rsid w:val="00833E2C"/>
    <w:rsid w:val="008473FD"/>
    <w:rsid w:val="00854F15"/>
    <w:rsid w:val="00865929"/>
    <w:rsid w:val="008854CB"/>
    <w:rsid w:val="00892EF6"/>
    <w:rsid w:val="00897780"/>
    <w:rsid w:val="008B613D"/>
    <w:rsid w:val="008B7525"/>
    <w:rsid w:val="008C185B"/>
    <w:rsid w:val="008C2BE1"/>
    <w:rsid w:val="008C721C"/>
    <w:rsid w:val="008D573A"/>
    <w:rsid w:val="008E21D7"/>
    <w:rsid w:val="008E4F8C"/>
    <w:rsid w:val="008F0155"/>
    <w:rsid w:val="008F2E32"/>
    <w:rsid w:val="00901B4E"/>
    <w:rsid w:val="00902A40"/>
    <w:rsid w:val="009047A2"/>
    <w:rsid w:val="009054FE"/>
    <w:rsid w:val="00910D55"/>
    <w:rsid w:val="00910EB5"/>
    <w:rsid w:val="00911E7D"/>
    <w:rsid w:val="009145F8"/>
    <w:rsid w:val="009150BA"/>
    <w:rsid w:val="00927B00"/>
    <w:rsid w:val="00931A88"/>
    <w:rsid w:val="00932923"/>
    <w:rsid w:val="00934F0B"/>
    <w:rsid w:val="00936FD1"/>
    <w:rsid w:val="00950AD6"/>
    <w:rsid w:val="00952BFB"/>
    <w:rsid w:val="00954317"/>
    <w:rsid w:val="00961415"/>
    <w:rsid w:val="009622B4"/>
    <w:rsid w:val="00976F3D"/>
    <w:rsid w:val="0097790F"/>
    <w:rsid w:val="00980F66"/>
    <w:rsid w:val="00981F35"/>
    <w:rsid w:val="00983C11"/>
    <w:rsid w:val="009919BD"/>
    <w:rsid w:val="00992DA4"/>
    <w:rsid w:val="0099512E"/>
    <w:rsid w:val="00995201"/>
    <w:rsid w:val="00997585"/>
    <w:rsid w:val="009A5FC7"/>
    <w:rsid w:val="009A75B3"/>
    <w:rsid w:val="009B1E50"/>
    <w:rsid w:val="009B2C15"/>
    <w:rsid w:val="009B5C78"/>
    <w:rsid w:val="009C0184"/>
    <w:rsid w:val="009D313E"/>
    <w:rsid w:val="009D4DE9"/>
    <w:rsid w:val="009D7752"/>
    <w:rsid w:val="009E212F"/>
    <w:rsid w:val="009E6C03"/>
    <w:rsid w:val="009F11A3"/>
    <w:rsid w:val="009F4390"/>
    <w:rsid w:val="00A003BD"/>
    <w:rsid w:val="00A10CCA"/>
    <w:rsid w:val="00A12AF1"/>
    <w:rsid w:val="00A16C7D"/>
    <w:rsid w:val="00A20608"/>
    <w:rsid w:val="00A3234B"/>
    <w:rsid w:val="00A3591A"/>
    <w:rsid w:val="00A404A8"/>
    <w:rsid w:val="00A40AEA"/>
    <w:rsid w:val="00A411CB"/>
    <w:rsid w:val="00A416D8"/>
    <w:rsid w:val="00A53587"/>
    <w:rsid w:val="00A561A4"/>
    <w:rsid w:val="00A5632B"/>
    <w:rsid w:val="00A57A02"/>
    <w:rsid w:val="00A654B6"/>
    <w:rsid w:val="00A726D8"/>
    <w:rsid w:val="00A76F63"/>
    <w:rsid w:val="00A83C71"/>
    <w:rsid w:val="00A86414"/>
    <w:rsid w:val="00A926A4"/>
    <w:rsid w:val="00A94581"/>
    <w:rsid w:val="00AA0452"/>
    <w:rsid w:val="00AA2ADA"/>
    <w:rsid w:val="00AA51B5"/>
    <w:rsid w:val="00AA6810"/>
    <w:rsid w:val="00AA74A4"/>
    <w:rsid w:val="00AB11F5"/>
    <w:rsid w:val="00AB3D44"/>
    <w:rsid w:val="00AB4CC5"/>
    <w:rsid w:val="00AB6467"/>
    <w:rsid w:val="00AC1A50"/>
    <w:rsid w:val="00AC1B50"/>
    <w:rsid w:val="00AC5F81"/>
    <w:rsid w:val="00AD01FF"/>
    <w:rsid w:val="00AD060D"/>
    <w:rsid w:val="00AD3429"/>
    <w:rsid w:val="00AD411D"/>
    <w:rsid w:val="00AD7133"/>
    <w:rsid w:val="00AD7617"/>
    <w:rsid w:val="00AE2CCA"/>
    <w:rsid w:val="00AE4D9B"/>
    <w:rsid w:val="00AE69D1"/>
    <w:rsid w:val="00AF284E"/>
    <w:rsid w:val="00AF3B7F"/>
    <w:rsid w:val="00AF4052"/>
    <w:rsid w:val="00AF5E44"/>
    <w:rsid w:val="00AF6132"/>
    <w:rsid w:val="00AF61F2"/>
    <w:rsid w:val="00AF6FE1"/>
    <w:rsid w:val="00B00409"/>
    <w:rsid w:val="00B04666"/>
    <w:rsid w:val="00B071F1"/>
    <w:rsid w:val="00B10EC2"/>
    <w:rsid w:val="00B129A4"/>
    <w:rsid w:val="00B141CC"/>
    <w:rsid w:val="00B1562B"/>
    <w:rsid w:val="00B15AFC"/>
    <w:rsid w:val="00B262E3"/>
    <w:rsid w:val="00B26858"/>
    <w:rsid w:val="00B41352"/>
    <w:rsid w:val="00B45027"/>
    <w:rsid w:val="00B50415"/>
    <w:rsid w:val="00B52EEE"/>
    <w:rsid w:val="00B60B0D"/>
    <w:rsid w:val="00B771E7"/>
    <w:rsid w:val="00B85C73"/>
    <w:rsid w:val="00B904D3"/>
    <w:rsid w:val="00B91346"/>
    <w:rsid w:val="00B92EC0"/>
    <w:rsid w:val="00B95874"/>
    <w:rsid w:val="00B97199"/>
    <w:rsid w:val="00BA3097"/>
    <w:rsid w:val="00BA37D1"/>
    <w:rsid w:val="00BA46FC"/>
    <w:rsid w:val="00BB228E"/>
    <w:rsid w:val="00BC320E"/>
    <w:rsid w:val="00BD0BB5"/>
    <w:rsid w:val="00BD5F51"/>
    <w:rsid w:val="00BE0040"/>
    <w:rsid w:val="00BE27EF"/>
    <w:rsid w:val="00BE41FD"/>
    <w:rsid w:val="00BF05C1"/>
    <w:rsid w:val="00BF0B1A"/>
    <w:rsid w:val="00BF7F69"/>
    <w:rsid w:val="00C0168E"/>
    <w:rsid w:val="00C01B85"/>
    <w:rsid w:val="00C01BA2"/>
    <w:rsid w:val="00C10983"/>
    <w:rsid w:val="00C110CE"/>
    <w:rsid w:val="00C1288B"/>
    <w:rsid w:val="00C15DE1"/>
    <w:rsid w:val="00C16B44"/>
    <w:rsid w:val="00C2502C"/>
    <w:rsid w:val="00C25652"/>
    <w:rsid w:val="00C2566A"/>
    <w:rsid w:val="00C336A4"/>
    <w:rsid w:val="00C36969"/>
    <w:rsid w:val="00C414EA"/>
    <w:rsid w:val="00C53BF1"/>
    <w:rsid w:val="00C55225"/>
    <w:rsid w:val="00C60ABA"/>
    <w:rsid w:val="00C63615"/>
    <w:rsid w:val="00C71CEA"/>
    <w:rsid w:val="00C80676"/>
    <w:rsid w:val="00C816B1"/>
    <w:rsid w:val="00C84295"/>
    <w:rsid w:val="00C84C46"/>
    <w:rsid w:val="00CA335E"/>
    <w:rsid w:val="00CB01CE"/>
    <w:rsid w:val="00CB4090"/>
    <w:rsid w:val="00CB507B"/>
    <w:rsid w:val="00CB5142"/>
    <w:rsid w:val="00CB63A1"/>
    <w:rsid w:val="00CB6D84"/>
    <w:rsid w:val="00CC611C"/>
    <w:rsid w:val="00CE2C31"/>
    <w:rsid w:val="00CE6604"/>
    <w:rsid w:val="00CF2499"/>
    <w:rsid w:val="00CF5874"/>
    <w:rsid w:val="00CF6021"/>
    <w:rsid w:val="00D108FB"/>
    <w:rsid w:val="00D12888"/>
    <w:rsid w:val="00D21EB0"/>
    <w:rsid w:val="00D2285C"/>
    <w:rsid w:val="00D2798F"/>
    <w:rsid w:val="00D31476"/>
    <w:rsid w:val="00D3276D"/>
    <w:rsid w:val="00D42D44"/>
    <w:rsid w:val="00D4460B"/>
    <w:rsid w:val="00D5254F"/>
    <w:rsid w:val="00D525EB"/>
    <w:rsid w:val="00D6076C"/>
    <w:rsid w:val="00D64471"/>
    <w:rsid w:val="00D67B35"/>
    <w:rsid w:val="00D70942"/>
    <w:rsid w:val="00D712AC"/>
    <w:rsid w:val="00D72808"/>
    <w:rsid w:val="00D75DEC"/>
    <w:rsid w:val="00D769FB"/>
    <w:rsid w:val="00D80DE6"/>
    <w:rsid w:val="00D80EBA"/>
    <w:rsid w:val="00D81DBF"/>
    <w:rsid w:val="00D8383A"/>
    <w:rsid w:val="00D84293"/>
    <w:rsid w:val="00D919E4"/>
    <w:rsid w:val="00D97741"/>
    <w:rsid w:val="00DA0958"/>
    <w:rsid w:val="00DA1B84"/>
    <w:rsid w:val="00DA3CBD"/>
    <w:rsid w:val="00DB0D06"/>
    <w:rsid w:val="00DB4320"/>
    <w:rsid w:val="00DB5C1C"/>
    <w:rsid w:val="00DC1604"/>
    <w:rsid w:val="00DC46A2"/>
    <w:rsid w:val="00DC4A28"/>
    <w:rsid w:val="00DD7C5E"/>
    <w:rsid w:val="00DF2C31"/>
    <w:rsid w:val="00DF3A33"/>
    <w:rsid w:val="00DF3D10"/>
    <w:rsid w:val="00DF3EE4"/>
    <w:rsid w:val="00DF4962"/>
    <w:rsid w:val="00E01487"/>
    <w:rsid w:val="00E01BBE"/>
    <w:rsid w:val="00E02F50"/>
    <w:rsid w:val="00E04519"/>
    <w:rsid w:val="00E15BD0"/>
    <w:rsid w:val="00E1774E"/>
    <w:rsid w:val="00E23DBC"/>
    <w:rsid w:val="00E24242"/>
    <w:rsid w:val="00E243D2"/>
    <w:rsid w:val="00E25E76"/>
    <w:rsid w:val="00E264CB"/>
    <w:rsid w:val="00E3701A"/>
    <w:rsid w:val="00E5150C"/>
    <w:rsid w:val="00E55D0B"/>
    <w:rsid w:val="00E64654"/>
    <w:rsid w:val="00E66CAB"/>
    <w:rsid w:val="00E748B5"/>
    <w:rsid w:val="00E823A8"/>
    <w:rsid w:val="00E82BEE"/>
    <w:rsid w:val="00EA63DC"/>
    <w:rsid w:val="00EB2537"/>
    <w:rsid w:val="00EB62DD"/>
    <w:rsid w:val="00EB79A0"/>
    <w:rsid w:val="00EC07AE"/>
    <w:rsid w:val="00EC0888"/>
    <w:rsid w:val="00EC2E32"/>
    <w:rsid w:val="00EC496A"/>
    <w:rsid w:val="00ED2336"/>
    <w:rsid w:val="00ED2425"/>
    <w:rsid w:val="00EE1188"/>
    <w:rsid w:val="00EE4216"/>
    <w:rsid w:val="00EF6B94"/>
    <w:rsid w:val="00F024DA"/>
    <w:rsid w:val="00F0628B"/>
    <w:rsid w:val="00F10A23"/>
    <w:rsid w:val="00F148F3"/>
    <w:rsid w:val="00F165F2"/>
    <w:rsid w:val="00F2721C"/>
    <w:rsid w:val="00F32F6F"/>
    <w:rsid w:val="00F47603"/>
    <w:rsid w:val="00F51CDA"/>
    <w:rsid w:val="00F542DA"/>
    <w:rsid w:val="00F54B41"/>
    <w:rsid w:val="00F54D92"/>
    <w:rsid w:val="00F608CC"/>
    <w:rsid w:val="00F62A80"/>
    <w:rsid w:val="00F65688"/>
    <w:rsid w:val="00F71AC9"/>
    <w:rsid w:val="00F74355"/>
    <w:rsid w:val="00F74931"/>
    <w:rsid w:val="00F74A27"/>
    <w:rsid w:val="00F74A90"/>
    <w:rsid w:val="00F76E27"/>
    <w:rsid w:val="00F80D93"/>
    <w:rsid w:val="00F84521"/>
    <w:rsid w:val="00F87E3B"/>
    <w:rsid w:val="00F923FB"/>
    <w:rsid w:val="00F93767"/>
    <w:rsid w:val="00F96F6B"/>
    <w:rsid w:val="00FA4D17"/>
    <w:rsid w:val="00FA5127"/>
    <w:rsid w:val="00FA5911"/>
    <w:rsid w:val="00FB0779"/>
    <w:rsid w:val="00FB4E60"/>
    <w:rsid w:val="00FB5843"/>
    <w:rsid w:val="00FC2397"/>
    <w:rsid w:val="00FC5500"/>
    <w:rsid w:val="00FC5F78"/>
    <w:rsid w:val="00FD372E"/>
    <w:rsid w:val="00FD4619"/>
    <w:rsid w:val="00FE46E2"/>
    <w:rsid w:val="00FE51FD"/>
    <w:rsid w:val="00FF51C8"/>
    <w:rsid w:val="00FF7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2C936"/>
  <w15:chartTrackingRefBased/>
  <w15:docId w15:val="{04D9CA8F-8010-4BD3-926D-957E395B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1D08"/>
  </w:style>
  <w:style w:type="paragraph" w:styleId="Nagwek1">
    <w:name w:val="heading 1"/>
    <w:basedOn w:val="Normalny"/>
    <w:next w:val="Normalny"/>
    <w:link w:val="Nagwek1Znak"/>
    <w:uiPriority w:val="9"/>
    <w:qFormat/>
    <w:rsid w:val="008E4F8C"/>
    <w:pPr>
      <w:keepNext/>
      <w:keepLines/>
      <w:numPr>
        <w:numId w:val="19"/>
      </w:numPr>
      <w:spacing w:before="240" w:after="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C2E32"/>
    <w:pPr>
      <w:keepNext/>
      <w:keepLines/>
      <w:numPr>
        <w:ilvl w:val="1"/>
        <w:numId w:val="19"/>
      </w:numPr>
      <w:spacing w:before="40" w:after="240"/>
      <w:ind w:left="14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36003E"/>
    <w:pPr>
      <w:keepNext/>
      <w:keepLines/>
      <w:numPr>
        <w:ilvl w:val="2"/>
        <w:numId w:val="19"/>
      </w:numPr>
      <w:spacing w:before="40" w:after="2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gkelc">
    <w:name w:val="hgkelc"/>
    <w:basedOn w:val="Domylnaczcionkaakapitu"/>
    <w:rsid w:val="003700DC"/>
  </w:style>
  <w:style w:type="paragraph" w:styleId="Akapitzlist">
    <w:name w:val="List Paragraph"/>
    <w:aliases w:val="Numbered List,1st level - Bullet List Paragraph,Lettre d'introduction,Paragrafo elenco,Paragraph,Bullet EY,Bullet point 1,DE_HEADING3,Bullets,Medium Grid 1 - Accent 21,List Paragraph compact,Normal bullet 2,Paragraphe de liste 2,Numbering"/>
    <w:basedOn w:val="Normalny"/>
    <w:link w:val="AkapitzlistZnak"/>
    <w:uiPriority w:val="34"/>
    <w:qFormat/>
    <w:rsid w:val="00EC496A"/>
    <w:pPr>
      <w:ind w:left="720"/>
      <w:contextualSpacing/>
    </w:pPr>
  </w:style>
  <w:style w:type="paragraph" w:styleId="Nagwek">
    <w:name w:val="header"/>
    <w:basedOn w:val="Normalny"/>
    <w:link w:val="NagwekZnak"/>
    <w:uiPriority w:val="99"/>
    <w:unhideWhenUsed/>
    <w:rsid w:val="0025314F"/>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25314F"/>
    <w:rPr>
      <w:kern w:val="0"/>
      <w14:ligatures w14:val="none"/>
    </w:rPr>
  </w:style>
  <w:style w:type="character" w:styleId="Odwoaniedokomentarza">
    <w:name w:val="annotation reference"/>
    <w:basedOn w:val="Domylnaczcionkaakapitu"/>
    <w:uiPriority w:val="99"/>
    <w:semiHidden/>
    <w:unhideWhenUsed/>
    <w:rsid w:val="0025314F"/>
    <w:rPr>
      <w:sz w:val="16"/>
      <w:szCs w:val="16"/>
    </w:rPr>
  </w:style>
  <w:style w:type="paragraph" w:styleId="Tekstkomentarza">
    <w:name w:val="annotation text"/>
    <w:basedOn w:val="Normalny"/>
    <w:link w:val="TekstkomentarzaZnak"/>
    <w:uiPriority w:val="99"/>
    <w:unhideWhenUsed/>
    <w:rsid w:val="0025314F"/>
    <w:pPr>
      <w:spacing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25314F"/>
    <w:rPr>
      <w:kern w:val="0"/>
      <w:sz w:val="20"/>
      <w:szCs w:val="20"/>
      <w14:ligatures w14:val="none"/>
    </w:rPr>
  </w:style>
  <w:style w:type="paragraph" w:customStyle="1" w:styleId="xmsonormal">
    <w:name w:val="x_msonormal"/>
    <w:basedOn w:val="Normalny"/>
    <w:rsid w:val="0033311C"/>
    <w:pPr>
      <w:spacing w:after="0" w:line="240" w:lineRule="auto"/>
    </w:pPr>
    <w:rPr>
      <w:rFonts w:ascii="Calibri" w:hAnsi="Calibri" w:cs="Calibri"/>
      <w:kern w:val="0"/>
      <w:lang w:eastAsia="pl-PL"/>
      <w14:ligatures w14:val="none"/>
    </w:rPr>
  </w:style>
  <w:style w:type="paragraph" w:styleId="Stopka">
    <w:name w:val="footer"/>
    <w:basedOn w:val="Normalny"/>
    <w:link w:val="StopkaZnak"/>
    <w:uiPriority w:val="99"/>
    <w:unhideWhenUsed/>
    <w:rsid w:val="00911E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1E7D"/>
  </w:style>
  <w:style w:type="paragraph" w:styleId="Poprawka">
    <w:name w:val="Revision"/>
    <w:hidden/>
    <w:uiPriority w:val="99"/>
    <w:semiHidden/>
    <w:rsid w:val="003B11B3"/>
    <w:pPr>
      <w:spacing w:after="0" w:line="240" w:lineRule="auto"/>
    </w:pPr>
  </w:style>
  <w:style w:type="paragraph" w:customStyle="1" w:styleId="Default">
    <w:name w:val="Default"/>
    <w:rsid w:val="00A12AF1"/>
    <w:pPr>
      <w:autoSpaceDE w:val="0"/>
      <w:autoSpaceDN w:val="0"/>
      <w:adjustRightInd w:val="0"/>
      <w:spacing w:after="0" w:line="240" w:lineRule="auto"/>
    </w:pPr>
    <w:rPr>
      <w:rFonts w:ascii="Calibri" w:hAnsi="Calibri" w:cs="Calibri"/>
      <w:color w:val="000000"/>
      <w:kern w:val="0"/>
      <w:sz w:val="24"/>
      <w:szCs w:val="24"/>
    </w:rPr>
  </w:style>
  <w:style w:type="paragraph" w:styleId="Tekstdymka">
    <w:name w:val="Balloon Text"/>
    <w:basedOn w:val="Normalny"/>
    <w:link w:val="TekstdymkaZnak"/>
    <w:uiPriority w:val="99"/>
    <w:semiHidden/>
    <w:unhideWhenUsed/>
    <w:rsid w:val="008172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72D0"/>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F76E27"/>
    <w:rPr>
      <w:b/>
      <w:bCs/>
      <w:kern w:val="2"/>
      <w14:ligatures w14:val="standardContextual"/>
    </w:rPr>
  </w:style>
  <w:style w:type="character" w:customStyle="1" w:styleId="TematkomentarzaZnak">
    <w:name w:val="Temat komentarza Znak"/>
    <w:basedOn w:val="TekstkomentarzaZnak"/>
    <w:link w:val="Tematkomentarza"/>
    <w:uiPriority w:val="99"/>
    <w:semiHidden/>
    <w:rsid w:val="00F76E27"/>
    <w:rPr>
      <w:b/>
      <w:bCs/>
      <w:kern w:val="0"/>
      <w:sz w:val="20"/>
      <w:szCs w:val="20"/>
      <w14:ligatures w14:val="none"/>
    </w:rPr>
  </w:style>
  <w:style w:type="table" w:styleId="Tabela-Siatka">
    <w:name w:val="Table Grid"/>
    <w:basedOn w:val="Standardowy"/>
    <w:uiPriority w:val="39"/>
    <w:rsid w:val="00435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36003E"/>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CF2499"/>
    <w:rPr>
      <w:color w:val="0563C1" w:themeColor="hyperlink"/>
      <w:u w:val="single"/>
    </w:rPr>
  </w:style>
  <w:style w:type="character" w:customStyle="1" w:styleId="AkapitzlistZnak">
    <w:name w:val="Akapit z listą Znak"/>
    <w:aliases w:val="Numbered List Znak,1st level - Bullet List Paragraph Znak,Lettre d'introduction Znak,Paragrafo elenco Znak,Paragraph Znak,Bullet EY Znak,Bullet point 1 Znak,DE_HEADING3 Znak,Bullets Znak,Medium Grid 1 - Accent 21 Znak,Numbering Znak"/>
    <w:link w:val="Akapitzlist"/>
    <w:uiPriority w:val="34"/>
    <w:qFormat/>
    <w:locked/>
    <w:rsid w:val="005E750D"/>
  </w:style>
  <w:style w:type="paragraph" w:styleId="Tekstprzypisudolnego">
    <w:name w:val="footnote text"/>
    <w:basedOn w:val="Normalny"/>
    <w:link w:val="TekstprzypisudolnegoZnak"/>
    <w:uiPriority w:val="99"/>
    <w:unhideWhenUsed/>
    <w:rsid w:val="005E750D"/>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rsid w:val="005E750D"/>
    <w:rPr>
      <w:kern w:val="0"/>
      <w:sz w:val="20"/>
      <w:szCs w:val="20"/>
      <w14:ligatures w14:val="none"/>
    </w:rPr>
  </w:style>
  <w:style w:type="paragraph" w:styleId="Tytu">
    <w:name w:val="Title"/>
    <w:basedOn w:val="Normalny"/>
    <w:next w:val="Normalny"/>
    <w:link w:val="TytuZnak"/>
    <w:uiPriority w:val="10"/>
    <w:qFormat/>
    <w:rsid w:val="000C7E10"/>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ytuZnak">
    <w:name w:val="Tytuł Znak"/>
    <w:basedOn w:val="Domylnaczcionkaakapitu"/>
    <w:link w:val="Tytu"/>
    <w:uiPriority w:val="10"/>
    <w:rsid w:val="000C7E10"/>
    <w:rPr>
      <w:rFonts w:asciiTheme="majorHAnsi" w:eastAsiaTheme="majorEastAsia" w:hAnsiTheme="majorHAnsi" w:cstheme="majorBidi"/>
      <w:spacing w:val="-10"/>
      <w:kern w:val="28"/>
      <w:sz w:val="40"/>
      <w:szCs w:val="56"/>
    </w:rPr>
  </w:style>
  <w:style w:type="character" w:customStyle="1" w:styleId="Nagwek1Znak">
    <w:name w:val="Nagłówek 1 Znak"/>
    <w:basedOn w:val="Domylnaczcionkaakapitu"/>
    <w:link w:val="Nagwek1"/>
    <w:uiPriority w:val="9"/>
    <w:rsid w:val="008E4F8C"/>
    <w:rPr>
      <w:rFonts w:asciiTheme="majorHAnsi" w:eastAsiaTheme="majorEastAsia" w:hAnsiTheme="majorHAnsi" w:cstheme="majorBidi"/>
      <w:color w:val="2F5496" w:themeColor="accent1" w:themeShade="BF"/>
      <w:sz w:val="32"/>
      <w:szCs w:val="32"/>
    </w:rPr>
  </w:style>
  <w:style w:type="character" w:styleId="Odwoanieprzypisudolnego">
    <w:name w:val="footnote reference"/>
    <w:basedOn w:val="Domylnaczcionkaakapitu"/>
    <w:uiPriority w:val="99"/>
    <w:semiHidden/>
    <w:unhideWhenUsed/>
    <w:rsid w:val="008E4F8C"/>
    <w:rPr>
      <w:vertAlign w:val="superscript"/>
    </w:rPr>
  </w:style>
  <w:style w:type="paragraph" w:styleId="Nagwekspisutreci">
    <w:name w:val="TOC Heading"/>
    <w:basedOn w:val="Nagwek1"/>
    <w:next w:val="Normalny"/>
    <w:uiPriority w:val="39"/>
    <w:unhideWhenUsed/>
    <w:qFormat/>
    <w:rsid w:val="0036003E"/>
    <w:pPr>
      <w:numPr>
        <w:numId w:val="0"/>
      </w:numPr>
      <w:spacing w:after="0"/>
      <w:outlineLvl w:val="9"/>
    </w:pPr>
    <w:rPr>
      <w:kern w:val="0"/>
      <w:lang w:eastAsia="pl-PL"/>
      <w14:ligatures w14:val="none"/>
    </w:rPr>
  </w:style>
  <w:style w:type="paragraph" w:styleId="Spistreci1">
    <w:name w:val="toc 1"/>
    <w:basedOn w:val="Normalny"/>
    <w:next w:val="Normalny"/>
    <w:autoRedefine/>
    <w:uiPriority w:val="39"/>
    <w:unhideWhenUsed/>
    <w:rsid w:val="0036003E"/>
    <w:pPr>
      <w:spacing w:after="100"/>
    </w:pPr>
  </w:style>
  <w:style w:type="paragraph" w:styleId="Spistreci2">
    <w:name w:val="toc 2"/>
    <w:basedOn w:val="Normalny"/>
    <w:next w:val="Normalny"/>
    <w:autoRedefine/>
    <w:uiPriority w:val="39"/>
    <w:unhideWhenUsed/>
    <w:rsid w:val="00187DF0"/>
    <w:pPr>
      <w:tabs>
        <w:tab w:val="left" w:pos="880"/>
        <w:tab w:val="right" w:leader="dot" w:pos="9062"/>
      </w:tabs>
      <w:spacing w:after="100"/>
      <w:ind w:left="220"/>
    </w:pPr>
  </w:style>
  <w:style w:type="character" w:customStyle="1" w:styleId="Nagwek3Znak">
    <w:name w:val="Nagłówek 3 Znak"/>
    <w:basedOn w:val="Domylnaczcionkaakapitu"/>
    <w:link w:val="Nagwek3"/>
    <w:uiPriority w:val="9"/>
    <w:rsid w:val="0036003E"/>
    <w:rPr>
      <w:rFonts w:asciiTheme="majorHAnsi" w:eastAsiaTheme="majorEastAsia" w:hAnsiTheme="majorHAnsi" w:cstheme="majorBidi"/>
      <w:color w:val="1F3763" w:themeColor="accent1" w:themeShade="7F"/>
      <w:sz w:val="24"/>
      <w:szCs w:val="24"/>
    </w:rPr>
  </w:style>
  <w:style w:type="paragraph" w:styleId="Spistreci3">
    <w:name w:val="toc 3"/>
    <w:basedOn w:val="Normalny"/>
    <w:next w:val="Normalny"/>
    <w:autoRedefine/>
    <w:uiPriority w:val="39"/>
    <w:unhideWhenUsed/>
    <w:rsid w:val="00EE4216"/>
    <w:pPr>
      <w:tabs>
        <w:tab w:val="left" w:pos="1320"/>
        <w:tab w:val="right" w:leader="dot" w:pos="9062"/>
      </w:tabs>
      <w:spacing w:after="100"/>
      <w:ind w:left="440"/>
    </w:pPr>
  </w:style>
  <w:style w:type="paragraph" w:styleId="Podtytu">
    <w:name w:val="Subtitle"/>
    <w:basedOn w:val="Normalny"/>
    <w:next w:val="Normalny"/>
    <w:link w:val="PodtytuZnak"/>
    <w:uiPriority w:val="11"/>
    <w:qFormat/>
    <w:rsid w:val="000C7E10"/>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0C7E10"/>
    <w:rPr>
      <w:rFonts w:eastAsiaTheme="minorEastAsia"/>
      <w:color w:val="5A5A5A" w:themeColor="text1" w:themeTint="A5"/>
      <w:spacing w:val="15"/>
    </w:rPr>
  </w:style>
  <w:style w:type="character" w:customStyle="1" w:styleId="Nierozpoznanawzmianka1">
    <w:name w:val="Nierozpoznana wzmianka1"/>
    <w:basedOn w:val="Domylnaczcionkaakapitu"/>
    <w:uiPriority w:val="99"/>
    <w:semiHidden/>
    <w:unhideWhenUsed/>
    <w:rsid w:val="009B5C78"/>
    <w:rPr>
      <w:color w:val="605E5C"/>
      <w:shd w:val="clear" w:color="auto" w:fill="E1DFDD"/>
    </w:rPr>
  </w:style>
  <w:style w:type="paragraph" w:styleId="NormalnyWeb">
    <w:name w:val="Normal (Web)"/>
    <w:basedOn w:val="Normalny"/>
    <w:uiPriority w:val="99"/>
    <w:semiHidden/>
    <w:unhideWhenUsed/>
    <w:rsid w:val="00CB409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150010"/>
    <w:rPr>
      <w:color w:val="605E5C"/>
      <w:shd w:val="clear" w:color="auto" w:fill="E1DFDD"/>
    </w:rPr>
  </w:style>
  <w:style w:type="character" w:styleId="UyteHipercze">
    <w:name w:val="FollowedHyperlink"/>
    <w:basedOn w:val="Domylnaczcionkaakapitu"/>
    <w:uiPriority w:val="99"/>
    <w:semiHidden/>
    <w:unhideWhenUsed/>
    <w:rsid w:val="001500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985">
      <w:bodyDiv w:val="1"/>
      <w:marLeft w:val="0"/>
      <w:marRight w:val="0"/>
      <w:marTop w:val="0"/>
      <w:marBottom w:val="0"/>
      <w:divBdr>
        <w:top w:val="none" w:sz="0" w:space="0" w:color="auto"/>
        <w:left w:val="none" w:sz="0" w:space="0" w:color="auto"/>
        <w:bottom w:val="none" w:sz="0" w:space="0" w:color="auto"/>
        <w:right w:val="none" w:sz="0" w:space="0" w:color="auto"/>
      </w:divBdr>
    </w:div>
    <w:div w:id="133134950">
      <w:bodyDiv w:val="1"/>
      <w:marLeft w:val="0"/>
      <w:marRight w:val="0"/>
      <w:marTop w:val="0"/>
      <w:marBottom w:val="0"/>
      <w:divBdr>
        <w:top w:val="none" w:sz="0" w:space="0" w:color="auto"/>
        <w:left w:val="none" w:sz="0" w:space="0" w:color="auto"/>
        <w:bottom w:val="none" w:sz="0" w:space="0" w:color="auto"/>
        <w:right w:val="none" w:sz="0" w:space="0" w:color="auto"/>
      </w:divBdr>
    </w:div>
    <w:div w:id="222064221">
      <w:bodyDiv w:val="1"/>
      <w:marLeft w:val="0"/>
      <w:marRight w:val="0"/>
      <w:marTop w:val="0"/>
      <w:marBottom w:val="0"/>
      <w:divBdr>
        <w:top w:val="none" w:sz="0" w:space="0" w:color="auto"/>
        <w:left w:val="none" w:sz="0" w:space="0" w:color="auto"/>
        <w:bottom w:val="none" w:sz="0" w:space="0" w:color="auto"/>
        <w:right w:val="none" w:sz="0" w:space="0" w:color="auto"/>
      </w:divBdr>
    </w:div>
    <w:div w:id="314457668">
      <w:bodyDiv w:val="1"/>
      <w:marLeft w:val="0"/>
      <w:marRight w:val="0"/>
      <w:marTop w:val="0"/>
      <w:marBottom w:val="0"/>
      <w:divBdr>
        <w:top w:val="none" w:sz="0" w:space="0" w:color="auto"/>
        <w:left w:val="none" w:sz="0" w:space="0" w:color="auto"/>
        <w:bottom w:val="none" w:sz="0" w:space="0" w:color="auto"/>
        <w:right w:val="none" w:sz="0" w:space="0" w:color="auto"/>
      </w:divBdr>
    </w:div>
    <w:div w:id="392627119">
      <w:bodyDiv w:val="1"/>
      <w:marLeft w:val="0"/>
      <w:marRight w:val="0"/>
      <w:marTop w:val="0"/>
      <w:marBottom w:val="0"/>
      <w:divBdr>
        <w:top w:val="none" w:sz="0" w:space="0" w:color="auto"/>
        <w:left w:val="none" w:sz="0" w:space="0" w:color="auto"/>
        <w:bottom w:val="none" w:sz="0" w:space="0" w:color="auto"/>
        <w:right w:val="none" w:sz="0" w:space="0" w:color="auto"/>
      </w:divBdr>
    </w:div>
    <w:div w:id="428694926">
      <w:bodyDiv w:val="1"/>
      <w:marLeft w:val="0"/>
      <w:marRight w:val="0"/>
      <w:marTop w:val="0"/>
      <w:marBottom w:val="0"/>
      <w:divBdr>
        <w:top w:val="none" w:sz="0" w:space="0" w:color="auto"/>
        <w:left w:val="none" w:sz="0" w:space="0" w:color="auto"/>
        <w:bottom w:val="none" w:sz="0" w:space="0" w:color="auto"/>
        <w:right w:val="none" w:sz="0" w:space="0" w:color="auto"/>
      </w:divBdr>
    </w:div>
    <w:div w:id="439616316">
      <w:bodyDiv w:val="1"/>
      <w:marLeft w:val="0"/>
      <w:marRight w:val="0"/>
      <w:marTop w:val="0"/>
      <w:marBottom w:val="0"/>
      <w:divBdr>
        <w:top w:val="none" w:sz="0" w:space="0" w:color="auto"/>
        <w:left w:val="none" w:sz="0" w:space="0" w:color="auto"/>
        <w:bottom w:val="none" w:sz="0" w:space="0" w:color="auto"/>
        <w:right w:val="none" w:sz="0" w:space="0" w:color="auto"/>
      </w:divBdr>
    </w:div>
    <w:div w:id="1049766624">
      <w:bodyDiv w:val="1"/>
      <w:marLeft w:val="0"/>
      <w:marRight w:val="0"/>
      <w:marTop w:val="0"/>
      <w:marBottom w:val="0"/>
      <w:divBdr>
        <w:top w:val="none" w:sz="0" w:space="0" w:color="auto"/>
        <w:left w:val="none" w:sz="0" w:space="0" w:color="auto"/>
        <w:bottom w:val="none" w:sz="0" w:space="0" w:color="auto"/>
        <w:right w:val="none" w:sz="0" w:space="0" w:color="auto"/>
      </w:divBdr>
    </w:div>
    <w:div w:id="1230579696">
      <w:bodyDiv w:val="1"/>
      <w:marLeft w:val="0"/>
      <w:marRight w:val="0"/>
      <w:marTop w:val="0"/>
      <w:marBottom w:val="0"/>
      <w:divBdr>
        <w:top w:val="none" w:sz="0" w:space="0" w:color="auto"/>
        <w:left w:val="none" w:sz="0" w:space="0" w:color="auto"/>
        <w:bottom w:val="none" w:sz="0" w:space="0" w:color="auto"/>
        <w:right w:val="none" w:sz="0" w:space="0" w:color="auto"/>
      </w:divBdr>
    </w:div>
    <w:div w:id="1327055147">
      <w:bodyDiv w:val="1"/>
      <w:marLeft w:val="0"/>
      <w:marRight w:val="0"/>
      <w:marTop w:val="0"/>
      <w:marBottom w:val="0"/>
      <w:divBdr>
        <w:top w:val="none" w:sz="0" w:space="0" w:color="auto"/>
        <w:left w:val="none" w:sz="0" w:space="0" w:color="auto"/>
        <w:bottom w:val="none" w:sz="0" w:space="0" w:color="auto"/>
        <w:right w:val="none" w:sz="0" w:space="0" w:color="auto"/>
      </w:divBdr>
    </w:div>
    <w:div w:id="1327397918">
      <w:bodyDiv w:val="1"/>
      <w:marLeft w:val="0"/>
      <w:marRight w:val="0"/>
      <w:marTop w:val="0"/>
      <w:marBottom w:val="0"/>
      <w:divBdr>
        <w:top w:val="none" w:sz="0" w:space="0" w:color="auto"/>
        <w:left w:val="none" w:sz="0" w:space="0" w:color="auto"/>
        <w:bottom w:val="none" w:sz="0" w:space="0" w:color="auto"/>
        <w:right w:val="none" w:sz="0" w:space="0" w:color="auto"/>
      </w:divBdr>
    </w:div>
    <w:div w:id="1450511541">
      <w:bodyDiv w:val="1"/>
      <w:marLeft w:val="0"/>
      <w:marRight w:val="0"/>
      <w:marTop w:val="0"/>
      <w:marBottom w:val="0"/>
      <w:divBdr>
        <w:top w:val="none" w:sz="0" w:space="0" w:color="auto"/>
        <w:left w:val="none" w:sz="0" w:space="0" w:color="auto"/>
        <w:bottom w:val="none" w:sz="0" w:space="0" w:color="auto"/>
        <w:right w:val="none" w:sz="0" w:space="0" w:color="auto"/>
      </w:divBdr>
    </w:div>
    <w:div w:id="1685014915">
      <w:bodyDiv w:val="1"/>
      <w:marLeft w:val="0"/>
      <w:marRight w:val="0"/>
      <w:marTop w:val="0"/>
      <w:marBottom w:val="0"/>
      <w:divBdr>
        <w:top w:val="none" w:sz="0" w:space="0" w:color="auto"/>
        <w:left w:val="none" w:sz="0" w:space="0" w:color="auto"/>
        <w:bottom w:val="none" w:sz="0" w:space="0" w:color="auto"/>
        <w:right w:val="none" w:sz="0" w:space="0" w:color="auto"/>
      </w:divBdr>
    </w:div>
    <w:div w:id="1713530966">
      <w:bodyDiv w:val="1"/>
      <w:marLeft w:val="0"/>
      <w:marRight w:val="0"/>
      <w:marTop w:val="0"/>
      <w:marBottom w:val="0"/>
      <w:divBdr>
        <w:top w:val="none" w:sz="0" w:space="0" w:color="auto"/>
        <w:left w:val="none" w:sz="0" w:space="0" w:color="auto"/>
        <w:bottom w:val="none" w:sz="0" w:space="0" w:color="auto"/>
        <w:right w:val="none" w:sz="0" w:space="0" w:color="auto"/>
      </w:divBdr>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90990497">
      <w:bodyDiv w:val="1"/>
      <w:marLeft w:val="0"/>
      <w:marRight w:val="0"/>
      <w:marTop w:val="0"/>
      <w:marBottom w:val="0"/>
      <w:divBdr>
        <w:top w:val="none" w:sz="0" w:space="0" w:color="auto"/>
        <w:left w:val="none" w:sz="0" w:space="0" w:color="auto"/>
        <w:bottom w:val="none" w:sz="0" w:space="0" w:color="auto"/>
        <w:right w:val="none" w:sz="0" w:space="0" w:color="auto"/>
      </w:divBdr>
    </w:div>
    <w:div w:id="201707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D094-D41F-4EBD-8AC5-BBA9E83D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20</Pages>
  <Words>6912</Words>
  <Characters>41474</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Depczyńska-Wilk Sylwia</dc:creator>
  <cp:keywords/>
  <dc:description/>
  <cp:lastModifiedBy>Jasińska Aleksandra</cp:lastModifiedBy>
  <cp:revision>28</cp:revision>
  <cp:lastPrinted>2025-01-31T14:59:00Z</cp:lastPrinted>
  <dcterms:created xsi:type="dcterms:W3CDTF">2024-12-17T15:59:00Z</dcterms:created>
  <dcterms:modified xsi:type="dcterms:W3CDTF">2025-01-31T14:59:00Z</dcterms:modified>
</cp:coreProperties>
</file>