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shd w:val="clear" w:color="auto" w:fill="auto"/>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shd w:val="clear" w:color="auto" w:fill="auto"/>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shd w:val="clear" w:color="auto" w:fill="auto"/>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shd w:val="clear" w:color="auto" w:fill="auto"/>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shd w:val="clear" w:color="auto" w:fill="auto"/>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shd w:val="clear" w:color="auto" w:fill="auto"/>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shd w:val="clear" w:color="auto" w:fill="auto"/>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shd w:val="clear" w:color="auto" w:fill="auto"/>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w:t>
            </w:r>
            <w:r>
              <w:rPr>
                <w:rFonts w:ascii="Times New Roman" w:eastAsia="Times New Roman" w:hAnsi="Times New Roman" w:cs="Times New Roman"/>
                <w:lang w:eastAsia="pl-PL"/>
              </w:rPr>
              <w:t>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w:t>
            </w:r>
            <w:r w:rsidRPr="00B65691">
              <w:rPr>
                <w:rFonts w:ascii="Times New Roman" w:eastAsia="Times New Roman" w:hAnsi="Times New Roman" w:cs="Times New Roman"/>
                <w:lang w:eastAsia="pl-PL"/>
              </w:rPr>
              <w:t xml:space="preserve">przez żołnierzy </w:t>
            </w:r>
            <w:r w:rsidRPr="00B65691">
              <w:rPr>
                <w:rFonts w:ascii="Times New Roman" w:eastAsia="Times New Roman" w:hAnsi="Times New Roman" w:cs="Times New Roman"/>
                <w:lang w:eastAsia="pl-PL"/>
              </w:rPr>
              <w:t xml:space="preserve">krajowej podroży służbowej </w:t>
            </w:r>
            <w:r w:rsidRPr="00B65691">
              <w:rPr>
                <w:rFonts w:ascii="Times New Roman" w:eastAsia="Times New Roman" w:hAnsi="Times New Roman" w:cs="Times New Roman"/>
                <w:lang w:eastAsia="pl-PL"/>
              </w:rPr>
              <w:t>w celu zabezpieczenia lub pełnienia Dyżurnej Zmiany Bojowej (DZB) w ramach Systemu Obrony Powietrznej Rzeczypospolitej Polskiej</w:t>
            </w:r>
            <w:r w:rsidRPr="00B65691">
              <w:rPr>
                <w:rFonts w:ascii="Times New Roman" w:eastAsia="Times New Roman" w:hAnsi="Times New Roman" w:cs="Times New Roman"/>
                <w:lang w:eastAsia="pl-PL"/>
              </w:rPr>
              <w:t xml:space="preserve"> oraz </w:t>
            </w:r>
            <w:r w:rsidRPr="00B65691">
              <w:rPr>
                <w:rFonts w:ascii="Times New Roman" w:eastAsia="Times New Roman" w:hAnsi="Times New Roman" w:cs="Times New Roman"/>
                <w:lang w:eastAsia="pl-PL"/>
              </w:rPr>
              <w:t xml:space="preserve">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0CDF" w14:textId="77777777" w:rsidR="00C8143E" w:rsidRDefault="00C8143E" w:rsidP="000C3879">
      <w:pPr>
        <w:spacing w:after="0" w:line="240" w:lineRule="auto"/>
      </w:pPr>
      <w:r>
        <w:separator/>
      </w:r>
    </w:p>
  </w:endnote>
  <w:endnote w:type="continuationSeparator" w:id="0">
    <w:p w14:paraId="46305A7C" w14:textId="77777777" w:rsidR="00C8143E" w:rsidRDefault="00C8143E"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5CE" w14:textId="77777777" w:rsidR="00C8143E" w:rsidRDefault="00C8143E" w:rsidP="000C3879">
      <w:pPr>
        <w:spacing w:after="0" w:line="240" w:lineRule="auto"/>
      </w:pPr>
      <w:r>
        <w:separator/>
      </w:r>
    </w:p>
  </w:footnote>
  <w:footnote w:type="continuationSeparator" w:id="0">
    <w:p w14:paraId="7FD2CD7A" w14:textId="77777777" w:rsidR="00C8143E" w:rsidRDefault="00C8143E"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6753D5"/>
    <w:multiLevelType w:val="hybridMultilevel"/>
    <w:tmpl w:val="FC88B87A"/>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9016601">
    <w:abstractNumId w:val="9"/>
  </w:num>
  <w:num w:numId="2" w16cid:durableId="133061314">
    <w:abstractNumId w:val="8"/>
    <w:lvlOverride w:ilvl="0">
      <w:startOverride w:val="1"/>
    </w:lvlOverride>
    <w:lvlOverride w:ilvl="1"/>
    <w:lvlOverride w:ilvl="2"/>
    <w:lvlOverride w:ilvl="3"/>
    <w:lvlOverride w:ilvl="4"/>
    <w:lvlOverride w:ilvl="5"/>
    <w:lvlOverride w:ilvl="6"/>
    <w:lvlOverride w:ilvl="7"/>
    <w:lvlOverride w:ilvl="8"/>
  </w:num>
  <w:num w:numId="3" w16cid:durableId="1773932588">
    <w:abstractNumId w:val="5"/>
  </w:num>
  <w:num w:numId="4" w16cid:durableId="579797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624293">
    <w:abstractNumId w:val="13"/>
  </w:num>
  <w:num w:numId="6" w16cid:durableId="822505458">
    <w:abstractNumId w:val="4"/>
  </w:num>
  <w:num w:numId="7" w16cid:durableId="1510631703">
    <w:abstractNumId w:val="6"/>
  </w:num>
  <w:num w:numId="8" w16cid:durableId="1944220248">
    <w:abstractNumId w:val="0"/>
  </w:num>
  <w:num w:numId="9" w16cid:durableId="128591343">
    <w:abstractNumId w:val="12"/>
  </w:num>
  <w:num w:numId="10" w16cid:durableId="904873318">
    <w:abstractNumId w:val="10"/>
  </w:num>
  <w:num w:numId="11" w16cid:durableId="601302158">
    <w:abstractNumId w:val="8"/>
  </w:num>
  <w:num w:numId="12" w16cid:durableId="710812003">
    <w:abstractNumId w:val="7"/>
  </w:num>
  <w:num w:numId="13" w16cid:durableId="62217609">
    <w:abstractNumId w:val="15"/>
  </w:num>
  <w:num w:numId="14" w16cid:durableId="1557165173">
    <w:abstractNumId w:val="1"/>
  </w:num>
  <w:num w:numId="15" w16cid:durableId="1923951667">
    <w:abstractNumId w:val="2"/>
  </w:num>
  <w:num w:numId="16" w16cid:durableId="471483374">
    <w:abstractNumId w:val="16"/>
  </w:num>
  <w:num w:numId="17" w16cid:durableId="2011788205">
    <w:abstractNumId w:val="14"/>
  </w:num>
  <w:num w:numId="18" w16cid:durableId="152516580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37D26"/>
    <w:rsid w:val="00044054"/>
    <w:rsid w:val="00044A76"/>
    <w:rsid w:val="00051330"/>
    <w:rsid w:val="00051980"/>
    <w:rsid w:val="00052243"/>
    <w:rsid w:val="000547A4"/>
    <w:rsid w:val="0005575B"/>
    <w:rsid w:val="000657E9"/>
    <w:rsid w:val="00070350"/>
    <w:rsid w:val="00070C77"/>
    <w:rsid w:val="000716E9"/>
    <w:rsid w:val="00071DCD"/>
    <w:rsid w:val="0007258E"/>
    <w:rsid w:val="00072E2B"/>
    <w:rsid w:val="00073F16"/>
    <w:rsid w:val="00074503"/>
    <w:rsid w:val="00075DD1"/>
    <w:rsid w:val="00081B4A"/>
    <w:rsid w:val="00082DB2"/>
    <w:rsid w:val="000873D4"/>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40CD8"/>
    <w:rsid w:val="001456DD"/>
    <w:rsid w:val="00146F3E"/>
    <w:rsid w:val="0015066F"/>
    <w:rsid w:val="00157AC7"/>
    <w:rsid w:val="00164B13"/>
    <w:rsid w:val="00171322"/>
    <w:rsid w:val="0017309E"/>
    <w:rsid w:val="00175D59"/>
    <w:rsid w:val="0017692D"/>
    <w:rsid w:val="00192B93"/>
    <w:rsid w:val="00197828"/>
    <w:rsid w:val="001A0034"/>
    <w:rsid w:val="001A1D98"/>
    <w:rsid w:val="001A2D28"/>
    <w:rsid w:val="001A4B49"/>
    <w:rsid w:val="001B1C5C"/>
    <w:rsid w:val="001B1DA5"/>
    <w:rsid w:val="001B32E5"/>
    <w:rsid w:val="001B35DA"/>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53FE"/>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672B"/>
    <w:rsid w:val="00396B35"/>
    <w:rsid w:val="003B08DA"/>
    <w:rsid w:val="003B0B42"/>
    <w:rsid w:val="003B57A7"/>
    <w:rsid w:val="003B7472"/>
    <w:rsid w:val="003D39B3"/>
    <w:rsid w:val="003E13A7"/>
    <w:rsid w:val="003E4027"/>
    <w:rsid w:val="003E770E"/>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E5477"/>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0426"/>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3A8C"/>
    <w:rsid w:val="00656CFC"/>
    <w:rsid w:val="00663815"/>
    <w:rsid w:val="0066474C"/>
    <w:rsid w:val="00666F12"/>
    <w:rsid w:val="006670D1"/>
    <w:rsid w:val="006716B9"/>
    <w:rsid w:val="006722C5"/>
    <w:rsid w:val="006731E7"/>
    <w:rsid w:val="006756A9"/>
    <w:rsid w:val="00680969"/>
    <w:rsid w:val="0068361A"/>
    <w:rsid w:val="006837EE"/>
    <w:rsid w:val="00683868"/>
    <w:rsid w:val="006838FB"/>
    <w:rsid w:val="0068581A"/>
    <w:rsid w:val="00691DFC"/>
    <w:rsid w:val="00691F8D"/>
    <w:rsid w:val="006929E5"/>
    <w:rsid w:val="006975C3"/>
    <w:rsid w:val="006A113E"/>
    <w:rsid w:val="006A20F2"/>
    <w:rsid w:val="006A41F6"/>
    <w:rsid w:val="006B0BB1"/>
    <w:rsid w:val="006B6C76"/>
    <w:rsid w:val="006B7445"/>
    <w:rsid w:val="006C0975"/>
    <w:rsid w:val="006C1809"/>
    <w:rsid w:val="006C4054"/>
    <w:rsid w:val="006C7271"/>
    <w:rsid w:val="006D1BAD"/>
    <w:rsid w:val="006D2E56"/>
    <w:rsid w:val="006D5381"/>
    <w:rsid w:val="006D66A3"/>
    <w:rsid w:val="006D779D"/>
    <w:rsid w:val="006E14D4"/>
    <w:rsid w:val="006E2407"/>
    <w:rsid w:val="006E2B6D"/>
    <w:rsid w:val="006E53F0"/>
    <w:rsid w:val="006F488D"/>
    <w:rsid w:val="006F66B3"/>
    <w:rsid w:val="006F7A42"/>
    <w:rsid w:val="006F7C95"/>
    <w:rsid w:val="00701E37"/>
    <w:rsid w:val="00702723"/>
    <w:rsid w:val="00702913"/>
    <w:rsid w:val="00706DC3"/>
    <w:rsid w:val="00706E65"/>
    <w:rsid w:val="00707EDC"/>
    <w:rsid w:val="00711ECA"/>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7975"/>
    <w:rsid w:val="00A64F3D"/>
    <w:rsid w:val="00A67B09"/>
    <w:rsid w:val="00A703E2"/>
    <w:rsid w:val="00A70A7B"/>
    <w:rsid w:val="00A7611B"/>
    <w:rsid w:val="00A7721D"/>
    <w:rsid w:val="00A87C0E"/>
    <w:rsid w:val="00A903D2"/>
    <w:rsid w:val="00A914B1"/>
    <w:rsid w:val="00A91CBC"/>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60255"/>
    <w:rsid w:val="00B605B6"/>
    <w:rsid w:val="00B646D0"/>
    <w:rsid w:val="00B64E40"/>
    <w:rsid w:val="00B65691"/>
    <w:rsid w:val="00B65B8A"/>
    <w:rsid w:val="00B66C7D"/>
    <w:rsid w:val="00B73B56"/>
    <w:rsid w:val="00B741A3"/>
    <w:rsid w:val="00B804A3"/>
    <w:rsid w:val="00B8155F"/>
    <w:rsid w:val="00B84374"/>
    <w:rsid w:val="00B86F5C"/>
    <w:rsid w:val="00B94DEF"/>
    <w:rsid w:val="00B965CC"/>
    <w:rsid w:val="00B970E0"/>
    <w:rsid w:val="00BA0CC5"/>
    <w:rsid w:val="00BA40BB"/>
    <w:rsid w:val="00BA5B31"/>
    <w:rsid w:val="00BA6799"/>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5BCC"/>
    <w:rsid w:val="00CD03C0"/>
    <w:rsid w:val="00CD069B"/>
    <w:rsid w:val="00CD64C3"/>
    <w:rsid w:val="00CD6F99"/>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15C"/>
    <w:rsid w:val="00DD638D"/>
    <w:rsid w:val="00DE0A4A"/>
    <w:rsid w:val="00DE4BE5"/>
    <w:rsid w:val="00DE4CDC"/>
    <w:rsid w:val="00DF152F"/>
    <w:rsid w:val="00DF5186"/>
    <w:rsid w:val="00DF544A"/>
    <w:rsid w:val="00E05C80"/>
    <w:rsid w:val="00E10012"/>
    <w:rsid w:val="00E12694"/>
    <w:rsid w:val="00E152A1"/>
    <w:rsid w:val="00E20D20"/>
    <w:rsid w:val="00E22BBC"/>
    <w:rsid w:val="00E25660"/>
    <w:rsid w:val="00E27A17"/>
    <w:rsid w:val="00E3121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15F6B"/>
    <w:rsid w:val="00F20918"/>
    <w:rsid w:val="00F22CD5"/>
    <w:rsid w:val="00F252F7"/>
    <w:rsid w:val="00F307A4"/>
    <w:rsid w:val="00F33BA0"/>
    <w:rsid w:val="00F36843"/>
    <w:rsid w:val="00F37D71"/>
    <w:rsid w:val="00F428B4"/>
    <w:rsid w:val="00F42C84"/>
    <w:rsid w:val="00F43CA1"/>
    <w:rsid w:val="00F51CA6"/>
    <w:rsid w:val="00F52084"/>
    <w:rsid w:val="00F528A8"/>
    <w:rsid w:val="00F63AB3"/>
    <w:rsid w:val="00F65023"/>
    <w:rsid w:val="00F664A7"/>
    <w:rsid w:val="00F708EA"/>
    <w:rsid w:val="00F76908"/>
    <w:rsid w:val="00F80ABA"/>
    <w:rsid w:val="00F8179C"/>
    <w:rsid w:val="00F840B9"/>
    <w:rsid w:val="00F86F38"/>
    <w:rsid w:val="00F92B47"/>
    <w:rsid w:val="00F94C0F"/>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A02F2D5D-17AE-4BCA-9842-D5A85422BBF5}">
  <ds:schemaRefs>
    <ds:schemaRef ds:uri="http://schemas.openxmlformats.org/officeDocument/2006/bibliography"/>
  </ds:schemaRefs>
</ds:datastoreItem>
</file>

<file path=customXml/itemProps2.xml><?xml version="1.0" encoding="utf-8"?>
<ds:datastoreItem xmlns:ds="http://schemas.openxmlformats.org/officeDocument/2006/customXml" ds:itemID="{4714C649-2499-4AB1-8C52-4106C6EB15D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7F2CDDA-72CF-4656-9C56-B7B3EF5B6666}">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41</Pages>
  <Words>10926</Words>
  <Characters>72607</Characters>
  <Application>Microsoft Office Word</Application>
  <DocSecurity>0</DocSecurity>
  <Lines>3998</Lines>
  <Paragraphs>909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83040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121</cp:revision>
  <dcterms:created xsi:type="dcterms:W3CDTF">2023-12-22T13:51:00Z</dcterms:created>
  <dcterms:modified xsi:type="dcterms:W3CDTF">2025-06-20T10:01:00Z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