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5BDC" w14:textId="77777777" w:rsidR="001406ED" w:rsidRPr="00704BEE" w:rsidRDefault="00C0669E" w:rsidP="007D03CD">
      <w:pPr>
        <w:jc w:val="center"/>
      </w:pPr>
      <w:r w:rsidRPr="00704BEE">
        <w:t>Opinia</w:t>
      </w:r>
      <w:r w:rsidR="007D03CD">
        <w:t xml:space="preserve"> Komisji Kodyfikacyjnej Prawa Karnego</w:t>
      </w:r>
      <w:r w:rsidRPr="00704BEE">
        <w:t xml:space="preserve"> dotycząca </w:t>
      </w:r>
      <w:r w:rsidR="007D03CD">
        <w:t xml:space="preserve">tzw. </w:t>
      </w:r>
      <w:r w:rsidRPr="00704BEE">
        <w:t>nękania zbiorowego</w:t>
      </w:r>
    </w:p>
    <w:p w14:paraId="64EDB959" w14:textId="77777777" w:rsidR="002921DA" w:rsidRPr="00704BEE" w:rsidRDefault="002921DA"/>
    <w:p w14:paraId="0EEC6E8A" w14:textId="77777777" w:rsidR="00DA34C8" w:rsidRDefault="00704BEE" w:rsidP="003E7C3B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E557B6">
        <w:rPr>
          <w:rFonts w:ascii="Times New Roman" w:hAnsi="Times New Roman"/>
          <w:sz w:val="24"/>
          <w:szCs w:val="24"/>
        </w:rPr>
        <w:t xml:space="preserve">1. </w:t>
      </w:r>
      <w:r w:rsidR="00DA34C8">
        <w:rPr>
          <w:rFonts w:ascii="Times New Roman" w:hAnsi="Times New Roman"/>
          <w:sz w:val="24"/>
          <w:szCs w:val="24"/>
        </w:rPr>
        <w:t>Prezentacja stanowisk Autorów pism.</w:t>
      </w:r>
    </w:p>
    <w:p w14:paraId="1F596A7E" w14:textId="77777777" w:rsidR="00A420D9" w:rsidRDefault="007D03CD" w:rsidP="003E7C3B">
      <w:pPr>
        <w:pStyle w:val="p1"/>
        <w:ind w:firstLine="708"/>
        <w:jc w:val="both"/>
        <w:rPr>
          <w:rStyle w:val="apple-converted-space"/>
          <w:rFonts w:ascii="Times New Roman" w:eastAsiaTheme="majorEastAsia" w:hAnsi="Times New Roman"/>
          <w:sz w:val="24"/>
          <w:szCs w:val="24"/>
        </w:rPr>
      </w:pPr>
      <w:r w:rsidRPr="007D03CD">
        <w:rPr>
          <w:rFonts w:ascii="Times New Roman" w:hAnsi="Times New Roman"/>
          <w:sz w:val="24"/>
          <w:szCs w:val="24"/>
        </w:rPr>
        <w:t xml:space="preserve">W dniu 11 września 2025 r. </w:t>
      </w:r>
      <w:r w:rsidR="00704BEE" w:rsidRPr="007D03CD">
        <w:rPr>
          <w:rFonts w:ascii="Times New Roman" w:hAnsi="Times New Roman"/>
          <w:sz w:val="24"/>
          <w:szCs w:val="24"/>
        </w:rPr>
        <w:t>R</w:t>
      </w:r>
      <w:r w:rsidR="00A420D9">
        <w:rPr>
          <w:rFonts w:ascii="Times New Roman" w:hAnsi="Times New Roman"/>
          <w:sz w:val="24"/>
          <w:szCs w:val="24"/>
        </w:rPr>
        <w:t xml:space="preserve">zecznik </w:t>
      </w:r>
      <w:r w:rsidR="00704BEE" w:rsidRPr="007D03CD">
        <w:rPr>
          <w:rFonts w:ascii="Times New Roman" w:hAnsi="Times New Roman"/>
          <w:sz w:val="24"/>
          <w:szCs w:val="24"/>
        </w:rPr>
        <w:t>P</w:t>
      </w:r>
      <w:r w:rsidR="00A420D9">
        <w:rPr>
          <w:rFonts w:ascii="Times New Roman" w:hAnsi="Times New Roman"/>
          <w:sz w:val="24"/>
          <w:szCs w:val="24"/>
        </w:rPr>
        <w:t xml:space="preserve">raw </w:t>
      </w:r>
      <w:r w:rsidR="00704BEE" w:rsidRPr="007D03CD">
        <w:rPr>
          <w:rFonts w:ascii="Times New Roman" w:hAnsi="Times New Roman"/>
          <w:sz w:val="24"/>
          <w:szCs w:val="24"/>
        </w:rPr>
        <w:t>O</w:t>
      </w:r>
      <w:r w:rsidR="00A420D9">
        <w:rPr>
          <w:rFonts w:ascii="Times New Roman" w:hAnsi="Times New Roman"/>
          <w:sz w:val="24"/>
          <w:szCs w:val="24"/>
        </w:rPr>
        <w:t>bywatelskich</w:t>
      </w:r>
      <w:r w:rsidRPr="007D03CD">
        <w:rPr>
          <w:rFonts w:ascii="Times New Roman" w:hAnsi="Times New Roman"/>
          <w:sz w:val="24"/>
          <w:szCs w:val="24"/>
        </w:rPr>
        <w:t xml:space="preserve"> skierował</w:t>
      </w:r>
      <w:r w:rsidR="00704BEE" w:rsidRPr="007D03CD">
        <w:rPr>
          <w:rFonts w:ascii="Times New Roman" w:hAnsi="Times New Roman"/>
          <w:sz w:val="24"/>
          <w:szCs w:val="24"/>
        </w:rPr>
        <w:t xml:space="preserve"> do Ministra Sprawiedliwości</w:t>
      </w:r>
      <w:r w:rsidRPr="007D03CD">
        <w:rPr>
          <w:rFonts w:ascii="Times New Roman" w:hAnsi="Times New Roman"/>
          <w:sz w:val="24"/>
          <w:szCs w:val="24"/>
        </w:rPr>
        <w:t xml:space="preserve"> pismo</w:t>
      </w:r>
      <w:r w:rsidR="00704BEE" w:rsidRPr="007D03CD">
        <w:rPr>
          <w:rFonts w:ascii="Times New Roman" w:hAnsi="Times New Roman"/>
          <w:sz w:val="24"/>
          <w:szCs w:val="24"/>
        </w:rPr>
        <w:t xml:space="preserve"> w sprawie tzw. nękania zbiorowego (</w:t>
      </w:r>
      <w:r w:rsidR="00704BEE" w:rsidRPr="007D03CD">
        <w:rPr>
          <w:rFonts w:ascii="Times New Roman" w:hAnsi="Times New Roman"/>
          <w:i/>
          <w:iCs/>
          <w:sz w:val="24"/>
          <w:szCs w:val="24"/>
        </w:rPr>
        <w:t xml:space="preserve">gang stalking, </w:t>
      </w:r>
      <w:proofErr w:type="spellStart"/>
      <w:r w:rsidR="00704BEE" w:rsidRPr="007D03CD">
        <w:rPr>
          <w:rFonts w:ascii="Times New Roman" w:hAnsi="Times New Roman"/>
          <w:i/>
          <w:iCs/>
          <w:sz w:val="24"/>
          <w:szCs w:val="24"/>
        </w:rPr>
        <w:t>group</w:t>
      </w:r>
      <w:proofErr w:type="spellEnd"/>
      <w:r w:rsidR="00704BEE" w:rsidRPr="007D03CD">
        <w:rPr>
          <w:rFonts w:ascii="Times New Roman" w:hAnsi="Times New Roman"/>
          <w:i/>
          <w:iCs/>
          <w:sz w:val="24"/>
          <w:szCs w:val="24"/>
        </w:rPr>
        <w:t>-stalking</w:t>
      </w:r>
      <w:r w:rsidR="00704BEE" w:rsidRPr="007D03CD">
        <w:rPr>
          <w:rFonts w:ascii="Times New Roman" w:hAnsi="Times New Roman"/>
          <w:sz w:val="24"/>
          <w:szCs w:val="24"/>
        </w:rPr>
        <w:t>), w szczególności w przestrzeni cyfrowej i mediach społecznościowych.</w:t>
      </w:r>
      <w:r w:rsidR="00E557B6" w:rsidRPr="007D03CD">
        <w:rPr>
          <w:rFonts w:ascii="Times New Roman" w:hAnsi="Times New Roman"/>
          <w:sz w:val="24"/>
          <w:szCs w:val="24"/>
        </w:rPr>
        <w:t xml:space="preserve"> </w:t>
      </w:r>
      <w:r w:rsidRPr="007D03CD">
        <w:rPr>
          <w:rFonts w:ascii="Times New Roman" w:hAnsi="Times New Roman"/>
          <w:sz w:val="24"/>
          <w:szCs w:val="24"/>
        </w:rPr>
        <w:t>Rzecznik zauważył, że o</w:t>
      </w:r>
      <w:r w:rsidR="00E557B6" w:rsidRPr="007D03CD">
        <w:rPr>
          <w:rFonts w:ascii="Times New Roman" w:hAnsi="Times New Roman"/>
          <w:sz w:val="24"/>
          <w:szCs w:val="24"/>
        </w:rPr>
        <w:t xml:space="preserve">soby, które piszą obraźliwe komentarze, wysyłają obraźliwe wiadomości w </w:t>
      </w:r>
      <w:proofErr w:type="spellStart"/>
      <w:r w:rsidR="00E557B6" w:rsidRPr="007D03CD">
        <w:rPr>
          <w:rFonts w:ascii="Times New Roman" w:hAnsi="Times New Roman"/>
          <w:i/>
          <w:iCs/>
          <w:sz w:val="24"/>
          <w:szCs w:val="24"/>
        </w:rPr>
        <w:t>social</w:t>
      </w:r>
      <w:proofErr w:type="spellEnd"/>
      <w:r w:rsidR="00E557B6" w:rsidRPr="007D03CD">
        <w:rPr>
          <w:rFonts w:ascii="Times New Roman" w:hAnsi="Times New Roman"/>
          <w:i/>
          <w:iCs/>
          <w:sz w:val="24"/>
          <w:szCs w:val="24"/>
        </w:rPr>
        <w:t xml:space="preserve"> mediach</w:t>
      </w:r>
      <w:r w:rsidR="00E557B6" w:rsidRPr="007D03CD">
        <w:rPr>
          <w:rFonts w:ascii="Times New Roman" w:hAnsi="Times New Roman"/>
          <w:sz w:val="24"/>
          <w:szCs w:val="24"/>
        </w:rPr>
        <w:t xml:space="preserve"> lub za pośrednictwem poczty elektronicznej nie pozostają ze sobą w „zmowie”, czy jakimkolwiek porozumieniu. Mają jednak świadomość, że uczestniczą w swoistej formie internetowego linczu, a ich zachowanie – w powiązaniu z zachowaniami innych uczestniczących osób – wywołuje skutek w postaci poczucia zagrożenia, poniżenia, a także w istotny sposób ingeruje w prywatność jednostki</w:t>
      </w:r>
      <w:r w:rsidR="00E557B6" w:rsidRPr="007D03CD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Pr="007D03CD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704BEE" w:rsidRPr="007D03CD">
        <w:rPr>
          <w:rFonts w:ascii="Times New Roman" w:hAnsi="Times New Roman"/>
          <w:sz w:val="24"/>
          <w:szCs w:val="24"/>
        </w:rPr>
        <w:t xml:space="preserve">Jako przykład wskazano </w:t>
      </w:r>
      <w:r w:rsidR="00A420D9">
        <w:rPr>
          <w:rFonts w:ascii="Times New Roman" w:hAnsi="Times New Roman"/>
          <w:sz w:val="24"/>
          <w:szCs w:val="24"/>
        </w:rPr>
        <w:t>„</w:t>
      </w:r>
      <w:r w:rsidR="00704BEE" w:rsidRPr="007D03CD">
        <w:rPr>
          <w:rFonts w:ascii="Times New Roman" w:hAnsi="Times New Roman"/>
          <w:sz w:val="24"/>
          <w:szCs w:val="24"/>
        </w:rPr>
        <w:t>sprawę hejtu na córkę Prezydenta RP Karola Nawrockiego, jakiego 7 letnia dziewczynka doświadczyła po wieczorze wyborczym 1 czerwca 2025 r.</w:t>
      </w:r>
      <w:r w:rsidR="00A420D9">
        <w:rPr>
          <w:rFonts w:ascii="Times New Roman" w:hAnsi="Times New Roman"/>
          <w:sz w:val="24"/>
          <w:szCs w:val="24"/>
        </w:rPr>
        <w:t>”</w:t>
      </w:r>
      <w:r w:rsidR="00704BEE" w:rsidRPr="007D03CD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704BEE" w:rsidRPr="007D03CD">
        <w:rPr>
          <w:rFonts w:ascii="Times New Roman" w:hAnsi="Times New Roman"/>
          <w:sz w:val="24"/>
          <w:szCs w:val="24"/>
        </w:rPr>
        <w:t>.</w:t>
      </w:r>
      <w:r w:rsidR="00CF1805">
        <w:rPr>
          <w:rFonts w:ascii="Times New Roman" w:hAnsi="Times New Roman"/>
          <w:sz w:val="24"/>
          <w:szCs w:val="24"/>
        </w:rPr>
        <w:t xml:space="preserve"> </w:t>
      </w:r>
      <w:r w:rsidR="00A420D9">
        <w:rPr>
          <w:rFonts w:ascii="Times New Roman" w:hAnsi="Times New Roman"/>
          <w:sz w:val="24"/>
          <w:szCs w:val="24"/>
        </w:rPr>
        <w:t>Rzecznik</w:t>
      </w:r>
      <w:r w:rsidR="00CF1805">
        <w:rPr>
          <w:rFonts w:ascii="Times New Roman" w:hAnsi="Times New Roman"/>
          <w:sz w:val="24"/>
          <w:szCs w:val="24"/>
        </w:rPr>
        <w:t xml:space="preserve">, przywołując publikacje naukowe, wskazał także, że </w:t>
      </w:r>
      <w:r w:rsidR="00E557B6" w:rsidRPr="007D03CD">
        <w:rPr>
          <w:rFonts w:ascii="Times New Roman" w:hAnsi="Times New Roman"/>
          <w:sz w:val="24"/>
          <w:szCs w:val="24"/>
        </w:rPr>
        <w:t>„</w:t>
      </w:r>
      <w:r w:rsidR="00CF1805">
        <w:rPr>
          <w:rFonts w:ascii="Times New Roman" w:hAnsi="Times New Roman"/>
          <w:sz w:val="24"/>
          <w:szCs w:val="24"/>
        </w:rPr>
        <w:t>s</w:t>
      </w:r>
      <w:r w:rsidR="00E557B6" w:rsidRPr="007D03CD">
        <w:rPr>
          <w:rFonts w:ascii="Times New Roman" w:hAnsi="Times New Roman"/>
          <w:sz w:val="24"/>
          <w:szCs w:val="24"/>
        </w:rPr>
        <w:t>talking zbiorowy (albo grupowy) można zdefiniować jako uporczywe nękanie realizowane przez co najmniej 3 osoby działające w sposób skoordynowany, ale bez wyraźnego lidera. Sprawcy stalkingu grupowego</w:t>
      </w:r>
      <w:r w:rsidR="00E557B6" w:rsidRPr="00E557B6">
        <w:rPr>
          <w:rFonts w:ascii="Times New Roman" w:hAnsi="Times New Roman"/>
          <w:sz w:val="24"/>
          <w:szCs w:val="24"/>
        </w:rPr>
        <w:t xml:space="preserve"> (zbiorowego) mogą działać w porozumieniu (wówczas możliwe jest przyjęcie koncepcji współsprawstwa</w:t>
      </w:r>
      <w:r w:rsidR="00E557B6">
        <w:rPr>
          <w:rFonts w:ascii="Times New Roman" w:hAnsi="Times New Roman"/>
          <w:sz w:val="24"/>
          <w:szCs w:val="24"/>
        </w:rPr>
        <w:t>…</w:t>
      </w:r>
      <w:r w:rsidR="00E557B6" w:rsidRPr="00E557B6">
        <w:rPr>
          <w:rFonts w:ascii="Times New Roman" w:hAnsi="Times New Roman"/>
          <w:sz w:val="24"/>
          <w:szCs w:val="24"/>
        </w:rPr>
        <w:t>), ale także niezależnie od siebie, mając jednak świadomość, że inne osoby także podejmują działania ingerujące w prywatność innej osoby, wzbudzają poczucie zagrożenia, poniżenia lub udręczenia</w:t>
      </w:r>
      <w:r w:rsidR="00E557B6">
        <w:rPr>
          <w:rFonts w:ascii="Times New Roman" w:hAnsi="Times New Roman"/>
          <w:sz w:val="24"/>
          <w:szCs w:val="24"/>
        </w:rPr>
        <w:t>”</w:t>
      </w:r>
      <w:r w:rsidR="00E557B6" w:rsidRPr="00E557B6">
        <w:rPr>
          <w:rFonts w:ascii="Times New Roman" w:hAnsi="Times New Roman"/>
          <w:sz w:val="24"/>
          <w:szCs w:val="24"/>
        </w:rPr>
        <w:t>.</w:t>
      </w:r>
      <w:r w:rsidR="00CF1805">
        <w:rPr>
          <w:rFonts w:ascii="Times New Roman" w:hAnsi="Times New Roman"/>
          <w:sz w:val="24"/>
          <w:szCs w:val="24"/>
        </w:rPr>
        <w:t xml:space="preserve"> Słusznie przy tym RPO zauważył, że pojedyncze zachowanie jednej osoby nie może być uznane za (klasyczny) stalking, wobec znamienia uporczywości przewidzianego w treści przepisu art. 190 a § 1</w:t>
      </w:r>
      <w:r w:rsidR="00A420D9">
        <w:rPr>
          <w:rFonts w:ascii="Times New Roman" w:hAnsi="Times New Roman"/>
          <w:sz w:val="24"/>
          <w:szCs w:val="24"/>
        </w:rPr>
        <w:t xml:space="preserve"> k.k</w:t>
      </w:r>
      <w:r w:rsidR="00CF1805">
        <w:rPr>
          <w:rFonts w:ascii="Times New Roman" w:hAnsi="Times New Roman"/>
          <w:sz w:val="24"/>
          <w:szCs w:val="24"/>
        </w:rPr>
        <w:t xml:space="preserve">. </w:t>
      </w:r>
      <w:r w:rsidR="00A420D9">
        <w:rPr>
          <w:rFonts w:ascii="Times New Roman" w:hAnsi="Times New Roman"/>
          <w:sz w:val="24"/>
          <w:szCs w:val="24"/>
        </w:rPr>
        <w:t>Równocześnie – z</w:t>
      </w:r>
      <w:r w:rsidR="00CF1805">
        <w:rPr>
          <w:rFonts w:ascii="Times New Roman" w:hAnsi="Times New Roman"/>
          <w:sz w:val="24"/>
          <w:szCs w:val="24"/>
        </w:rPr>
        <w:t xml:space="preserve">daniem RPO </w:t>
      </w:r>
      <w:r w:rsidR="00A420D9">
        <w:rPr>
          <w:rFonts w:ascii="Times New Roman" w:hAnsi="Times New Roman"/>
          <w:sz w:val="24"/>
          <w:szCs w:val="24"/>
        </w:rPr>
        <w:t xml:space="preserve">– </w:t>
      </w:r>
      <w:r w:rsidR="00CF1805">
        <w:rPr>
          <w:rFonts w:ascii="Times New Roman" w:hAnsi="Times New Roman"/>
          <w:sz w:val="24"/>
          <w:szCs w:val="24"/>
        </w:rPr>
        <w:t>typizacje z art. 212, art. 216 czy art. 190</w:t>
      </w:r>
      <w:r w:rsidR="00A420D9">
        <w:rPr>
          <w:rFonts w:ascii="Times New Roman" w:hAnsi="Times New Roman"/>
          <w:sz w:val="24"/>
          <w:szCs w:val="24"/>
        </w:rPr>
        <w:t xml:space="preserve"> k.k.</w:t>
      </w:r>
      <w:r w:rsidR="00CF1805">
        <w:rPr>
          <w:rFonts w:ascii="Times New Roman" w:hAnsi="Times New Roman"/>
          <w:sz w:val="24"/>
          <w:szCs w:val="24"/>
        </w:rPr>
        <w:t xml:space="preserve"> „</w:t>
      </w:r>
      <w:r w:rsidR="00CF1805" w:rsidRPr="00CF1805">
        <w:rPr>
          <w:rFonts w:ascii="Times New Roman" w:hAnsi="Times New Roman"/>
          <w:sz w:val="24"/>
          <w:szCs w:val="24"/>
        </w:rPr>
        <w:t>nie oddaj</w:t>
      </w:r>
      <w:r w:rsidR="00CF1805">
        <w:rPr>
          <w:rFonts w:ascii="Times New Roman" w:hAnsi="Times New Roman"/>
          <w:sz w:val="24"/>
          <w:szCs w:val="24"/>
        </w:rPr>
        <w:t>ą</w:t>
      </w:r>
      <w:r w:rsidR="00CF1805" w:rsidRPr="00CF1805">
        <w:rPr>
          <w:rFonts w:ascii="Times New Roman" w:hAnsi="Times New Roman"/>
          <w:sz w:val="24"/>
          <w:szCs w:val="24"/>
        </w:rPr>
        <w:t xml:space="preserve"> w pełni zawartości kryminalnej zachowania</w:t>
      </w:r>
      <w:r w:rsidR="00CF1805">
        <w:rPr>
          <w:rFonts w:ascii="Times New Roman" w:hAnsi="Times New Roman"/>
          <w:sz w:val="24"/>
          <w:szCs w:val="24"/>
        </w:rPr>
        <w:t xml:space="preserve"> </w:t>
      </w:r>
      <w:r w:rsidR="00CF1805" w:rsidRPr="00CF1805">
        <w:rPr>
          <w:rFonts w:ascii="Times New Roman" w:hAnsi="Times New Roman"/>
          <w:sz w:val="24"/>
          <w:szCs w:val="24"/>
        </w:rPr>
        <w:t>sprawców</w:t>
      </w:r>
      <w:r w:rsidR="00CF1805">
        <w:rPr>
          <w:rFonts w:ascii="Times New Roman" w:hAnsi="Times New Roman"/>
          <w:sz w:val="24"/>
          <w:szCs w:val="24"/>
        </w:rPr>
        <w:t xml:space="preserve">”. </w:t>
      </w:r>
      <w:r w:rsidR="00E557B6" w:rsidRPr="00E557B6">
        <w:rPr>
          <w:rStyle w:val="apple-converted-space"/>
          <w:rFonts w:ascii="Times New Roman" w:eastAsiaTheme="majorEastAsia" w:hAnsi="Times New Roman"/>
          <w:sz w:val="24"/>
          <w:szCs w:val="24"/>
        </w:rPr>
        <w:t> </w:t>
      </w:r>
    </w:p>
    <w:p w14:paraId="44572CC1" w14:textId="77777777" w:rsidR="00A420D9" w:rsidRDefault="00CF1805" w:rsidP="003E7C3B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eastAsiaTheme="majorEastAsia" w:hAnsi="Times New Roman"/>
          <w:sz w:val="24"/>
          <w:szCs w:val="24"/>
        </w:rPr>
        <w:t xml:space="preserve">Co istotne, </w:t>
      </w:r>
      <w:r w:rsidR="00E557B6">
        <w:rPr>
          <w:rFonts w:ascii="Times New Roman" w:hAnsi="Times New Roman"/>
          <w:sz w:val="24"/>
          <w:szCs w:val="24"/>
        </w:rPr>
        <w:t>RPO podkreśl</w:t>
      </w:r>
      <w:r>
        <w:rPr>
          <w:rFonts w:ascii="Times New Roman" w:hAnsi="Times New Roman"/>
          <w:sz w:val="24"/>
          <w:szCs w:val="24"/>
        </w:rPr>
        <w:t>ił</w:t>
      </w:r>
      <w:r w:rsidR="00E557B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</w:t>
      </w:r>
      <w:r w:rsidR="00E557B6">
        <w:rPr>
          <w:rFonts w:ascii="Times New Roman" w:hAnsi="Times New Roman"/>
          <w:sz w:val="24"/>
          <w:szCs w:val="24"/>
        </w:rPr>
        <w:t>ż p</w:t>
      </w:r>
      <w:r w:rsidR="00E557B6" w:rsidRPr="00E557B6">
        <w:rPr>
          <w:rFonts w:ascii="Times New Roman" w:hAnsi="Times New Roman"/>
          <w:sz w:val="24"/>
          <w:szCs w:val="24"/>
        </w:rPr>
        <w:t>rzepis art. 7</w:t>
      </w:r>
      <w:r>
        <w:rPr>
          <w:rFonts w:ascii="Times New Roman" w:hAnsi="Times New Roman"/>
          <w:sz w:val="24"/>
          <w:szCs w:val="24"/>
        </w:rPr>
        <w:t xml:space="preserve"> pkt b</w:t>
      </w:r>
      <w:r w:rsidR="00E557B6" w:rsidRPr="00E557B6">
        <w:rPr>
          <w:rFonts w:ascii="Times New Roman" w:hAnsi="Times New Roman"/>
          <w:sz w:val="24"/>
          <w:szCs w:val="24"/>
        </w:rPr>
        <w:t xml:space="preserve"> dyrektywy 2024/1385 zobowiązuje państwa członkowskie do tego, by podlegał karze jako przestępstwo</w:t>
      </w:r>
      <w:r>
        <w:rPr>
          <w:rFonts w:ascii="Times New Roman" w:hAnsi="Times New Roman"/>
          <w:sz w:val="24"/>
          <w:szCs w:val="24"/>
        </w:rPr>
        <w:t xml:space="preserve"> m.in. </w:t>
      </w:r>
      <w:r w:rsidRPr="00E557B6">
        <w:rPr>
          <w:rFonts w:ascii="Times New Roman" w:hAnsi="Times New Roman"/>
          <w:sz w:val="24"/>
          <w:szCs w:val="24"/>
        </w:rPr>
        <w:t>czyn umyśln</w:t>
      </w:r>
      <w:r>
        <w:rPr>
          <w:rFonts w:ascii="Times New Roman" w:hAnsi="Times New Roman"/>
          <w:sz w:val="24"/>
          <w:szCs w:val="24"/>
        </w:rPr>
        <w:t xml:space="preserve">y w postaci </w:t>
      </w:r>
      <w:r w:rsidR="00E557B6" w:rsidRPr="00CF1805">
        <w:rPr>
          <w:rFonts w:ascii="Times New Roman" w:hAnsi="Times New Roman"/>
          <w:sz w:val="24"/>
          <w:szCs w:val="24"/>
        </w:rPr>
        <w:t>kierowani</w:t>
      </w:r>
      <w:r w:rsidRPr="00CF1805">
        <w:rPr>
          <w:rFonts w:ascii="Times New Roman" w:hAnsi="Times New Roman"/>
          <w:sz w:val="24"/>
          <w:szCs w:val="24"/>
        </w:rPr>
        <w:t>a</w:t>
      </w:r>
      <w:r w:rsidR="00E557B6" w:rsidRPr="00CF1805">
        <w:rPr>
          <w:rFonts w:ascii="Times New Roman" w:hAnsi="Times New Roman"/>
          <w:sz w:val="24"/>
          <w:szCs w:val="24"/>
        </w:rPr>
        <w:t>, wraz z innymi osobami, za pomocą ICT, w publicznie dostępny sposób, gróźb lub zniewag wobec osoby, gdy takie czyny mogą wyrządzić tej osobie poważną szkodę psychiczną</w:t>
      </w:r>
      <w:r>
        <w:rPr>
          <w:rFonts w:ascii="Times New Roman" w:hAnsi="Times New Roman"/>
          <w:sz w:val="24"/>
          <w:szCs w:val="24"/>
        </w:rPr>
        <w:t>. Natomiast p</w:t>
      </w:r>
      <w:r w:rsidR="00E557B6" w:rsidRPr="00E557B6">
        <w:rPr>
          <w:rFonts w:ascii="Times New Roman" w:hAnsi="Times New Roman"/>
          <w:sz w:val="24"/>
          <w:szCs w:val="24"/>
        </w:rPr>
        <w:t>rzepis art. 10 ust. 4 dyrektywy 2024/1385 wprowadza obowiązek zagwarantowania w państwie członkowskim Unii Europejskiej sankcji karnej, której maksymalny wymiar wynosi – za zachowanie opisane w pkt b – co najmniej rok pozbawienia wolności.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5CBECE" w14:textId="77777777" w:rsidR="00E557B6" w:rsidRDefault="00CF1805" w:rsidP="003E7C3B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konsekwencji, RPO sformułował p</w:t>
      </w:r>
      <w:r w:rsidR="00301876">
        <w:rPr>
          <w:rFonts w:ascii="Times New Roman" w:hAnsi="Times New Roman"/>
          <w:sz w:val="24"/>
          <w:szCs w:val="24"/>
        </w:rPr>
        <w:t>ropozycj</w:t>
      </w:r>
      <w:r>
        <w:rPr>
          <w:rFonts w:ascii="Times New Roman" w:hAnsi="Times New Roman"/>
          <w:sz w:val="24"/>
          <w:szCs w:val="24"/>
        </w:rPr>
        <w:t>ę</w:t>
      </w:r>
      <w:r w:rsidR="00301876">
        <w:rPr>
          <w:rFonts w:ascii="Times New Roman" w:hAnsi="Times New Roman"/>
          <w:sz w:val="24"/>
          <w:szCs w:val="24"/>
        </w:rPr>
        <w:t xml:space="preserve"> nowelizacji art. 190a</w:t>
      </w:r>
      <w:r>
        <w:rPr>
          <w:rFonts w:ascii="Times New Roman" w:hAnsi="Times New Roman"/>
          <w:sz w:val="24"/>
          <w:szCs w:val="24"/>
        </w:rPr>
        <w:t>, poprzez dodanie §1a o treści:</w:t>
      </w:r>
    </w:p>
    <w:p w14:paraId="0410C4C0" w14:textId="77777777" w:rsidR="00301876" w:rsidRPr="00CF1805" w:rsidRDefault="00E557B6" w:rsidP="00CF1805">
      <w:pPr>
        <w:pStyle w:val="p1"/>
        <w:ind w:left="1416" w:right="73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805">
        <w:rPr>
          <w:rFonts w:ascii="Times New Roman" w:hAnsi="Times New Roman"/>
          <w:b/>
          <w:bCs/>
          <w:i/>
          <w:iCs/>
          <w:sz w:val="24"/>
          <w:szCs w:val="24"/>
        </w:rPr>
        <w:t>Tej samej karze podlega, kto bierze czynny udział w uporczywym nękaniu innej osoby lub osoby dla niej najbliższej wiedząc, że jego uczestnicy wspólnymi siłami wzbudzają u niej uzasadnione okolicznościami poczucie zagrożenia, poniżenia lub udręczenia lub istotnie naruszają jej prywatność.</w:t>
      </w:r>
    </w:p>
    <w:p w14:paraId="12589A0C" w14:textId="77777777" w:rsidR="00E557B6" w:rsidRPr="00301876" w:rsidRDefault="00E557B6" w:rsidP="003E7C3B">
      <w:pPr>
        <w:pStyle w:val="p1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uzasadnieniu RPO przywoł</w:t>
      </w:r>
      <w:r w:rsidR="00CF1805">
        <w:rPr>
          <w:rFonts w:ascii="Times New Roman" w:hAnsi="Times New Roman"/>
          <w:sz w:val="24"/>
          <w:szCs w:val="24"/>
        </w:rPr>
        <w:t>ał</w:t>
      </w:r>
      <w:r>
        <w:rPr>
          <w:rFonts w:ascii="Times New Roman" w:hAnsi="Times New Roman"/>
          <w:sz w:val="24"/>
          <w:szCs w:val="24"/>
        </w:rPr>
        <w:t xml:space="preserve"> regulację z art. 254 k.k., w której </w:t>
      </w:r>
      <w:r w:rsidR="00A420D9">
        <w:rPr>
          <w:rFonts w:ascii="Times New Roman" w:hAnsi="Times New Roman"/>
          <w:sz w:val="24"/>
          <w:szCs w:val="24"/>
        </w:rPr>
        <w:t xml:space="preserve">także </w:t>
      </w:r>
      <w:r>
        <w:rPr>
          <w:rFonts w:ascii="Times New Roman" w:hAnsi="Times New Roman"/>
          <w:sz w:val="24"/>
          <w:szCs w:val="24"/>
        </w:rPr>
        <w:t>wykorzystano konstrukcj</w:t>
      </w:r>
      <w:r w:rsidR="00CF1805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współsprawstwa koniecznego</w:t>
      </w:r>
      <w:r w:rsidR="00CF1805">
        <w:rPr>
          <w:rFonts w:ascii="Times New Roman" w:hAnsi="Times New Roman"/>
          <w:sz w:val="24"/>
          <w:szCs w:val="24"/>
        </w:rPr>
        <w:t>, a która „</w:t>
      </w:r>
      <w:r w:rsidR="00CF1805" w:rsidRPr="00CF1805">
        <w:rPr>
          <w:rFonts w:ascii="Times New Roman" w:hAnsi="Times New Roman"/>
          <w:sz w:val="24"/>
          <w:szCs w:val="24"/>
        </w:rPr>
        <w:t>wyłącza konieczność ustalenia porozumienia pomiędzy</w:t>
      </w:r>
      <w:r w:rsidR="00CF1805">
        <w:rPr>
          <w:rFonts w:ascii="Times New Roman" w:hAnsi="Times New Roman"/>
          <w:sz w:val="24"/>
          <w:szCs w:val="24"/>
        </w:rPr>
        <w:t xml:space="preserve"> </w:t>
      </w:r>
      <w:r w:rsidR="00CF1805" w:rsidRPr="00CF1805">
        <w:rPr>
          <w:rFonts w:ascii="Times New Roman" w:hAnsi="Times New Roman"/>
          <w:sz w:val="24"/>
          <w:szCs w:val="24"/>
        </w:rPr>
        <w:t>współsprawcami</w:t>
      </w:r>
      <w:r w:rsidR="00CF1805">
        <w:rPr>
          <w:rFonts w:ascii="Times New Roman" w:hAnsi="Times New Roman"/>
          <w:sz w:val="24"/>
          <w:szCs w:val="24"/>
        </w:rPr>
        <w:t xml:space="preserve">”. </w:t>
      </w:r>
      <w:r w:rsidR="00A420D9">
        <w:rPr>
          <w:rFonts w:ascii="Times New Roman" w:hAnsi="Times New Roman"/>
          <w:sz w:val="24"/>
          <w:szCs w:val="24"/>
        </w:rPr>
        <w:t>Rzecznik</w:t>
      </w:r>
      <w:r w:rsidR="00CF1805">
        <w:rPr>
          <w:rFonts w:ascii="Times New Roman" w:hAnsi="Times New Roman"/>
          <w:sz w:val="24"/>
          <w:szCs w:val="24"/>
        </w:rPr>
        <w:t xml:space="preserve"> wskazał, że </w:t>
      </w:r>
      <w:r w:rsidR="003E7C3B">
        <w:rPr>
          <w:rFonts w:ascii="Times New Roman" w:hAnsi="Times New Roman"/>
          <w:sz w:val="24"/>
          <w:szCs w:val="24"/>
        </w:rPr>
        <w:t>„</w:t>
      </w:r>
      <w:r w:rsidR="00CF1805" w:rsidRPr="00CF1805">
        <w:rPr>
          <w:rFonts w:ascii="Times New Roman" w:hAnsi="Times New Roman"/>
          <w:sz w:val="24"/>
          <w:szCs w:val="24"/>
        </w:rPr>
        <w:t>celowe byłoby</w:t>
      </w:r>
      <w:r w:rsidR="00CF1805">
        <w:rPr>
          <w:rFonts w:ascii="Times New Roman" w:hAnsi="Times New Roman"/>
          <w:sz w:val="24"/>
          <w:szCs w:val="24"/>
        </w:rPr>
        <w:t xml:space="preserve"> </w:t>
      </w:r>
      <w:r w:rsidR="00CF1805" w:rsidRPr="00CF1805">
        <w:rPr>
          <w:rFonts w:ascii="Times New Roman" w:hAnsi="Times New Roman"/>
          <w:sz w:val="24"/>
          <w:szCs w:val="24"/>
        </w:rPr>
        <w:t>rozszerzenie penalizacji stalkingu o stalking zbiorowy – obejmujący działania co</w:t>
      </w:r>
      <w:r w:rsidR="00CF1805">
        <w:rPr>
          <w:rFonts w:ascii="Times New Roman" w:hAnsi="Times New Roman"/>
          <w:sz w:val="24"/>
          <w:szCs w:val="24"/>
        </w:rPr>
        <w:t xml:space="preserve"> </w:t>
      </w:r>
      <w:r w:rsidR="00CF1805" w:rsidRPr="00CF1805">
        <w:rPr>
          <w:rFonts w:ascii="Times New Roman" w:hAnsi="Times New Roman"/>
          <w:sz w:val="24"/>
          <w:szCs w:val="24"/>
        </w:rPr>
        <w:t>najmniej trzech osób działających wspólnie i w porozumieniu albo w sposób</w:t>
      </w:r>
      <w:r w:rsidR="00CF1805">
        <w:rPr>
          <w:rFonts w:ascii="Times New Roman" w:hAnsi="Times New Roman"/>
          <w:sz w:val="24"/>
          <w:szCs w:val="24"/>
        </w:rPr>
        <w:t xml:space="preserve"> </w:t>
      </w:r>
      <w:r w:rsidR="00CF1805" w:rsidRPr="00CF1805">
        <w:rPr>
          <w:rFonts w:ascii="Times New Roman" w:hAnsi="Times New Roman"/>
          <w:sz w:val="24"/>
          <w:szCs w:val="24"/>
        </w:rPr>
        <w:t>rozproszony (bez porozumienia), tj., kiedy sprawca działa ze świadomością</w:t>
      </w:r>
      <w:r w:rsidR="00CF1805">
        <w:rPr>
          <w:rFonts w:ascii="Times New Roman" w:hAnsi="Times New Roman"/>
          <w:sz w:val="24"/>
          <w:szCs w:val="24"/>
        </w:rPr>
        <w:t xml:space="preserve"> </w:t>
      </w:r>
      <w:r w:rsidR="00CF1805" w:rsidRPr="00CF1805">
        <w:rPr>
          <w:rFonts w:ascii="Times New Roman" w:hAnsi="Times New Roman"/>
          <w:sz w:val="24"/>
          <w:szCs w:val="24"/>
        </w:rPr>
        <w:t>uczestniczenia w szerszej aktywności, której skutkiem jest uporczywe – ze względu na</w:t>
      </w:r>
      <w:r w:rsidR="00CF1805">
        <w:rPr>
          <w:rFonts w:ascii="Times New Roman" w:hAnsi="Times New Roman"/>
          <w:sz w:val="24"/>
          <w:szCs w:val="24"/>
        </w:rPr>
        <w:t xml:space="preserve"> </w:t>
      </w:r>
      <w:r w:rsidR="00CF1805" w:rsidRPr="00CF1805">
        <w:rPr>
          <w:rFonts w:ascii="Times New Roman" w:hAnsi="Times New Roman"/>
          <w:sz w:val="24"/>
          <w:szCs w:val="24"/>
        </w:rPr>
        <w:t>intensywność – nękanie innej osoby</w:t>
      </w:r>
      <w:r w:rsidR="003E7C3B">
        <w:rPr>
          <w:rFonts w:ascii="Times New Roman" w:hAnsi="Times New Roman"/>
          <w:sz w:val="24"/>
          <w:szCs w:val="24"/>
        </w:rPr>
        <w:t>”</w:t>
      </w:r>
      <w:r w:rsidR="00CF1805" w:rsidRPr="00CF1805">
        <w:rPr>
          <w:rFonts w:ascii="Times New Roman" w:hAnsi="Times New Roman"/>
          <w:sz w:val="24"/>
          <w:szCs w:val="24"/>
        </w:rPr>
        <w:t>.</w:t>
      </w:r>
      <w:r w:rsidR="003E7C3B">
        <w:rPr>
          <w:rFonts w:ascii="Times New Roman" w:hAnsi="Times New Roman"/>
          <w:sz w:val="24"/>
          <w:szCs w:val="24"/>
        </w:rPr>
        <w:t xml:space="preserve"> I byłaby to ochrona </w:t>
      </w:r>
      <w:proofErr w:type="gramStart"/>
      <w:r w:rsidR="003E7C3B">
        <w:rPr>
          <w:rFonts w:ascii="Times New Roman" w:hAnsi="Times New Roman"/>
          <w:sz w:val="24"/>
          <w:szCs w:val="24"/>
        </w:rPr>
        <w:lastRenderedPageBreak/>
        <w:t>szersza,</w:t>
      </w:r>
      <w:proofErr w:type="gramEnd"/>
      <w:r w:rsidR="003E7C3B">
        <w:rPr>
          <w:rFonts w:ascii="Times New Roman" w:hAnsi="Times New Roman"/>
          <w:sz w:val="24"/>
          <w:szCs w:val="24"/>
        </w:rPr>
        <w:t xml:space="preserve"> niż wymagana we wspomnianej Dyrektywie (chociaż bez typu kwalifikowanego w przypadku pokrzywdzenia dziecka).</w:t>
      </w:r>
    </w:p>
    <w:p w14:paraId="6C1A7CD9" w14:textId="77777777" w:rsidR="00704BEE" w:rsidRPr="003E7C3B" w:rsidRDefault="003E7C3B" w:rsidP="003E7C3B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Komisji Kodyfikacyjnej Prawa Karnego przesłano także pismo </w:t>
      </w:r>
      <w:r w:rsidR="00704BEE" w:rsidRPr="003E7C3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kręgowej </w:t>
      </w:r>
      <w:r w:rsidR="00704BEE" w:rsidRPr="003E7C3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zby </w:t>
      </w:r>
      <w:r w:rsidR="00704BEE" w:rsidRPr="003E7C3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ekarskiej</w:t>
      </w:r>
      <w:r w:rsidR="00704BEE" w:rsidRPr="003E7C3B">
        <w:rPr>
          <w:rFonts w:ascii="Times New Roman" w:hAnsi="Times New Roman"/>
          <w:sz w:val="24"/>
          <w:szCs w:val="24"/>
        </w:rPr>
        <w:t xml:space="preserve"> z Warszawie</w:t>
      </w:r>
      <w:r>
        <w:rPr>
          <w:rFonts w:ascii="Times New Roman" w:hAnsi="Times New Roman"/>
          <w:sz w:val="24"/>
          <w:szCs w:val="24"/>
        </w:rPr>
        <w:t xml:space="preserve"> z dnia 22 października 2025 r.,</w:t>
      </w:r>
      <w:r w:rsidR="00704BEE" w:rsidRPr="003E7C3B">
        <w:rPr>
          <w:rFonts w:ascii="Times New Roman" w:hAnsi="Times New Roman"/>
          <w:sz w:val="24"/>
          <w:szCs w:val="24"/>
        </w:rPr>
        <w:t xml:space="preserve"> popierające stanowisko RPO </w:t>
      </w:r>
      <w:r>
        <w:rPr>
          <w:rFonts w:ascii="Times New Roman" w:hAnsi="Times New Roman"/>
          <w:sz w:val="24"/>
          <w:szCs w:val="24"/>
        </w:rPr>
        <w:t>w kwestii</w:t>
      </w:r>
      <w:r w:rsidR="00704BEE" w:rsidRPr="003E7C3B">
        <w:rPr>
          <w:rFonts w:ascii="Times New Roman" w:hAnsi="Times New Roman"/>
          <w:sz w:val="24"/>
          <w:szCs w:val="24"/>
        </w:rPr>
        <w:t xml:space="preserve"> potrzeby rozszerzenia kryminalizacji stalkingu o tzw. stalking rozszerzony (</w:t>
      </w:r>
      <w:proofErr w:type="spellStart"/>
      <w:r w:rsidR="00704BEE" w:rsidRPr="003E7C3B">
        <w:rPr>
          <w:rFonts w:ascii="Times New Roman" w:hAnsi="Times New Roman"/>
          <w:i/>
          <w:iCs/>
          <w:sz w:val="24"/>
          <w:szCs w:val="24"/>
        </w:rPr>
        <w:t>crowdstalking</w:t>
      </w:r>
      <w:proofErr w:type="spellEnd"/>
      <w:r w:rsidR="00704BEE" w:rsidRPr="003E7C3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OIL</w:t>
      </w:r>
      <w:r w:rsidR="00E557B6" w:rsidRPr="003E7C3B">
        <w:rPr>
          <w:rFonts w:ascii="Times New Roman" w:hAnsi="Times New Roman"/>
          <w:sz w:val="24"/>
          <w:szCs w:val="24"/>
        </w:rPr>
        <w:t xml:space="preserve"> zwr</w:t>
      </w:r>
      <w:r>
        <w:rPr>
          <w:rFonts w:ascii="Times New Roman" w:hAnsi="Times New Roman"/>
          <w:sz w:val="24"/>
          <w:szCs w:val="24"/>
        </w:rPr>
        <w:t>óciła</w:t>
      </w:r>
      <w:r w:rsidR="00E557B6" w:rsidRPr="003E7C3B">
        <w:rPr>
          <w:rFonts w:ascii="Times New Roman" w:hAnsi="Times New Roman"/>
          <w:sz w:val="24"/>
          <w:szCs w:val="24"/>
        </w:rPr>
        <w:t xml:space="preserve"> uwagę na</w:t>
      </w:r>
      <w:r w:rsidR="00B73227" w:rsidRPr="003E7C3B">
        <w:rPr>
          <w:rFonts w:ascii="Times New Roman" w:hAnsi="Times New Roman"/>
          <w:sz w:val="24"/>
          <w:szCs w:val="24"/>
        </w:rPr>
        <w:t xml:space="preserve"> konieczność zapewnienia </w:t>
      </w:r>
      <w:r w:rsidR="00E557B6" w:rsidRPr="003E7C3B">
        <w:rPr>
          <w:rFonts w:ascii="Times New Roman" w:hAnsi="Times New Roman"/>
          <w:sz w:val="24"/>
          <w:szCs w:val="24"/>
        </w:rPr>
        <w:t>skuteczn</w:t>
      </w:r>
      <w:r w:rsidR="00B73227" w:rsidRPr="003E7C3B">
        <w:rPr>
          <w:rFonts w:ascii="Times New Roman" w:hAnsi="Times New Roman"/>
          <w:sz w:val="24"/>
          <w:szCs w:val="24"/>
        </w:rPr>
        <w:t>ej</w:t>
      </w:r>
      <w:r w:rsidR="00E557B6" w:rsidRPr="003E7C3B">
        <w:rPr>
          <w:rFonts w:ascii="Times New Roman" w:hAnsi="Times New Roman"/>
          <w:sz w:val="24"/>
          <w:szCs w:val="24"/>
        </w:rPr>
        <w:t xml:space="preserve"> wykonalność przepisu</w:t>
      </w:r>
      <w:r>
        <w:rPr>
          <w:rFonts w:ascii="Times New Roman" w:hAnsi="Times New Roman"/>
          <w:sz w:val="24"/>
          <w:szCs w:val="24"/>
        </w:rPr>
        <w:t>, wskazując, iż</w:t>
      </w:r>
      <w:r w:rsidR="00E557B6" w:rsidRPr="003E7C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E557B6" w:rsidRPr="003E7C3B">
        <w:rPr>
          <w:rFonts w:ascii="Times New Roman" w:hAnsi="Times New Roman"/>
          <w:sz w:val="24"/>
          <w:szCs w:val="24"/>
        </w:rPr>
        <w:t xml:space="preserve">becnie </w:t>
      </w:r>
      <w:r w:rsidR="00B73227" w:rsidRPr="003E7C3B">
        <w:rPr>
          <w:rFonts w:ascii="Times New Roman" w:hAnsi="Times New Roman"/>
          <w:sz w:val="24"/>
          <w:szCs w:val="24"/>
        </w:rPr>
        <w:t>wiele postepowań jest umarzanych ze względu na</w:t>
      </w:r>
      <w:r w:rsidR="00E557B6" w:rsidRPr="003E7C3B">
        <w:rPr>
          <w:rFonts w:ascii="Times New Roman" w:hAnsi="Times New Roman"/>
          <w:sz w:val="24"/>
          <w:szCs w:val="24"/>
        </w:rPr>
        <w:t xml:space="preserve"> anonimowość </w:t>
      </w:r>
      <w:proofErr w:type="spellStart"/>
      <w:r w:rsidR="00E557B6" w:rsidRPr="003E7C3B">
        <w:rPr>
          <w:rFonts w:ascii="Times New Roman" w:hAnsi="Times New Roman"/>
          <w:sz w:val="24"/>
          <w:szCs w:val="24"/>
        </w:rPr>
        <w:t>hejterów</w:t>
      </w:r>
      <w:proofErr w:type="spellEnd"/>
      <w:r w:rsidR="00B73227" w:rsidRPr="003E7C3B">
        <w:rPr>
          <w:rFonts w:ascii="Times New Roman" w:hAnsi="Times New Roman"/>
          <w:sz w:val="24"/>
          <w:szCs w:val="24"/>
        </w:rPr>
        <w:t xml:space="preserve"> i brak możliwości ustalenia ich personaliów</w:t>
      </w:r>
      <w:r w:rsidR="00E557B6" w:rsidRPr="003E7C3B">
        <w:rPr>
          <w:rFonts w:ascii="Times New Roman" w:hAnsi="Times New Roman"/>
          <w:sz w:val="24"/>
          <w:szCs w:val="24"/>
        </w:rPr>
        <w:t>.</w:t>
      </w:r>
    </w:p>
    <w:p w14:paraId="4F347D67" w14:textId="77777777" w:rsidR="00B73227" w:rsidRDefault="00B73227"/>
    <w:p w14:paraId="2BBBB9E7" w14:textId="77777777" w:rsidR="00DA34C8" w:rsidRPr="003E7C3B" w:rsidRDefault="00DA34C8">
      <w:r>
        <w:t>2. Stanowisko Komisji</w:t>
      </w:r>
    </w:p>
    <w:p w14:paraId="5BD79275" w14:textId="77777777" w:rsidR="00B73227" w:rsidRDefault="00DA34C8" w:rsidP="00DA34C8">
      <w:pPr>
        <w:ind w:firstLine="360"/>
      </w:pPr>
      <w:r>
        <w:t xml:space="preserve">Komisja Kodyfikacyjna podziela zaniepokojenie wyrażone zarówno przez RPO, jak i OIL w </w:t>
      </w:r>
      <w:r w:rsidR="00A420D9">
        <w:t>W</w:t>
      </w:r>
      <w:r>
        <w:t xml:space="preserve">arszawie. </w:t>
      </w:r>
      <w:r w:rsidR="00A535F5">
        <w:t>Zaproponowana nowelizacja</w:t>
      </w:r>
      <w:r>
        <w:t xml:space="preserve"> przepisu kodeksu karnego</w:t>
      </w:r>
      <w:r w:rsidR="00A535F5">
        <w:t xml:space="preserve"> budzi</w:t>
      </w:r>
      <w:r>
        <w:t xml:space="preserve"> jednak</w:t>
      </w:r>
      <w:r w:rsidR="00A535F5">
        <w:t xml:space="preserve"> wiele wątpliwości</w:t>
      </w:r>
      <w:r>
        <w:t>.</w:t>
      </w:r>
    </w:p>
    <w:p w14:paraId="781A6D8A" w14:textId="77777777" w:rsidR="00A535F5" w:rsidRDefault="00DA34C8" w:rsidP="00DA34C8">
      <w:pPr>
        <w:ind w:firstLine="360"/>
      </w:pPr>
      <w:r>
        <w:t>Przede wszystkim należy mieć świadomość, że proponowany przepis oznacza w</w:t>
      </w:r>
      <w:r w:rsidR="00A535F5">
        <w:t xml:space="preserve">prowadzenie karalności za </w:t>
      </w:r>
      <w:r w:rsidR="00A535F5" w:rsidRPr="00DA34C8">
        <w:t>jeden akt</w:t>
      </w:r>
      <w:r w:rsidR="00A535F5">
        <w:t xml:space="preserve"> o charakterze nękającym</w:t>
      </w:r>
      <w:r>
        <w:t>, który zagrożony miałby być karą pozbawienia wolności od 6 miesięcy do lat 8. Wydaje się, że jest to istotne naruszenie zasady proporcjonalności.</w:t>
      </w:r>
    </w:p>
    <w:p w14:paraId="28E93B93" w14:textId="77777777" w:rsidR="00DA34C8" w:rsidRDefault="00DA34C8" w:rsidP="00A420D9">
      <w:pPr>
        <w:ind w:firstLine="360"/>
      </w:pPr>
      <w:r>
        <w:t>Pewne zastrzeżenia budzą także ustawowe znamiona zaproponowanej typizacji. Zwrócić należy uwagę, że p</w:t>
      </w:r>
      <w:r w:rsidR="00A535F5">
        <w:t xml:space="preserve">ojęcie </w:t>
      </w:r>
      <w:r w:rsidR="00A535F5" w:rsidRPr="00A535F5">
        <w:rPr>
          <w:b/>
          <w:bCs/>
        </w:rPr>
        <w:t>„czynnego udziału”</w:t>
      </w:r>
      <w:r w:rsidR="00A535F5">
        <w:t xml:space="preserve"> w uporczywym nękaniu prowadzonym przez inną osobę/osoby w praktyce może oznaczać </w:t>
      </w:r>
      <w:proofErr w:type="spellStart"/>
      <w:r w:rsidR="00A535F5">
        <w:t>polajkowanie</w:t>
      </w:r>
      <w:proofErr w:type="spellEnd"/>
      <w:r w:rsidR="00A535F5">
        <w:t xml:space="preserve"> czyjegoś </w:t>
      </w:r>
      <w:r>
        <w:t xml:space="preserve">negatywnego, obraźliwego czy nienawistnego </w:t>
      </w:r>
      <w:r w:rsidR="00A535F5">
        <w:t>postu lub wyrażanie poparcia przez emotikonkę</w:t>
      </w:r>
      <w:r>
        <w:t>. Wymieniona wśród znamion w</w:t>
      </w:r>
      <w:r w:rsidR="00A535F5">
        <w:t>iedza sprawcy „</w:t>
      </w:r>
      <w:r w:rsidR="00A535F5" w:rsidRPr="00E557B6">
        <w:rPr>
          <w:b/>
          <w:bCs/>
        </w:rPr>
        <w:t>że jego uczestnicy wspólnymi siłami wzbudzają u niej uzasadnione okolicznościami poczucie zagrożenia, poniżenia lub udręczenia lub istotnie naruszają jej prywatność</w:t>
      </w:r>
      <w:r w:rsidR="00A535F5">
        <w:rPr>
          <w:b/>
          <w:bCs/>
        </w:rPr>
        <w:t xml:space="preserve">” </w:t>
      </w:r>
      <w:r w:rsidR="00A535F5">
        <w:t>musi oznacza</w:t>
      </w:r>
      <w:r>
        <w:t>ć</w:t>
      </w:r>
      <w:r w:rsidR="00A535F5">
        <w:t xml:space="preserve">, że przed napisaniem własnego (nawet </w:t>
      </w:r>
      <w:proofErr w:type="spellStart"/>
      <w:r w:rsidR="00A535F5">
        <w:t>hejterskiego</w:t>
      </w:r>
      <w:proofErr w:type="spellEnd"/>
      <w:r w:rsidR="00A535F5">
        <w:t>) komentarza sprawca musi zapoznać się z komentarzami innych osób</w:t>
      </w:r>
      <w:r w:rsidR="00BC088A">
        <w:t>, co powinno być wykazane</w:t>
      </w:r>
      <w:r w:rsidR="00A535F5">
        <w:t xml:space="preserve"> (</w:t>
      </w:r>
      <w:r w:rsidR="00BC088A">
        <w:t xml:space="preserve">co może być tym trudniejsze, że </w:t>
      </w:r>
      <w:r w:rsidR="00A535F5">
        <w:t>nie na wszystkich platformach społecznościowych jest to możliwe – np. FB wyświetla komentarze „najtrafniejsze”).</w:t>
      </w:r>
      <w:r w:rsidR="00E618C3">
        <w:t xml:space="preserve"> Rozumiejąc intencję Projektodawcy nowego przepisu, podnieść należy, że </w:t>
      </w:r>
      <w:r w:rsidR="00E618C3" w:rsidRPr="00E618C3">
        <w:rPr>
          <w:b/>
          <w:bCs/>
        </w:rPr>
        <w:t>u</w:t>
      </w:r>
      <w:r w:rsidR="00A535F5" w:rsidRPr="00301876">
        <w:rPr>
          <w:b/>
          <w:bCs/>
        </w:rPr>
        <w:t>porczywość</w:t>
      </w:r>
      <w:r w:rsidR="00A535F5">
        <w:t xml:space="preserve"> w przypadku sprawstwa pojedynczego dookreśla pewne cech podmiotowe, co pozwala na kryminalizowanie tych sytuacji, gdy pokrzywdzony manifestuje swój brak zgody; stąd za uporczywe nękanie uznać można zachowania, które </w:t>
      </w:r>
      <w:r w:rsidR="00A535F5">
        <w:rPr>
          <w:i/>
          <w:iCs/>
        </w:rPr>
        <w:t>prima facie</w:t>
      </w:r>
      <w:r w:rsidR="00A535F5">
        <w:t xml:space="preserve"> wydają się obojętne lub nawet pozytywne (np. codzienne przesyłanie kwiatów, codzienne </w:t>
      </w:r>
      <w:proofErr w:type="spellStart"/>
      <w:r w:rsidR="00A535F5">
        <w:t>sms’y</w:t>
      </w:r>
      <w:proofErr w:type="spellEnd"/>
      <w:r w:rsidR="00A535F5">
        <w:t xml:space="preserve"> itp.). „Przeniesienie” uporczywości jako opis całościowego zachowania wie</w:t>
      </w:r>
      <w:r w:rsidR="00301876">
        <w:t>lu</w:t>
      </w:r>
      <w:r w:rsidR="00A535F5">
        <w:t xml:space="preserve"> osób rodzi niebezpieczeństwo</w:t>
      </w:r>
      <w:r w:rsidR="00301876">
        <w:t xml:space="preserve"> prawidłowego</w:t>
      </w:r>
      <w:r w:rsidR="00A535F5">
        <w:t xml:space="preserve"> ustalenia granicy między zachowaniami nękającymi i nienękającymi. Każda wypowiedziana dezaprobata, krytyka, negatywny emotikon, a może także udostępnienie dalej </w:t>
      </w:r>
      <w:proofErr w:type="spellStart"/>
      <w:r w:rsidR="00A535F5" w:rsidRPr="00A535F5">
        <w:rPr>
          <w:i/>
          <w:iCs/>
        </w:rPr>
        <w:t>posta</w:t>
      </w:r>
      <w:proofErr w:type="spellEnd"/>
      <w:r w:rsidR="00A535F5">
        <w:t xml:space="preserve"> będzie mogło być uznan</w:t>
      </w:r>
      <w:r w:rsidR="00301876">
        <w:t>e</w:t>
      </w:r>
      <w:r w:rsidR="00A535F5">
        <w:t xml:space="preserve"> za udział w nękaniu.</w:t>
      </w:r>
      <w:r w:rsidR="00A420D9">
        <w:t xml:space="preserve"> Ponadto nie można tracić z pola widzenia, że t</w:t>
      </w:r>
      <w:r w:rsidR="00A535F5">
        <w:t>ermin „</w:t>
      </w:r>
      <w:r w:rsidR="00A535F5" w:rsidRPr="00301876">
        <w:rPr>
          <w:b/>
          <w:bCs/>
        </w:rPr>
        <w:t>uczestnicy wspólnymi siłami</w:t>
      </w:r>
      <w:r w:rsidR="00A535F5">
        <w:t>” już na tle art. 254 k.k. budzi wątpliwości np. co do podziału ról/zadań</w:t>
      </w:r>
      <w:r w:rsidR="00A535F5">
        <w:rPr>
          <w:rStyle w:val="Odwoanieprzypisudolnego"/>
        </w:rPr>
        <w:footnoteReference w:id="2"/>
      </w:r>
      <w:r w:rsidR="00A420D9">
        <w:t xml:space="preserve">, a </w:t>
      </w:r>
      <w:r>
        <w:t>przepisowi z art. 254</w:t>
      </w:r>
      <w:r w:rsidR="00A420D9">
        <w:t xml:space="preserve"> k.k.</w:t>
      </w:r>
      <w:r>
        <w:t xml:space="preserve"> zarzuca się czasami, iż ma policyjny charakter, ponieważ ma ułatwiać karanie uczestników zbiegowiska na uproszczonych zasadach</w:t>
      </w:r>
      <w:r>
        <w:rPr>
          <w:rStyle w:val="Odwoanieprzypisudolnego"/>
        </w:rPr>
        <w:footnoteReference w:id="3"/>
      </w:r>
      <w:r w:rsidR="00A420D9">
        <w:t>.</w:t>
      </w:r>
    </w:p>
    <w:p w14:paraId="169F345F" w14:textId="77777777" w:rsidR="00A535F5" w:rsidRDefault="00A420D9" w:rsidP="00A420D9">
      <w:pPr>
        <w:ind w:firstLine="360"/>
      </w:pPr>
      <w:r>
        <w:t xml:space="preserve">W opinii Komisji zabrakło także głębszego uzasadnienia (poza powołaniem się na prawo zapewnienia wyższego poziomu ochrony), popartego badaniami kryminologicznymi, poszerzenia </w:t>
      </w:r>
      <w:r w:rsidR="00A535F5">
        <w:t>zakres</w:t>
      </w:r>
      <w:r>
        <w:t>u</w:t>
      </w:r>
      <w:r w:rsidR="00A535F5">
        <w:t xml:space="preserve"> kryminalizacji</w:t>
      </w:r>
      <w:r>
        <w:t xml:space="preserve"> w porównaniu do art. 7 pkt b </w:t>
      </w:r>
      <w:r w:rsidRPr="00E557B6">
        <w:t>dyrektyw</w:t>
      </w:r>
      <w:r>
        <w:t>ie</w:t>
      </w:r>
      <w:r w:rsidRPr="00E557B6">
        <w:t xml:space="preserve"> 2024/1385</w:t>
      </w:r>
      <w:r>
        <w:t xml:space="preserve">, </w:t>
      </w:r>
      <w:r w:rsidR="00A535F5">
        <w:t>w któr</w:t>
      </w:r>
      <w:r>
        <w:t>ym</w:t>
      </w:r>
      <w:r w:rsidR="00A535F5">
        <w:t xml:space="preserve"> jest mowa o</w:t>
      </w:r>
      <w:r>
        <w:t xml:space="preserve"> kierowaniu gróźb lub zniewag przy zastosowaniu ICT.</w:t>
      </w:r>
    </w:p>
    <w:p w14:paraId="74A8DC4D" w14:textId="77777777" w:rsidR="00A420D9" w:rsidRDefault="00A420D9" w:rsidP="00A420D9">
      <w:pPr>
        <w:ind w:firstLine="360"/>
      </w:pPr>
      <w:r>
        <w:lastRenderedPageBreak/>
        <w:t xml:space="preserve">I wreszcie podnieść należy, że proponowany przepis w najmniejszym nawet stopniu nie poprawi skuteczności ścigania </w:t>
      </w:r>
      <w:proofErr w:type="spellStart"/>
      <w:r>
        <w:t>cyberstalkingu</w:t>
      </w:r>
      <w:proofErr w:type="spellEnd"/>
      <w:r>
        <w:t xml:space="preserve"> (indywidulanego lub zbiorowego), co – jak się wydaje – jest największym problemem i co prawdopodobnie ośmiela sprawców, liczących na anonimowość w sieci.</w:t>
      </w:r>
    </w:p>
    <w:p w14:paraId="0D18743B" w14:textId="77777777" w:rsidR="00A420D9" w:rsidRDefault="00A420D9" w:rsidP="00A420D9">
      <w:pPr>
        <w:ind w:firstLine="360"/>
      </w:pPr>
    </w:p>
    <w:p w14:paraId="7E2FB174" w14:textId="77777777" w:rsidR="00A420D9" w:rsidRDefault="00A420D9" w:rsidP="00A420D9">
      <w:pPr>
        <w:ind w:firstLine="360"/>
      </w:pPr>
      <w:r>
        <w:t>3. Podsumowanie</w:t>
      </w:r>
    </w:p>
    <w:p w14:paraId="06B7ADEC" w14:textId="77777777" w:rsidR="00A420D9" w:rsidRDefault="00A420D9" w:rsidP="00A420D9">
      <w:pPr>
        <w:ind w:firstLine="360"/>
      </w:pPr>
      <w:r>
        <w:t xml:space="preserve">Reasumując Komisja Kodyfikacyjna Prawa Karnego w pełni zgadza się z oceną sformułowaną przez RPO co do szkodliwości zbiorowego nękania w sieci, zwłaszcza, gdy pokrzywdzonymi są małoletni (niezależnie od statusu ich rodziców). W przekonaniu KKPK nowe regulacje oparte jednak być muszą na racjonalnych argumentach, co wymaga rzetelnych badań </w:t>
      </w:r>
      <w:proofErr w:type="spellStart"/>
      <w:r>
        <w:t>prawnokryminologicznych</w:t>
      </w:r>
      <w:proofErr w:type="spellEnd"/>
      <w:r>
        <w:t xml:space="preserve"> oraz analiz normatywnych </w:t>
      </w:r>
      <w:r>
        <w:rPr>
          <w:i/>
          <w:iCs/>
        </w:rPr>
        <w:t>de lege lata</w:t>
      </w:r>
      <w:r>
        <w:t>. Równocześnie waga i znaczenie tego problemu społecznego nie pozwalają na ograniczenie się wyłącznie do sformułowania zarzutów wobec zgłoszonej propozycji nowelizacji. Komisja Kodyfikacyjna Prawa Karnego postanowiła zająć się zasygnalizowanym przez RPO problemem w sposób daleko szerszy. Analizie poddane zostaną możliwości procesowe, techniczne i prawnoadministracyjne. Wykorzystane zostaną wyniki badań aktowych i kryminologicznych. Uwzględniona zostanie perspektywa prawnomiędzynarodowa i konstytucyjna. W efekcie przygotowane zostaną przez KKPK stosowne przepisy.</w:t>
      </w:r>
    </w:p>
    <w:p w14:paraId="4F97F719" w14:textId="77777777" w:rsidR="00A420D9" w:rsidRDefault="00A420D9" w:rsidP="00A420D9">
      <w:pPr>
        <w:ind w:firstLine="360"/>
      </w:pPr>
    </w:p>
    <w:p w14:paraId="13EF550C" w14:textId="77777777" w:rsidR="00A420D9" w:rsidRDefault="00A420D9" w:rsidP="00A420D9">
      <w:pPr>
        <w:ind w:firstLine="360"/>
      </w:pPr>
    </w:p>
    <w:p w14:paraId="5F9E7477" w14:textId="77777777" w:rsidR="00A420D9" w:rsidRDefault="00A420D9" w:rsidP="00A420D9">
      <w:pPr>
        <w:ind w:firstLine="360"/>
      </w:pPr>
      <w:r>
        <w:t xml:space="preserve">Oprac. Olga Sitarz </w:t>
      </w:r>
    </w:p>
    <w:p w14:paraId="5CE6E187" w14:textId="77777777" w:rsidR="00A420D9" w:rsidRDefault="00A420D9" w:rsidP="00A420D9">
      <w:pPr>
        <w:ind w:firstLine="360"/>
      </w:pPr>
    </w:p>
    <w:p w14:paraId="2066F241" w14:textId="77777777" w:rsidR="00FF36C6" w:rsidRDefault="00FF36C6"/>
    <w:p w14:paraId="286864E8" w14:textId="77777777" w:rsidR="00FF36C6" w:rsidRPr="00704BEE" w:rsidRDefault="00FF36C6"/>
    <w:sectPr w:rsidR="00FF36C6" w:rsidRPr="00704BE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08D7" w14:textId="77777777" w:rsidR="00FE1E0E" w:rsidRDefault="00FE1E0E" w:rsidP="002921DA">
      <w:r>
        <w:separator/>
      </w:r>
    </w:p>
  </w:endnote>
  <w:endnote w:type="continuationSeparator" w:id="0">
    <w:p w14:paraId="7E0A54DC" w14:textId="77777777" w:rsidR="00FE1E0E" w:rsidRDefault="00FE1E0E" w:rsidP="0029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643389827"/>
      <w:docPartObj>
        <w:docPartGallery w:val="Page Numbers (Bottom of Page)"/>
        <w:docPartUnique/>
      </w:docPartObj>
    </w:sdtPr>
    <w:sdtContent>
      <w:p w14:paraId="459A54E6" w14:textId="77777777" w:rsidR="00301876" w:rsidRDefault="00301876" w:rsidP="00C665D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4CB7C668" w14:textId="77777777" w:rsidR="00301876" w:rsidRDefault="00301876" w:rsidP="003018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16563294"/>
      <w:docPartObj>
        <w:docPartGallery w:val="Page Numbers (Bottom of Page)"/>
        <w:docPartUnique/>
      </w:docPartObj>
    </w:sdtPr>
    <w:sdtContent>
      <w:p w14:paraId="530EF00B" w14:textId="77777777" w:rsidR="00301876" w:rsidRDefault="00301876" w:rsidP="00C665D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7F1BA604" w14:textId="77777777" w:rsidR="00301876" w:rsidRDefault="00301876" w:rsidP="003018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69B2" w14:textId="77777777" w:rsidR="00FE1E0E" w:rsidRDefault="00FE1E0E" w:rsidP="002921DA">
      <w:r>
        <w:separator/>
      </w:r>
    </w:p>
  </w:footnote>
  <w:footnote w:type="continuationSeparator" w:id="0">
    <w:p w14:paraId="5E31D277" w14:textId="77777777" w:rsidR="00FE1E0E" w:rsidRDefault="00FE1E0E" w:rsidP="002921DA">
      <w:r>
        <w:continuationSeparator/>
      </w:r>
    </w:p>
  </w:footnote>
  <w:footnote w:id="1">
    <w:p w14:paraId="386EB017" w14:textId="77777777" w:rsidR="00704BEE" w:rsidRDefault="00704BEE">
      <w:pPr>
        <w:pStyle w:val="Tekstprzypisudolnego"/>
      </w:pPr>
      <w:r>
        <w:rPr>
          <w:rStyle w:val="Odwoanieprzypisudolnego"/>
        </w:rPr>
        <w:footnoteRef/>
      </w:r>
      <w:r w:rsidR="007D03CD">
        <w:t xml:space="preserve"> Źródła wskazane w piśmie:</w:t>
      </w:r>
      <w:r>
        <w:t xml:space="preserve"> </w:t>
      </w:r>
      <w:hyperlink r:id="rId1" w:history="1">
        <w:r w:rsidRPr="00C665DD">
          <w:rPr>
            <w:rStyle w:val="Hipercze"/>
          </w:rPr>
          <w:t>https://wiadomosci.wp.pl/policjareaguje-na-hejt-wobec-corki-prezydenta-elekta-7164489118591904a</w:t>
        </w:r>
      </w:hyperlink>
      <w:r>
        <w:t xml:space="preserve">, </w:t>
      </w:r>
      <w:hyperlink r:id="rId2" w:history="1">
        <w:r w:rsidRPr="00C665DD">
          <w:rPr>
            <w:rStyle w:val="Hipercze"/>
          </w:rPr>
          <w:t>https://krakow.wyborcza.pl/krakow/7,44425,32105938,hejt-na-kasie-nawrocka-nauczycielka-z-bochniwycofala-zawiadomienie.html</w:t>
        </w:r>
      </w:hyperlink>
      <w:r>
        <w:t xml:space="preserve">, </w:t>
      </w:r>
      <w:hyperlink r:id="rId3" w:history="1">
        <w:r w:rsidRPr="00C665DD">
          <w:rPr>
            <w:rStyle w:val="Hipercze"/>
          </w:rPr>
          <w:t>https://www.onet.pl/styl-zycia/onetkobieta/bopd-o-hejcie-na-corkekarola-nawrockiego-podejmiemy-dzialania-prawne/ry4fzmr,2b83378a</w:t>
        </w:r>
      </w:hyperlink>
      <w:r>
        <w:t xml:space="preserve"> </w:t>
      </w:r>
    </w:p>
  </w:footnote>
  <w:footnote w:id="2">
    <w:p w14:paraId="09662AF7" w14:textId="77777777" w:rsidR="00A535F5" w:rsidRDefault="00A535F5">
      <w:pPr>
        <w:pStyle w:val="Tekstprzypisudolnego"/>
      </w:pPr>
      <w:r>
        <w:rPr>
          <w:rStyle w:val="Odwoanieprzypisudolnego"/>
        </w:rPr>
        <w:footnoteRef/>
      </w:r>
      <w:r>
        <w:t xml:space="preserve"> P. </w:t>
      </w:r>
      <w:proofErr w:type="spellStart"/>
      <w:r>
        <w:t>Chlebowicz</w:t>
      </w:r>
      <w:proofErr w:type="spellEnd"/>
      <w:r>
        <w:t>, Przestępstwo zbiegowiska w polskim prawie karnym (art. 254 k.k.), Prokuratura i Prawo 2/2007</w:t>
      </w:r>
      <w:r w:rsidR="00301876">
        <w:t>:</w:t>
      </w:r>
    </w:p>
    <w:p w14:paraId="2F8AF995" w14:textId="77777777" w:rsidR="00A535F5" w:rsidRDefault="00A535F5">
      <w:pPr>
        <w:pStyle w:val="Tekstprzypisudolnego"/>
      </w:pPr>
      <w:r>
        <w:t xml:space="preserve">Zwrot „wspólnymi siłami” oznacza także, że wśród uczestników następuje faktyczny podział czynności w niszczeniu mienia lub powodowaniu uszkodzeń ciała określonych osób. Konieczne jest także istnienie związku między nastrojem zbiegowiska a gwałtownym zamachem. </w:t>
      </w:r>
      <w:r w:rsidRPr="00A420D9">
        <w:rPr>
          <w:b/>
          <w:bCs/>
        </w:rPr>
        <w:t>Nie wyczerpuje znamion przestępstwa przypadek, w którym zamach jest indywidualnym wybrykiem jednej lub kilku osób, które korzystają ze zbiegowiska, aby w czasie zamieszania, korzystając ze względnej anonimowości, dopuścić się przestępstwa</w:t>
      </w:r>
      <w:r>
        <w:t>.</w:t>
      </w:r>
    </w:p>
  </w:footnote>
  <w:footnote w:id="3">
    <w:p w14:paraId="01959749" w14:textId="77777777" w:rsidR="00DA34C8" w:rsidRDefault="00DA34C8" w:rsidP="00DA34C8">
      <w:pPr>
        <w:pStyle w:val="Tekstprzypisudolnego"/>
      </w:pPr>
      <w:r>
        <w:rPr>
          <w:rStyle w:val="Odwoanieprzypisudolnego"/>
        </w:rPr>
        <w:footnoteRef/>
      </w:r>
      <w:r>
        <w:t xml:space="preserve"> L. Gardocki, Prawo karne, Warszawa 2002, s. 287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F7A6C"/>
    <w:multiLevelType w:val="hybridMultilevel"/>
    <w:tmpl w:val="BA3E7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55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9E"/>
    <w:rsid w:val="000658D5"/>
    <w:rsid w:val="00114256"/>
    <w:rsid w:val="001406ED"/>
    <w:rsid w:val="00144EB1"/>
    <w:rsid w:val="001C6989"/>
    <w:rsid w:val="001F27D8"/>
    <w:rsid w:val="001F76C1"/>
    <w:rsid w:val="00236145"/>
    <w:rsid w:val="00262C61"/>
    <w:rsid w:val="00287ED5"/>
    <w:rsid w:val="002921DA"/>
    <w:rsid w:val="00301876"/>
    <w:rsid w:val="003D42D9"/>
    <w:rsid w:val="003E7C3B"/>
    <w:rsid w:val="00437AA2"/>
    <w:rsid w:val="00481A9D"/>
    <w:rsid w:val="004C7A94"/>
    <w:rsid w:val="004D702D"/>
    <w:rsid w:val="00501713"/>
    <w:rsid w:val="005F0265"/>
    <w:rsid w:val="005F5529"/>
    <w:rsid w:val="00647774"/>
    <w:rsid w:val="006725B8"/>
    <w:rsid w:val="00684C50"/>
    <w:rsid w:val="006D4249"/>
    <w:rsid w:val="006E227F"/>
    <w:rsid w:val="00704BEE"/>
    <w:rsid w:val="007258EB"/>
    <w:rsid w:val="007D03CD"/>
    <w:rsid w:val="007F37D1"/>
    <w:rsid w:val="007F6CCB"/>
    <w:rsid w:val="00806C93"/>
    <w:rsid w:val="008C145F"/>
    <w:rsid w:val="00905D36"/>
    <w:rsid w:val="00983390"/>
    <w:rsid w:val="009A13BB"/>
    <w:rsid w:val="009C6D65"/>
    <w:rsid w:val="009F4CCC"/>
    <w:rsid w:val="00A17BEB"/>
    <w:rsid w:val="00A420D9"/>
    <w:rsid w:val="00A535F5"/>
    <w:rsid w:val="00AE2D26"/>
    <w:rsid w:val="00AE2F4B"/>
    <w:rsid w:val="00B568C7"/>
    <w:rsid w:val="00B64BD9"/>
    <w:rsid w:val="00B72F63"/>
    <w:rsid w:val="00B73227"/>
    <w:rsid w:val="00BB0F43"/>
    <w:rsid w:val="00BB239D"/>
    <w:rsid w:val="00BC088A"/>
    <w:rsid w:val="00BE15AA"/>
    <w:rsid w:val="00C0669E"/>
    <w:rsid w:val="00C40201"/>
    <w:rsid w:val="00CB04EB"/>
    <w:rsid w:val="00CD2854"/>
    <w:rsid w:val="00CD57D4"/>
    <w:rsid w:val="00CF1805"/>
    <w:rsid w:val="00CF2CD7"/>
    <w:rsid w:val="00D36FAD"/>
    <w:rsid w:val="00D66E85"/>
    <w:rsid w:val="00DA34C8"/>
    <w:rsid w:val="00DC4091"/>
    <w:rsid w:val="00DF7A36"/>
    <w:rsid w:val="00E30AF0"/>
    <w:rsid w:val="00E3261F"/>
    <w:rsid w:val="00E557B6"/>
    <w:rsid w:val="00E618C3"/>
    <w:rsid w:val="00EA4CDD"/>
    <w:rsid w:val="00F05168"/>
    <w:rsid w:val="00FD75CE"/>
    <w:rsid w:val="00FE1E0E"/>
    <w:rsid w:val="00F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5647"/>
  <w15:chartTrackingRefBased/>
  <w15:docId w15:val="{414A472E-BCEF-BE45-AB3B-B7E6EB82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6ED"/>
    <w:pPr>
      <w:jc w:val="both"/>
    </w:pPr>
    <w:rPr>
      <w:rFonts w:ascii="Times New Roman" w:eastAsia="MS Mincho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6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6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6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6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6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6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6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406E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1406ED"/>
    <w:rPr>
      <w:rFonts w:ascii="Times New Roman" w:eastAsia="MS Mincho" w:hAnsi="Times New Roman" w:cs="Times New Roman"/>
      <w:kern w:val="0"/>
      <w:sz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0669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69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69E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69E"/>
    <w:rPr>
      <w:rFonts w:eastAsiaTheme="majorEastAsia" w:cstheme="majorBidi"/>
      <w:i/>
      <w:iCs/>
      <w:color w:val="2F5496" w:themeColor="accent1" w:themeShade="BF"/>
      <w:kern w:val="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69E"/>
    <w:rPr>
      <w:rFonts w:eastAsiaTheme="majorEastAsia" w:cstheme="majorBidi"/>
      <w:color w:val="2F5496" w:themeColor="accent1" w:themeShade="BF"/>
      <w:kern w:val="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69E"/>
    <w:rPr>
      <w:rFonts w:eastAsiaTheme="majorEastAsia" w:cstheme="majorBidi"/>
      <w:i/>
      <w:iCs/>
      <w:color w:val="595959" w:themeColor="text1" w:themeTint="A6"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69E"/>
    <w:rPr>
      <w:rFonts w:eastAsiaTheme="majorEastAsia" w:cstheme="majorBidi"/>
      <w:color w:val="595959" w:themeColor="text1" w:themeTint="A6"/>
      <w:kern w:val="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69E"/>
    <w:rPr>
      <w:rFonts w:eastAsiaTheme="majorEastAsia" w:cstheme="majorBidi"/>
      <w:i/>
      <w:iCs/>
      <w:color w:val="272727" w:themeColor="text1" w:themeTint="D8"/>
      <w:kern w:val="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69E"/>
    <w:rPr>
      <w:rFonts w:eastAsiaTheme="majorEastAsia" w:cstheme="majorBidi"/>
      <w:color w:val="272727" w:themeColor="text1" w:themeTint="D8"/>
      <w:kern w:val="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066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69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6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69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066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69E"/>
    <w:rPr>
      <w:rFonts w:ascii="Times New Roman" w:eastAsia="MS Mincho" w:hAnsi="Times New Roman" w:cs="Times New Roman"/>
      <w:i/>
      <w:iCs/>
      <w:color w:val="404040" w:themeColor="text1" w:themeTint="BF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066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6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69E"/>
    <w:rPr>
      <w:rFonts w:ascii="Times New Roman" w:eastAsia="MS Mincho" w:hAnsi="Times New Roman" w:cs="Times New Roman"/>
      <w:i/>
      <w:iCs/>
      <w:color w:val="2F5496" w:themeColor="accent1" w:themeShade="BF"/>
      <w:kern w:val="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0669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921DA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1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BEE"/>
    <w:rPr>
      <w:color w:val="605E5C"/>
      <w:shd w:val="clear" w:color="auto" w:fill="E1DFDD"/>
    </w:rPr>
  </w:style>
  <w:style w:type="paragraph" w:customStyle="1" w:styleId="p1">
    <w:name w:val="p1"/>
    <w:basedOn w:val="Normalny"/>
    <w:rsid w:val="00704BEE"/>
    <w:pPr>
      <w:jc w:val="left"/>
    </w:pPr>
    <w:rPr>
      <w:rFonts w:ascii="Helvetica" w:eastAsia="Times New Roman" w:hAnsi="Helvetica"/>
      <w:color w:val="000000"/>
      <w:sz w:val="18"/>
      <w:szCs w:val="18"/>
    </w:rPr>
  </w:style>
  <w:style w:type="character" w:customStyle="1" w:styleId="s1">
    <w:name w:val="s1"/>
    <w:basedOn w:val="Domylnaczcionkaakapitu"/>
    <w:rsid w:val="00E557B6"/>
    <w:rPr>
      <w:rFonts w:ascii="Helvetica" w:hAnsi="Helvetica" w:hint="default"/>
      <w:sz w:val="12"/>
      <w:szCs w:val="12"/>
    </w:rPr>
  </w:style>
  <w:style w:type="character" w:customStyle="1" w:styleId="apple-converted-space">
    <w:name w:val="apple-converted-space"/>
    <w:basedOn w:val="Domylnaczcionkaakapitu"/>
    <w:rsid w:val="00E557B6"/>
  </w:style>
  <w:style w:type="paragraph" w:styleId="Stopka">
    <w:name w:val="footer"/>
    <w:basedOn w:val="Normalny"/>
    <w:link w:val="StopkaZnak"/>
    <w:uiPriority w:val="99"/>
    <w:unhideWhenUsed/>
    <w:rsid w:val="00301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876"/>
    <w:rPr>
      <w:rFonts w:ascii="Times New Roman" w:eastAsia="MS Mincho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30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net.pl/styl-zycia/onetkobieta/bopd-o-hejcie-na-corkekarola-nawrockiego-podejmiemy-dzialania-prawne/ry4fzmr,2b83378a" TargetMode="External"/><Relationship Id="rId2" Type="http://schemas.openxmlformats.org/officeDocument/2006/relationships/hyperlink" Target="https://krakow.wyborcza.pl/krakow/7,44425,32105938,hejt-na-kasie-nawrocka-nauczycielka-z-bochniwycofala-zawiadomienie.html" TargetMode="External"/><Relationship Id="rId1" Type="http://schemas.openxmlformats.org/officeDocument/2006/relationships/hyperlink" Target="https://wiadomosci.wp.pl/policjareaguje-na-hejt-wobec-corki-prezydenta-elekta-716448911859190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Sitarz</dc:creator>
  <cp:keywords/>
  <dc:description/>
  <cp:lastModifiedBy>Wiraszka-Bereza Beata  (DPK)</cp:lastModifiedBy>
  <cp:revision>2</cp:revision>
  <dcterms:created xsi:type="dcterms:W3CDTF">2026-01-02T11:15:00Z</dcterms:created>
  <dcterms:modified xsi:type="dcterms:W3CDTF">2026-01-02T11:15:00Z</dcterms:modified>
</cp:coreProperties>
</file>