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CFB2" w14:textId="77777777" w:rsidR="00485519" w:rsidRPr="00976319" w:rsidRDefault="00485519" w:rsidP="00485519">
      <w:pPr>
        <w:spacing w:line="360" w:lineRule="auto"/>
        <w:jc w:val="both"/>
        <w:rPr>
          <w:b/>
          <w:bCs/>
          <w:sz w:val="32"/>
          <w:szCs w:val="28"/>
        </w:rPr>
      </w:pPr>
      <w:r w:rsidRPr="00976319">
        <w:rPr>
          <w:b/>
          <w:bCs/>
          <w:sz w:val="32"/>
          <w:szCs w:val="28"/>
        </w:rPr>
        <w:t xml:space="preserve">DZIAŁ </w:t>
      </w:r>
      <w:r w:rsidR="0057227E" w:rsidRPr="00976319">
        <w:rPr>
          <w:b/>
          <w:bCs/>
          <w:sz w:val="32"/>
          <w:szCs w:val="28"/>
        </w:rPr>
        <w:t>500</w:t>
      </w:r>
      <w:r w:rsidRPr="00976319">
        <w:rPr>
          <w:b/>
          <w:bCs/>
          <w:sz w:val="32"/>
          <w:szCs w:val="28"/>
        </w:rPr>
        <w:t xml:space="preserve"> – </w:t>
      </w:r>
      <w:r w:rsidR="0057227E" w:rsidRPr="00976319">
        <w:rPr>
          <w:b/>
          <w:bCs/>
          <w:sz w:val="32"/>
          <w:szCs w:val="28"/>
        </w:rPr>
        <w:t>HANDEL</w:t>
      </w:r>
    </w:p>
    <w:p w14:paraId="774DDFA4" w14:textId="77777777" w:rsidR="00520823" w:rsidRPr="00976319" w:rsidRDefault="00520823" w:rsidP="00485519">
      <w:pPr>
        <w:spacing w:line="360" w:lineRule="auto"/>
        <w:jc w:val="both"/>
        <w:rPr>
          <w:b/>
          <w:bCs/>
          <w:szCs w:val="28"/>
        </w:rPr>
      </w:pPr>
    </w:p>
    <w:p w14:paraId="018990CA" w14:textId="77777777" w:rsidR="00485519" w:rsidRPr="00976319" w:rsidRDefault="0013266A" w:rsidP="008232B6">
      <w:pPr>
        <w:spacing w:after="120" w:line="360" w:lineRule="auto"/>
        <w:jc w:val="both"/>
        <w:rPr>
          <w:b/>
          <w:sz w:val="26"/>
          <w:szCs w:val="26"/>
        </w:rPr>
      </w:pPr>
      <w:r w:rsidRPr="00976319">
        <w:rPr>
          <w:b/>
          <w:sz w:val="26"/>
          <w:szCs w:val="26"/>
        </w:rPr>
        <w:t>R</w:t>
      </w:r>
      <w:r w:rsidR="00485519" w:rsidRPr="00976319">
        <w:rPr>
          <w:b/>
          <w:sz w:val="26"/>
          <w:szCs w:val="26"/>
        </w:rPr>
        <w:t xml:space="preserve">ozdział </w:t>
      </w:r>
      <w:r w:rsidR="0057227E" w:rsidRPr="00976319">
        <w:rPr>
          <w:b/>
          <w:sz w:val="26"/>
          <w:szCs w:val="26"/>
        </w:rPr>
        <w:t>50001</w:t>
      </w:r>
      <w:r w:rsidR="00485519" w:rsidRPr="00976319">
        <w:rPr>
          <w:b/>
          <w:sz w:val="26"/>
          <w:szCs w:val="26"/>
        </w:rPr>
        <w:t xml:space="preserve"> – </w:t>
      </w:r>
      <w:r w:rsidR="0057227E" w:rsidRPr="00976319">
        <w:rPr>
          <w:b/>
          <w:sz w:val="26"/>
          <w:szCs w:val="26"/>
        </w:rPr>
        <w:t>INSPEKCJA HANDLOWA</w:t>
      </w:r>
    </w:p>
    <w:p w14:paraId="158452C1" w14:textId="77777777" w:rsidR="00885C17" w:rsidRPr="00976319" w:rsidRDefault="00885C17" w:rsidP="0013266A">
      <w:pPr>
        <w:spacing w:line="360" w:lineRule="auto"/>
        <w:jc w:val="both"/>
      </w:pPr>
    </w:p>
    <w:p w14:paraId="10676087" w14:textId="355A1F69" w:rsidR="00EA40ED" w:rsidRPr="00976319" w:rsidRDefault="00EA40ED" w:rsidP="00976319">
      <w:pPr>
        <w:spacing w:line="360" w:lineRule="auto"/>
        <w:jc w:val="both"/>
      </w:pPr>
      <w:r w:rsidRPr="00976319">
        <w:t xml:space="preserve">Zaplanowane w ustawie budżetowej, w kwocie </w:t>
      </w:r>
      <w:r w:rsidR="00976319" w:rsidRPr="00976319">
        <w:t>8.060</w:t>
      </w:r>
      <w:r w:rsidRPr="00976319">
        <w:t xml:space="preserve"> tys. zł, wydatki na działalność Wojewódzkiego Inspektoratu Inspekcji Handlowej w Gdańsku w trakcie roku budżetowego</w:t>
      </w:r>
      <w:r w:rsidR="00FD6BD3" w:rsidRPr="00976319">
        <w:t xml:space="preserve"> </w:t>
      </w:r>
      <w:r w:rsidR="00976319" w:rsidRPr="00976319">
        <w:t>nie uległy zmianie</w:t>
      </w:r>
      <w:r w:rsidRPr="00976319">
        <w:t xml:space="preserve"> i został</w:t>
      </w:r>
      <w:r w:rsidR="00976319" w:rsidRPr="00976319">
        <w:t>y</w:t>
      </w:r>
      <w:r w:rsidRPr="00976319">
        <w:t xml:space="preserve"> wykorzystan</w:t>
      </w:r>
      <w:r w:rsidR="00976319" w:rsidRPr="00976319">
        <w:t>e</w:t>
      </w:r>
      <w:r w:rsidRPr="00976319">
        <w:t xml:space="preserve"> w kwocie</w:t>
      </w:r>
      <w:r w:rsidR="00976319" w:rsidRPr="00976319">
        <w:t xml:space="preserve"> 8.059</w:t>
      </w:r>
      <w:r w:rsidRPr="00976319">
        <w:t xml:space="preserve"> tys. zł, co stanowi </w:t>
      </w:r>
      <w:r w:rsidR="00976319" w:rsidRPr="00976319">
        <w:t>100</w:t>
      </w:r>
      <w:r w:rsidRPr="00976319">
        <w:t>% planu.</w:t>
      </w:r>
    </w:p>
    <w:p w14:paraId="1E4BD932" w14:textId="77777777" w:rsidR="005106AA" w:rsidRPr="00976319" w:rsidRDefault="005106AA" w:rsidP="0013266A">
      <w:pPr>
        <w:spacing w:line="360" w:lineRule="auto"/>
        <w:jc w:val="both"/>
      </w:pPr>
    </w:p>
    <w:p w14:paraId="5ED81F84" w14:textId="3CC0F297" w:rsidR="00885C17" w:rsidRPr="00976319" w:rsidRDefault="003728E5" w:rsidP="0013266A">
      <w:pPr>
        <w:spacing w:line="360" w:lineRule="auto"/>
        <w:jc w:val="both"/>
      </w:pPr>
      <w:r w:rsidRPr="00976319">
        <w:t xml:space="preserve">Kwota wykonania wydatków stanowi </w:t>
      </w:r>
      <w:r w:rsidR="00976319" w:rsidRPr="00976319">
        <w:t>117,86</w:t>
      </w:r>
      <w:r w:rsidRPr="00976319">
        <w:t>% kwoty wykonania w roku 20</w:t>
      </w:r>
      <w:r w:rsidR="00EA40ED" w:rsidRPr="00976319">
        <w:t>2</w:t>
      </w:r>
      <w:r w:rsidR="00976319" w:rsidRPr="00976319">
        <w:t>3</w:t>
      </w:r>
      <w:r w:rsidR="00EA40ED" w:rsidRPr="00976319">
        <w:t xml:space="preserve"> </w:t>
      </w:r>
      <w:r w:rsidRPr="00976319">
        <w:t xml:space="preserve">wynoszącej </w:t>
      </w:r>
      <w:r w:rsidR="00976319" w:rsidRPr="00976319">
        <w:t>6.838</w:t>
      </w:r>
      <w:r w:rsidRPr="00976319">
        <w:t xml:space="preserve"> tys. zł. </w:t>
      </w:r>
      <w:r w:rsidR="00EA40ED" w:rsidRPr="00976319">
        <w:t xml:space="preserve">Wzrost wykonania, wynika </w:t>
      </w:r>
      <w:r w:rsidRPr="00976319">
        <w:t>z zaplanowania w ustawie budżetowej</w:t>
      </w:r>
      <w:r w:rsidR="004638D1" w:rsidRPr="00976319">
        <w:t xml:space="preserve"> </w:t>
      </w:r>
      <w:r w:rsidR="00EA40ED" w:rsidRPr="00976319">
        <w:t>wyższej</w:t>
      </w:r>
      <w:r w:rsidR="004638D1" w:rsidRPr="00976319">
        <w:br/>
      </w:r>
      <w:r w:rsidR="00EA40ED" w:rsidRPr="00976319">
        <w:t>niż w roku 202</w:t>
      </w:r>
      <w:r w:rsidR="00976319" w:rsidRPr="00976319">
        <w:t>3</w:t>
      </w:r>
      <w:r w:rsidR="00EA40ED" w:rsidRPr="00976319">
        <w:t xml:space="preserve"> kwoty </w:t>
      </w:r>
      <w:r w:rsidRPr="00976319">
        <w:t>na wynagrodzenia wraz z pochodnymi pracowników jednostki</w:t>
      </w:r>
      <w:r w:rsidR="00976319" w:rsidRPr="00976319">
        <w:t>.</w:t>
      </w:r>
    </w:p>
    <w:p w14:paraId="243DE851" w14:textId="77777777" w:rsidR="00885C17" w:rsidRPr="00EE5DBC" w:rsidRDefault="00885C17" w:rsidP="0013266A">
      <w:pPr>
        <w:spacing w:line="360" w:lineRule="auto"/>
        <w:jc w:val="both"/>
      </w:pPr>
    </w:p>
    <w:p w14:paraId="76062B56" w14:textId="77777777" w:rsidR="00582240" w:rsidRPr="00EE5DBC" w:rsidRDefault="00582240" w:rsidP="00582240">
      <w:pPr>
        <w:spacing w:after="120" w:line="360" w:lineRule="auto"/>
        <w:jc w:val="both"/>
        <w:rPr>
          <w:szCs w:val="22"/>
        </w:rPr>
      </w:pPr>
      <w:r w:rsidRPr="00EE5DBC">
        <w:rPr>
          <w:szCs w:val="22"/>
        </w:rPr>
        <w:t>Poniesione przez Wojewódzki Inspektorat Inspekcji Handlowej w Gdańsku wydatki przeznaczono na:</w:t>
      </w:r>
    </w:p>
    <w:p w14:paraId="65B9801F" w14:textId="0A23F601" w:rsidR="00485519" w:rsidRPr="00EE5DBC" w:rsidRDefault="00485519" w:rsidP="004B70D1">
      <w:pPr>
        <w:numPr>
          <w:ilvl w:val="0"/>
          <w:numId w:val="1"/>
        </w:numPr>
        <w:spacing w:after="120" w:line="360" w:lineRule="auto"/>
        <w:jc w:val="both"/>
      </w:pPr>
      <w:r w:rsidRPr="00EE5DBC">
        <w:t>wypłat</w:t>
      </w:r>
      <w:r w:rsidR="004C4F6F" w:rsidRPr="00EE5DBC">
        <w:t>ę</w:t>
      </w:r>
      <w:r w:rsidRPr="00EE5DBC">
        <w:t xml:space="preserve"> </w:t>
      </w:r>
      <w:r w:rsidR="00E27658" w:rsidRPr="00EE5DBC">
        <w:t>świadczeń na rzecz pracowników, tj.: zakup umundurowania, ekwiwalent</w:t>
      </w:r>
      <w:r w:rsidR="005632AB" w:rsidRPr="00EE5DBC">
        <w:br/>
      </w:r>
      <w:r w:rsidR="00E27658" w:rsidRPr="00EE5DBC">
        <w:t>za odzież</w:t>
      </w:r>
      <w:r w:rsidR="00F827C3" w:rsidRPr="00EE5DBC">
        <w:t xml:space="preserve">, za </w:t>
      </w:r>
      <w:r w:rsidRPr="00EE5DBC">
        <w:t>pranie odzieży oraz p</w:t>
      </w:r>
      <w:r w:rsidR="00C76B45" w:rsidRPr="00EE5DBC">
        <w:t xml:space="preserve">osiłki regeneracyjne </w:t>
      </w:r>
      <w:r w:rsidR="005632AB" w:rsidRPr="00EE5DBC">
        <w:t>-</w:t>
      </w:r>
      <w:r w:rsidR="003E4C60" w:rsidRPr="00EE5DBC">
        <w:t xml:space="preserve"> </w:t>
      </w:r>
      <w:r w:rsidR="00EE5DBC" w:rsidRPr="00EE5DBC">
        <w:t>29</w:t>
      </w:r>
      <w:r w:rsidR="004B70D1" w:rsidRPr="00EE5DBC">
        <w:t xml:space="preserve"> </w:t>
      </w:r>
      <w:r w:rsidRPr="00EE5DBC">
        <w:t xml:space="preserve">tys. </w:t>
      </w:r>
      <w:r w:rsidR="00BC4410" w:rsidRPr="00EE5DBC">
        <w:t>zł</w:t>
      </w:r>
      <w:r w:rsidRPr="00EE5DBC">
        <w:t>,</w:t>
      </w:r>
    </w:p>
    <w:p w14:paraId="18750519" w14:textId="61118BA4" w:rsidR="009A7143" w:rsidRPr="00EE5DBC" w:rsidRDefault="009A7143" w:rsidP="009A7143">
      <w:pPr>
        <w:numPr>
          <w:ilvl w:val="1"/>
          <w:numId w:val="18"/>
        </w:numPr>
        <w:tabs>
          <w:tab w:val="left" w:pos="490"/>
          <w:tab w:val="num" w:pos="1440"/>
        </w:tabs>
        <w:spacing w:line="360" w:lineRule="auto"/>
        <w:ind w:left="728" w:hanging="336"/>
        <w:jc w:val="both"/>
      </w:pPr>
      <w:r w:rsidRPr="00EE5DBC">
        <w:t xml:space="preserve">wynagrodzenia wraz z pochodnymi </w:t>
      </w:r>
      <w:r w:rsidR="00965D7A" w:rsidRPr="00EE5DBC">
        <w:t>–</w:t>
      </w:r>
      <w:r w:rsidRPr="00EE5DBC">
        <w:t xml:space="preserve"> </w:t>
      </w:r>
      <w:r w:rsidR="00EE5DBC" w:rsidRPr="00EE5DBC">
        <w:t>6.948</w:t>
      </w:r>
      <w:r w:rsidRPr="00EE5DBC">
        <w:t xml:space="preserve"> tys. zł., w tym: </w:t>
      </w:r>
    </w:p>
    <w:p w14:paraId="5C514FC5" w14:textId="1C5DD47F" w:rsidR="009A7143" w:rsidRPr="00EE5DBC" w:rsidRDefault="009A7143" w:rsidP="009A7143">
      <w:pPr>
        <w:numPr>
          <w:ilvl w:val="1"/>
          <w:numId w:val="19"/>
        </w:numPr>
        <w:tabs>
          <w:tab w:val="left" w:pos="1134"/>
        </w:tabs>
        <w:spacing w:line="360" w:lineRule="auto"/>
        <w:ind w:left="1148" w:hanging="448"/>
        <w:jc w:val="both"/>
      </w:pPr>
      <w:r w:rsidRPr="00EE5DBC">
        <w:t xml:space="preserve">wynagrodzenia osobowe pracowników - </w:t>
      </w:r>
      <w:r w:rsidR="00EE5DBC" w:rsidRPr="00EE5DBC">
        <w:t>554</w:t>
      </w:r>
      <w:r w:rsidRPr="00EE5DBC">
        <w:t xml:space="preserve"> tys. zł, </w:t>
      </w:r>
    </w:p>
    <w:p w14:paraId="366E218B" w14:textId="24D5EA2D" w:rsidR="009A7143" w:rsidRPr="00EE5DBC" w:rsidRDefault="009A7143" w:rsidP="009A7143">
      <w:pPr>
        <w:numPr>
          <w:ilvl w:val="1"/>
          <w:numId w:val="19"/>
        </w:numPr>
        <w:tabs>
          <w:tab w:val="left" w:pos="1134"/>
        </w:tabs>
        <w:spacing w:line="360" w:lineRule="auto"/>
        <w:ind w:left="1148" w:hanging="448"/>
        <w:jc w:val="both"/>
      </w:pPr>
      <w:r w:rsidRPr="00EE5DBC">
        <w:t xml:space="preserve">wynagrodzenia osobowe członków korpusu służby cywilnej </w:t>
      </w:r>
      <w:r w:rsidR="00965D7A" w:rsidRPr="00EE5DBC">
        <w:t>–</w:t>
      </w:r>
      <w:r w:rsidRPr="00EE5DBC">
        <w:t xml:space="preserve"> </w:t>
      </w:r>
      <w:r w:rsidR="00EE5DBC" w:rsidRPr="00EE5DBC">
        <w:t>5.056</w:t>
      </w:r>
      <w:r w:rsidRPr="00EE5DBC">
        <w:t xml:space="preserve"> tys. zł,</w:t>
      </w:r>
    </w:p>
    <w:p w14:paraId="3A099754" w14:textId="7A7E6B85" w:rsidR="009A7143" w:rsidRPr="00EE5DBC" w:rsidRDefault="009A7143" w:rsidP="009A7143">
      <w:pPr>
        <w:numPr>
          <w:ilvl w:val="1"/>
          <w:numId w:val="19"/>
        </w:numPr>
        <w:tabs>
          <w:tab w:val="left" w:pos="1134"/>
        </w:tabs>
        <w:spacing w:line="360" w:lineRule="auto"/>
        <w:ind w:left="1148" w:hanging="448"/>
        <w:jc w:val="both"/>
      </w:pPr>
      <w:r w:rsidRPr="00EE5DBC">
        <w:t xml:space="preserve">dodatkowe wynagrodzenie roczne pracowników - </w:t>
      </w:r>
      <w:r w:rsidR="00EE5DBC" w:rsidRPr="00EE5DBC">
        <w:t>328</w:t>
      </w:r>
      <w:r w:rsidRPr="00EE5DBC">
        <w:t xml:space="preserve"> tys. zł,</w:t>
      </w:r>
    </w:p>
    <w:p w14:paraId="1CFF5672" w14:textId="579BBCD9" w:rsidR="009A7143" w:rsidRPr="00EE5DBC" w:rsidRDefault="009A7143" w:rsidP="009A7143">
      <w:pPr>
        <w:numPr>
          <w:ilvl w:val="1"/>
          <w:numId w:val="19"/>
        </w:numPr>
        <w:tabs>
          <w:tab w:val="left" w:pos="1134"/>
        </w:tabs>
        <w:spacing w:line="360" w:lineRule="auto"/>
        <w:ind w:left="1148" w:hanging="448"/>
        <w:jc w:val="both"/>
      </w:pPr>
      <w:r w:rsidRPr="00EE5DBC">
        <w:t xml:space="preserve">składki na ubezpieczenia społeczne - </w:t>
      </w:r>
      <w:r w:rsidR="00EE5DBC" w:rsidRPr="00EE5DBC">
        <w:t>929</w:t>
      </w:r>
      <w:r w:rsidRPr="00EE5DBC">
        <w:t xml:space="preserve"> tys. zł,</w:t>
      </w:r>
    </w:p>
    <w:p w14:paraId="0AA42098" w14:textId="356CF61A" w:rsidR="009A7143" w:rsidRPr="00EE5DBC" w:rsidRDefault="009A7143" w:rsidP="009A7143">
      <w:pPr>
        <w:numPr>
          <w:ilvl w:val="1"/>
          <w:numId w:val="19"/>
        </w:numPr>
        <w:tabs>
          <w:tab w:val="left" w:pos="1134"/>
        </w:tabs>
        <w:spacing w:line="360" w:lineRule="auto"/>
        <w:ind w:left="1148" w:hanging="448"/>
        <w:jc w:val="both"/>
      </w:pPr>
      <w:r w:rsidRPr="00EE5DBC">
        <w:t xml:space="preserve">składki na Fundusz Pracy - </w:t>
      </w:r>
      <w:r w:rsidR="00EE5DBC" w:rsidRPr="00EE5DBC">
        <w:t>81</w:t>
      </w:r>
      <w:r w:rsidRPr="00EE5DBC">
        <w:t xml:space="preserve"> tys. zł,</w:t>
      </w:r>
    </w:p>
    <w:p w14:paraId="55831E24" w14:textId="228708ED" w:rsidR="00E27658" w:rsidRPr="00EE5DBC" w:rsidRDefault="005632AB" w:rsidP="008232B6">
      <w:pPr>
        <w:numPr>
          <w:ilvl w:val="0"/>
          <w:numId w:val="1"/>
        </w:numPr>
        <w:spacing w:after="120" w:line="360" w:lineRule="auto"/>
        <w:jc w:val="both"/>
      </w:pPr>
      <w:r w:rsidRPr="00EE5DBC">
        <w:t xml:space="preserve">wynagrodzenia bezosobowe </w:t>
      </w:r>
      <w:r w:rsidR="009A7143" w:rsidRPr="00EE5DBC">
        <w:t xml:space="preserve">dotyczące </w:t>
      </w:r>
      <w:r w:rsidR="009A7143" w:rsidRPr="007F632C">
        <w:t xml:space="preserve">comiesięcznych wypłat dla Przewodniczącego Stałego Sądu Polubownego oraz wynagrodzeń arbitrów - </w:t>
      </w:r>
      <w:r w:rsidR="00EE5DBC" w:rsidRPr="00EE5DBC">
        <w:t>26</w:t>
      </w:r>
      <w:r w:rsidR="009A7143" w:rsidRPr="00EE5DBC">
        <w:t xml:space="preserve"> tys. zł,</w:t>
      </w:r>
    </w:p>
    <w:p w14:paraId="22282A64" w14:textId="2F53AF22" w:rsidR="00250168" w:rsidRPr="00EE5DBC" w:rsidRDefault="00250168" w:rsidP="008232B6">
      <w:pPr>
        <w:numPr>
          <w:ilvl w:val="0"/>
          <w:numId w:val="1"/>
        </w:numPr>
        <w:spacing w:after="120" w:line="360" w:lineRule="auto"/>
        <w:jc w:val="both"/>
      </w:pPr>
      <w:r w:rsidRPr="00EE5DBC">
        <w:t xml:space="preserve">zakładowy fundusz świadczeń socjalnych - </w:t>
      </w:r>
      <w:r w:rsidR="00EE5DBC" w:rsidRPr="00EE5DBC">
        <w:t>146</w:t>
      </w:r>
      <w:r w:rsidRPr="00EE5DBC">
        <w:t xml:space="preserve"> tys. zł,</w:t>
      </w:r>
    </w:p>
    <w:p w14:paraId="79EEF399" w14:textId="28A608C3" w:rsidR="00250168" w:rsidRPr="00EE5DBC" w:rsidRDefault="00250168" w:rsidP="008232B6">
      <w:pPr>
        <w:numPr>
          <w:ilvl w:val="0"/>
          <w:numId w:val="1"/>
        </w:numPr>
        <w:spacing w:after="120" w:line="360" w:lineRule="auto"/>
        <w:jc w:val="both"/>
      </w:pPr>
      <w:r w:rsidRPr="00EE5DBC">
        <w:t xml:space="preserve">wpłaty na PPK - </w:t>
      </w:r>
      <w:r w:rsidR="00EE5DBC" w:rsidRPr="00EE5DBC">
        <w:t>24</w:t>
      </w:r>
      <w:r w:rsidRPr="00EE5DBC">
        <w:t xml:space="preserve"> tys. zł,</w:t>
      </w:r>
    </w:p>
    <w:p w14:paraId="29077472" w14:textId="66C75642" w:rsidR="00EE5DBC" w:rsidRPr="00EE5DBC" w:rsidRDefault="00EE5DBC" w:rsidP="008232B6">
      <w:pPr>
        <w:numPr>
          <w:ilvl w:val="0"/>
          <w:numId w:val="1"/>
        </w:numPr>
        <w:spacing w:after="120" w:line="360" w:lineRule="auto"/>
        <w:jc w:val="both"/>
      </w:pPr>
      <w:r w:rsidRPr="00EE5DBC">
        <w:t>zakup usług remontowych – 60 tys. zł,</w:t>
      </w:r>
    </w:p>
    <w:p w14:paraId="3C129E84" w14:textId="68C5D3BB" w:rsidR="00E31CF4" w:rsidRPr="007F632C" w:rsidRDefault="00485519" w:rsidP="004C0EF0">
      <w:pPr>
        <w:numPr>
          <w:ilvl w:val="0"/>
          <w:numId w:val="1"/>
        </w:numPr>
        <w:spacing w:after="120" w:line="360" w:lineRule="auto"/>
        <w:jc w:val="both"/>
      </w:pPr>
      <w:r w:rsidRPr="007F632C">
        <w:t>pozostałe wydatki bieżące</w:t>
      </w:r>
      <w:r w:rsidR="004C0EF0" w:rsidRPr="007F632C">
        <w:t xml:space="preserve">, </w:t>
      </w:r>
      <w:r w:rsidRPr="007F632C">
        <w:t>w tym</w:t>
      </w:r>
      <w:r w:rsidR="004C0EF0" w:rsidRPr="007F632C">
        <w:t xml:space="preserve"> </w:t>
      </w:r>
      <w:r w:rsidR="00E31CF4" w:rsidRPr="007F632C">
        <w:t xml:space="preserve">zakup materiałów </w:t>
      </w:r>
      <w:r w:rsidR="002A5815" w:rsidRPr="007F632C">
        <w:t>biurowych,</w:t>
      </w:r>
      <w:r w:rsidR="00582240" w:rsidRPr="007F632C">
        <w:t xml:space="preserve"> </w:t>
      </w:r>
      <w:r w:rsidR="00E31CF4" w:rsidRPr="007F632C">
        <w:t>części samochodowych, paliwa</w:t>
      </w:r>
      <w:r w:rsidR="002A5815" w:rsidRPr="007F632C">
        <w:t xml:space="preserve"> </w:t>
      </w:r>
      <w:r w:rsidR="00E31CF4" w:rsidRPr="007F632C">
        <w:t>do samochodów służbowych, sprzętu komputerowego</w:t>
      </w:r>
      <w:r w:rsidR="004C0EF0" w:rsidRPr="007F632C">
        <w:br/>
      </w:r>
      <w:r w:rsidR="00582240" w:rsidRPr="007F632C">
        <w:t>i biurowego</w:t>
      </w:r>
      <w:r w:rsidR="00E31CF4" w:rsidRPr="007F632C">
        <w:t xml:space="preserve">, </w:t>
      </w:r>
      <w:r w:rsidR="004977E4" w:rsidRPr="007F632C">
        <w:t>prasy</w:t>
      </w:r>
      <w:r w:rsidR="00582240" w:rsidRPr="007F632C">
        <w:t>, środków czystości, energii</w:t>
      </w:r>
      <w:r w:rsidR="004C0EF0" w:rsidRPr="007F632C">
        <w:t xml:space="preserve">, </w:t>
      </w:r>
      <w:r w:rsidR="00582240" w:rsidRPr="007F632C">
        <w:t xml:space="preserve">usługi pocztowe, </w:t>
      </w:r>
      <w:r w:rsidR="0027259F" w:rsidRPr="007F632C">
        <w:t xml:space="preserve">telekomunikacyjne, </w:t>
      </w:r>
      <w:r w:rsidR="00582240" w:rsidRPr="007F632C">
        <w:t xml:space="preserve">remontowe, badanie materiałów, monitoring, sprzątanie, badania i szkolenia </w:t>
      </w:r>
      <w:r w:rsidR="00582240" w:rsidRPr="007F632C">
        <w:lastRenderedPageBreak/>
        <w:t>pracowników</w:t>
      </w:r>
      <w:r w:rsidR="004C0EF0" w:rsidRPr="007F632C">
        <w:t xml:space="preserve">, </w:t>
      </w:r>
      <w:r w:rsidR="00582240" w:rsidRPr="007F632C">
        <w:t xml:space="preserve">opłaty czynszowe, </w:t>
      </w:r>
      <w:r w:rsidR="004977E4" w:rsidRPr="007F632C">
        <w:t xml:space="preserve">ubezpieczenie, </w:t>
      </w:r>
      <w:r w:rsidR="00582240" w:rsidRPr="007F632C">
        <w:t>podatek</w:t>
      </w:r>
      <w:r w:rsidR="004C0EF0" w:rsidRPr="007F632C">
        <w:t xml:space="preserve"> </w:t>
      </w:r>
      <w:r w:rsidR="00582240" w:rsidRPr="007F632C">
        <w:t xml:space="preserve">od nieruchomości, </w:t>
      </w:r>
      <w:r w:rsidR="004977E4" w:rsidRPr="007F632C">
        <w:t xml:space="preserve">koszty postępowania sądowego, podróże służbowe, </w:t>
      </w:r>
      <w:r w:rsidR="00582240" w:rsidRPr="007F632C">
        <w:t>opłaty na rzecz budżetów jednostek samorządu terytorialnego</w:t>
      </w:r>
      <w:r w:rsidR="002A5815" w:rsidRPr="007F632C">
        <w:t xml:space="preserve"> - </w:t>
      </w:r>
      <w:r w:rsidR="00EE5DBC" w:rsidRPr="007F632C">
        <w:t>826</w:t>
      </w:r>
      <w:r w:rsidR="00E31CF4" w:rsidRPr="007F632C">
        <w:t xml:space="preserve"> ty</w:t>
      </w:r>
      <w:r w:rsidR="004638D1" w:rsidRPr="007F632C">
        <w:t>s</w:t>
      </w:r>
      <w:r w:rsidR="00E31CF4" w:rsidRPr="007F632C">
        <w:t>. zł</w:t>
      </w:r>
      <w:r w:rsidR="004977E4" w:rsidRPr="007F632C">
        <w:t>.</w:t>
      </w:r>
    </w:p>
    <w:p w14:paraId="17D9B7CF" w14:textId="107EBA82" w:rsidR="003728E5" w:rsidRPr="007F632C" w:rsidRDefault="003728E5" w:rsidP="00A84610">
      <w:pPr>
        <w:spacing w:before="240" w:after="240" w:line="360" w:lineRule="auto"/>
        <w:jc w:val="both"/>
      </w:pPr>
      <w:r w:rsidRPr="00D923EC">
        <w:t>Przeciętne zatrudnienie w Wojewódzkim Inspektoracie Inspekcji Handlowej</w:t>
      </w:r>
      <w:r w:rsidR="004638D1" w:rsidRPr="00D923EC">
        <w:t xml:space="preserve"> </w:t>
      </w:r>
      <w:r w:rsidRPr="00D923EC">
        <w:t xml:space="preserve">w Gdańsku klasyfikowane w omawianym rozdziale wyniosło </w:t>
      </w:r>
      <w:r w:rsidR="00D923EC" w:rsidRPr="00D923EC">
        <w:t>49</w:t>
      </w:r>
      <w:r w:rsidR="00D53125" w:rsidRPr="00D923EC">
        <w:t xml:space="preserve"> </w:t>
      </w:r>
      <w:r w:rsidRPr="00D923EC">
        <w:t>etatów i zmalało</w:t>
      </w:r>
      <w:r w:rsidR="004638D1" w:rsidRPr="00D923EC">
        <w:t xml:space="preserve"> </w:t>
      </w:r>
      <w:r w:rsidR="00D923EC">
        <w:t>łącznie o 1 etat</w:t>
      </w:r>
      <w:r w:rsidR="00D923EC">
        <w:br/>
        <w:t xml:space="preserve">w stosunku do roku 2023, przy czym </w:t>
      </w:r>
      <w:r w:rsidR="009A7143" w:rsidRPr="00D923EC">
        <w:t>w</w:t>
      </w:r>
      <w:r w:rsidR="00D923EC" w:rsidRPr="00D923EC">
        <w:rPr>
          <w:kern w:val="3"/>
          <w:lang w:eastAsia="ar-SA"/>
        </w:rPr>
        <w:t xml:space="preserve"> </w:t>
      </w:r>
      <w:r w:rsidR="00D923EC">
        <w:rPr>
          <w:kern w:val="3"/>
          <w:lang w:eastAsia="ar-SA"/>
        </w:rPr>
        <w:t xml:space="preserve">grupie </w:t>
      </w:r>
      <w:r w:rsidR="00D923EC" w:rsidRPr="00016A36">
        <w:rPr>
          <w:kern w:val="3"/>
          <w:lang w:eastAsia="ar-SA"/>
        </w:rPr>
        <w:t>pracowników nieobjętych mnożnikowym systemem wynagrodzeń</w:t>
      </w:r>
      <w:r w:rsidR="00D923EC">
        <w:rPr>
          <w:kern w:val="3"/>
          <w:lang w:eastAsia="ar-SA"/>
        </w:rPr>
        <w:t xml:space="preserve"> zmalało o 2 etaty, a w </w:t>
      </w:r>
      <w:r w:rsidR="009A7143" w:rsidRPr="00D923EC">
        <w:t>grupie członków korpusu służby cywilnej</w:t>
      </w:r>
      <w:r w:rsidR="00D923EC">
        <w:t xml:space="preserve"> wzrosło o 1 etat, </w:t>
      </w:r>
      <w:r w:rsidR="007F632C" w:rsidRPr="007F632C">
        <w:rPr>
          <w:kern w:val="3"/>
          <w:lang w:eastAsia="ar-SA"/>
        </w:rPr>
        <w:t>co spowodowane było naturalną rotacją kadr.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258"/>
        <w:gridCol w:w="2257"/>
        <w:gridCol w:w="2263"/>
      </w:tblGrid>
      <w:tr w:rsidR="00D923EC" w:rsidRPr="00D923EC" w14:paraId="61052612" w14:textId="77777777" w:rsidTr="00B25FFA">
        <w:trPr>
          <w:trHeight w:hRule="exact" w:val="340"/>
        </w:trPr>
        <w:tc>
          <w:tcPr>
            <w:tcW w:w="2195" w:type="dxa"/>
            <w:vMerge w:val="restart"/>
            <w:vAlign w:val="center"/>
          </w:tcPr>
          <w:p w14:paraId="166D5146" w14:textId="77777777" w:rsidR="005632AB" w:rsidRPr="00D923EC" w:rsidRDefault="005632AB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Status zatrudnienia</w:t>
            </w:r>
          </w:p>
        </w:tc>
        <w:tc>
          <w:tcPr>
            <w:tcW w:w="4606" w:type="dxa"/>
            <w:gridSpan w:val="2"/>
            <w:vAlign w:val="center"/>
          </w:tcPr>
          <w:p w14:paraId="7AD3B26F" w14:textId="77777777" w:rsidR="005632AB" w:rsidRPr="00D923EC" w:rsidRDefault="005632AB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Przeciętne zatrudnienie</w:t>
            </w:r>
          </w:p>
        </w:tc>
        <w:tc>
          <w:tcPr>
            <w:tcW w:w="2303" w:type="dxa"/>
            <w:vMerge w:val="restart"/>
            <w:vAlign w:val="center"/>
          </w:tcPr>
          <w:p w14:paraId="26713B85" w14:textId="77777777" w:rsidR="005632AB" w:rsidRPr="00D923EC" w:rsidRDefault="005632AB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3:2</w:t>
            </w:r>
          </w:p>
        </w:tc>
      </w:tr>
      <w:tr w:rsidR="00D923EC" w:rsidRPr="00D923EC" w14:paraId="2DCDCE5E" w14:textId="77777777" w:rsidTr="00B25FFA">
        <w:trPr>
          <w:trHeight w:hRule="exact" w:val="340"/>
        </w:trPr>
        <w:tc>
          <w:tcPr>
            <w:tcW w:w="2195" w:type="dxa"/>
            <w:vMerge/>
            <w:vAlign w:val="center"/>
          </w:tcPr>
          <w:p w14:paraId="1D9268B1" w14:textId="77777777" w:rsidR="005632AB" w:rsidRPr="00D923EC" w:rsidRDefault="005632AB" w:rsidP="00B25FFA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4C71436" w14:textId="27F908A9" w:rsidR="005632AB" w:rsidRPr="00D923EC" w:rsidRDefault="005632AB" w:rsidP="005D176B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20</w:t>
            </w:r>
            <w:r w:rsidR="005D176B" w:rsidRPr="00D923EC">
              <w:rPr>
                <w:b/>
                <w:szCs w:val="22"/>
              </w:rPr>
              <w:t>2</w:t>
            </w:r>
            <w:r w:rsidR="00EE5DBC" w:rsidRPr="00D923EC">
              <w:rPr>
                <w:b/>
                <w:szCs w:val="22"/>
              </w:rPr>
              <w:t>3</w:t>
            </w:r>
            <w:r w:rsidRPr="00D923EC">
              <w:rPr>
                <w:b/>
                <w:szCs w:val="22"/>
              </w:rPr>
              <w:t xml:space="preserve"> r.</w:t>
            </w:r>
          </w:p>
        </w:tc>
        <w:tc>
          <w:tcPr>
            <w:tcW w:w="2303" w:type="dxa"/>
            <w:vAlign w:val="center"/>
          </w:tcPr>
          <w:p w14:paraId="345F2127" w14:textId="56DAFE6F" w:rsidR="005632AB" w:rsidRPr="00D923EC" w:rsidRDefault="005632AB" w:rsidP="005D176B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202</w:t>
            </w:r>
            <w:r w:rsidR="00EE5DBC" w:rsidRPr="00D923EC">
              <w:rPr>
                <w:b/>
                <w:szCs w:val="22"/>
              </w:rPr>
              <w:t>4</w:t>
            </w:r>
            <w:r w:rsidRPr="00D923EC">
              <w:rPr>
                <w:b/>
                <w:szCs w:val="22"/>
              </w:rPr>
              <w:t xml:space="preserve"> r.</w:t>
            </w:r>
          </w:p>
        </w:tc>
        <w:tc>
          <w:tcPr>
            <w:tcW w:w="2303" w:type="dxa"/>
            <w:vMerge/>
            <w:vAlign w:val="center"/>
          </w:tcPr>
          <w:p w14:paraId="40879E39" w14:textId="77777777" w:rsidR="005632AB" w:rsidRPr="00D923EC" w:rsidRDefault="005632AB" w:rsidP="00B25FFA">
            <w:pPr>
              <w:jc w:val="center"/>
              <w:rPr>
                <w:b/>
              </w:rPr>
            </w:pPr>
          </w:p>
        </w:tc>
      </w:tr>
      <w:tr w:rsidR="00D923EC" w:rsidRPr="00D923EC" w14:paraId="09269CD9" w14:textId="77777777" w:rsidTr="00B25FFA">
        <w:trPr>
          <w:trHeight w:hRule="exact" w:val="340"/>
        </w:trPr>
        <w:tc>
          <w:tcPr>
            <w:tcW w:w="2195" w:type="dxa"/>
            <w:vAlign w:val="center"/>
          </w:tcPr>
          <w:p w14:paraId="4B72C7EF" w14:textId="77777777" w:rsidR="005632AB" w:rsidRPr="00D923EC" w:rsidRDefault="005632AB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0D6D0939" w14:textId="77777777" w:rsidR="005632AB" w:rsidRPr="00D923EC" w:rsidRDefault="00A7101E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2B078AAD" w14:textId="77777777" w:rsidR="005632AB" w:rsidRPr="00D923EC" w:rsidRDefault="005632AB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5B5FE6D0" w14:textId="77777777" w:rsidR="005632AB" w:rsidRPr="00D923EC" w:rsidRDefault="005632AB" w:rsidP="00B25FFA">
            <w:pPr>
              <w:jc w:val="center"/>
              <w:rPr>
                <w:b/>
              </w:rPr>
            </w:pPr>
            <w:r w:rsidRPr="00D923EC">
              <w:rPr>
                <w:b/>
                <w:szCs w:val="22"/>
              </w:rPr>
              <w:t>4</w:t>
            </w:r>
          </w:p>
        </w:tc>
      </w:tr>
      <w:tr w:rsidR="00D923EC" w:rsidRPr="00D923EC" w14:paraId="23A8FD93" w14:textId="77777777" w:rsidTr="00B25FFA">
        <w:trPr>
          <w:trHeight w:hRule="exact" w:val="340"/>
        </w:trPr>
        <w:tc>
          <w:tcPr>
            <w:tcW w:w="2195" w:type="dxa"/>
            <w:vAlign w:val="center"/>
          </w:tcPr>
          <w:p w14:paraId="295BD7CC" w14:textId="77777777" w:rsidR="005632AB" w:rsidRPr="00D923EC" w:rsidRDefault="005632AB" w:rsidP="00B25FFA">
            <w:pPr>
              <w:jc w:val="center"/>
            </w:pPr>
            <w:r w:rsidRPr="00D923EC">
              <w:rPr>
                <w:szCs w:val="22"/>
              </w:rPr>
              <w:t>01</w:t>
            </w:r>
          </w:p>
        </w:tc>
        <w:tc>
          <w:tcPr>
            <w:tcW w:w="2303" w:type="dxa"/>
            <w:vAlign w:val="center"/>
          </w:tcPr>
          <w:p w14:paraId="437271F8" w14:textId="77777777" w:rsidR="005632AB" w:rsidRPr="00D923EC" w:rsidRDefault="003728E5" w:rsidP="00B25FFA">
            <w:pPr>
              <w:jc w:val="center"/>
            </w:pPr>
            <w:r w:rsidRPr="00D923EC">
              <w:rPr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188B0E2A" w14:textId="5B9ECA6C" w:rsidR="005632AB" w:rsidRPr="00D923EC" w:rsidRDefault="00EE5DBC" w:rsidP="00B25FFA">
            <w:pPr>
              <w:jc w:val="center"/>
            </w:pPr>
            <w:r w:rsidRPr="00D923EC">
              <w:t>4</w:t>
            </w:r>
          </w:p>
        </w:tc>
        <w:tc>
          <w:tcPr>
            <w:tcW w:w="2303" w:type="dxa"/>
            <w:vAlign w:val="center"/>
          </w:tcPr>
          <w:p w14:paraId="29AB1748" w14:textId="330BC5B1" w:rsidR="005632AB" w:rsidRPr="00D923EC" w:rsidRDefault="00EE5DBC" w:rsidP="00F827C3">
            <w:pPr>
              <w:jc w:val="center"/>
            </w:pPr>
            <w:r w:rsidRPr="00D923EC">
              <w:t>66,7</w:t>
            </w:r>
            <w:r w:rsidR="006422B1" w:rsidRPr="00D923EC">
              <w:t>%</w:t>
            </w:r>
          </w:p>
        </w:tc>
      </w:tr>
      <w:tr w:rsidR="00D923EC" w:rsidRPr="00D923EC" w14:paraId="2CCE53DC" w14:textId="77777777" w:rsidTr="00B25FFA">
        <w:trPr>
          <w:trHeight w:hRule="exact" w:val="340"/>
        </w:trPr>
        <w:tc>
          <w:tcPr>
            <w:tcW w:w="2195" w:type="dxa"/>
            <w:vAlign w:val="center"/>
          </w:tcPr>
          <w:p w14:paraId="2514B0C5" w14:textId="77777777" w:rsidR="003728E5" w:rsidRPr="00D923EC" w:rsidRDefault="003728E5" w:rsidP="00B25FFA">
            <w:pPr>
              <w:jc w:val="center"/>
            </w:pPr>
            <w:r w:rsidRPr="00D923EC">
              <w:rPr>
                <w:szCs w:val="22"/>
              </w:rPr>
              <w:t>03</w:t>
            </w:r>
          </w:p>
        </w:tc>
        <w:tc>
          <w:tcPr>
            <w:tcW w:w="2303" w:type="dxa"/>
            <w:vAlign w:val="center"/>
          </w:tcPr>
          <w:p w14:paraId="25CE2A2B" w14:textId="13C3ECD5" w:rsidR="003728E5" w:rsidRPr="00D923EC" w:rsidRDefault="00EE5DBC" w:rsidP="00B25FFA">
            <w:pPr>
              <w:jc w:val="center"/>
            </w:pPr>
            <w:r w:rsidRPr="00D923EC">
              <w:rPr>
                <w:szCs w:val="22"/>
              </w:rPr>
              <w:t>44</w:t>
            </w:r>
          </w:p>
        </w:tc>
        <w:tc>
          <w:tcPr>
            <w:tcW w:w="2303" w:type="dxa"/>
            <w:vAlign w:val="center"/>
          </w:tcPr>
          <w:p w14:paraId="71347ABA" w14:textId="3C340FB4" w:rsidR="003728E5" w:rsidRPr="00D923EC" w:rsidRDefault="00EE5DBC" w:rsidP="00B25FFA">
            <w:pPr>
              <w:jc w:val="center"/>
            </w:pPr>
            <w:r w:rsidRPr="00D923EC">
              <w:t>45</w:t>
            </w:r>
          </w:p>
        </w:tc>
        <w:tc>
          <w:tcPr>
            <w:tcW w:w="2303" w:type="dxa"/>
            <w:vAlign w:val="center"/>
          </w:tcPr>
          <w:p w14:paraId="055519E0" w14:textId="15EED2A1" w:rsidR="003728E5" w:rsidRPr="00D923EC" w:rsidRDefault="00D923EC" w:rsidP="00F827C3">
            <w:pPr>
              <w:jc w:val="center"/>
            </w:pPr>
            <w:r w:rsidRPr="00D923EC">
              <w:t>102,3%</w:t>
            </w:r>
          </w:p>
        </w:tc>
      </w:tr>
    </w:tbl>
    <w:p w14:paraId="0273DC38" w14:textId="77777777" w:rsidR="00A84610" w:rsidRPr="00595729" w:rsidRDefault="00A84610" w:rsidP="00A84610">
      <w:pPr>
        <w:spacing w:before="240" w:line="360" w:lineRule="auto"/>
        <w:jc w:val="both"/>
      </w:pPr>
    </w:p>
    <w:p w14:paraId="31D3F3C9" w14:textId="737AA47A" w:rsidR="0078345C" w:rsidRPr="00595729" w:rsidRDefault="0078345C" w:rsidP="00A84610">
      <w:pPr>
        <w:spacing w:before="240" w:line="360" w:lineRule="auto"/>
        <w:jc w:val="both"/>
      </w:pPr>
      <w:r w:rsidRPr="00D03882">
        <w:t>Celem działania Inspekcji Handlowej w Gdańsku była ochrona interesów i praw konsumentów oraz skuteczne egzekwowanie prawa konsumenckiego, a także zapewnienie wysokiego poziomu ochrony interesów gospodarczych państwa</w:t>
      </w:r>
      <w:r w:rsidRPr="00595729">
        <w:t xml:space="preserve">. Przeprowadzono </w:t>
      </w:r>
      <w:r w:rsidR="00D03882" w:rsidRPr="00595729">
        <w:t>830</w:t>
      </w:r>
      <w:r w:rsidRPr="00595729">
        <w:t xml:space="preserve"> kontro</w:t>
      </w:r>
      <w:r w:rsidR="00D03882" w:rsidRPr="00595729">
        <w:t>le</w:t>
      </w:r>
      <w:r w:rsidR="00965D7A" w:rsidRPr="00595729">
        <w:br/>
      </w:r>
      <w:r w:rsidRPr="00595729">
        <w:t>u przedsiębiorców prowadzących</w:t>
      </w:r>
      <w:r w:rsidR="00621442" w:rsidRPr="00595729">
        <w:t xml:space="preserve"> działalność handlową, usługową</w:t>
      </w:r>
      <w:r w:rsidRPr="00595729">
        <w:t xml:space="preserve"> i produkcyjną,</w:t>
      </w:r>
      <w:r w:rsidR="00621442" w:rsidRPr="00595729">
        <w:br/>
      </w:r>
      <w:r w:rsidRPr="00595729">
        <w:t xml:space="preserve">w tym: </w:t>
      </w:r>
      <w:r w:rsidR="00D03882" w:rsidRPr="00595729">
        <w:t>621</w:t>
      </w:r>
      <w:r w:rsidRPr="00595729">
        <w:t xml:space="preserve"> w placówkach handlu detalicznego, </w:t>
      </w:r>
      <w:r w:rsidR="00D03882" w:rsidRPr="00595729">
        <w:t>176</w:t>
      </w:r>
      <w:r w:rsidRPr="00595729">
        <w:t xml:space="preserve"> w punktach usługowych,</w:t>
      </w:r>
      <w:r w:rsidR="00621442" w:rsidRPr="00595729">
        <w:br/>
      </w:r>
      <w:r w:rsidR="005B6CDB" w:rsidRPr="00595729">
        <w:t>22</w:t>
      </w:r>
      <w:r w:rsidRPr="00595729">
        <w:t xml:space="preserve"> w hurtowniach żywnościowych i nieżywnościowych</w:t>
      </w:r>
      <w:r w:rsidR="00621442" w:rsidRPr="00595729">
        <w:t xml:space="preserve">, </w:t>
      </w:r>
      <w:r w:rsidR="00595729" w:rsidRPr="00595729">
        <w:t>6</w:t>
      </w:r>
      <w:r w:rsidR="00621442" w:rsidRPr="00595729">
        <w:t xml:space="preserve"> w zakładach produkcyjnych</w:t>
      </w:r>
      <w:r w:rsidR="00621442" w:rsidRPr="00595729">
        <w:br/>
        <w:t xml:space="preserve">i </w:t>
      </w:r>
      <w:r w:rsidR="00595729" w:rsidRPr="00595729">
        <w:t>5</w:t>
      </w:r>
      <w:r w:rsidRPr="00595729">
        <w:t xml:space="preserve"> u importer</w:t>
      </w:r>
      <w:r w:rsidR="00965D7A" w:rsidRPr="00595729">
        <w:t>a</w:t>
      </w:r>
      <w:r w:rsidRPr="00595729">
        <w:t>.</w:t>
      </w:r>
    </w:p>
    <w:p w14:paraId="2B3C3CA4" w14:textId="6FD88EC3" w:rsidR="0078345C" w:rsidRPr="00595729" w:rsidRDefault="0078345C" w:rsidP="0078345C">
      <w:pPr>
        <w:spacing w:line="360" w:lineRule="auto"/>
        <w:jc w:val="both"/>
      </w:pPr>
      <w:bookmarkStart w:id="0" w:name="_Hlk49856078"/>
      <w:r w:rsidRPr="00595729">
        <w:t xml:space="preserve">Ustalenia kontrolne dały podstawę do wydania </w:t>
      </w:r>
      <w:r w:rsidR="00595729" w:rsidRPr="00595729">
        <w:t>156</w:t>
      </w:r>
      <w:r w:rsidRPr="00595729">
        <w:t xml:space="preserve"> decyzji administracyjnych</w:t>
      </w:r>
      <w:bookmarkEnd w:id="0"/>
      <w:r w:rsidR="00621442" w:rsidRPr="00595729">
        <w:t xml:space="preserve"> </w:t>
      </w:r>
      <w:r w:rsidR="00595729" w:rsidRPr="00595729">
        <w:t xml:space="preserve">i </w:t>
      </w:r>
      <w:r w:rsidR="00621442" w:rsidRPr="00595729">
        <w:t>postanowień</w:t>
      </w:r>
      <w:r w:rsidR="00A84610" w:rsidRPr="00595729">
        <w:t xml:space="preserve">. </w:t>
      </w:r>
      <w:r w:rsidRPr="00595729">
        <w:t xml:space="preserve">W wyniku przeprowadzonych kontroli, wobec osób, które działały na szkodę konsumentów lub naruszały obowiązujące przepisy w obrocie i usługach </w:t>
      </w:r>
      <w:bookmarkStart w:id="1" w:name="_Hlk49856120"/>
      <w:r w:rsidRPr="00595729">
        <w:t>skierowano</w:t>
      </w:r>
      <w:r w:rsidR="00595729" w:rsidRPr="00595729">
        <w:t xml:space="preserve"> 8</w:t>
      </w:r>
      <w:r w:rsidR="00621442" w:rsidRPr="00595729">
        <w:t xml:space="preserve"> </w:t>
      </w:r>
      <w:r w:rsidRPr="00595729">
        <w:t xml:space="preserve">zawiadomień o podejrzeniu popełnienia przestępstwa do organów ścigania. Ponadto przekazano </w:t>
      </w:r>
      <w:r w:rsidR="00595729" w:rsidRPr="00595729">
        <w:t>13</w:t>
      </w:r>
      <w:r w:rsidR="00621442" w:rsidRPr="00595729">
        <w:t xml:space="preserve"> wniosków</w:t>
      </w:r>
      <w:r w:rsidRPr="00595729">
        <w:t xml:space="preserve"> o ukaranie do Sądów Rejonowych. W 202</w:t>
      </w:r>
      <w:r w:rsidR="00595729" w:rsidRPr="00595729">
        <w:t>4</w:t>
      </w:r>
      <w:r w:rsidRPr="00595729">
        <w:t xml:space="preserve"> r. </w:t>
      </w:r>
      <w:r w:rsidR="005B6CDB" w:rsidRPr="00595729">
        <w:t>28</w:t>
      </w:r>
      <w:r w:rsidRPr="00595729">
        <w:t xml:space="preserve"> uprawnionych inspektorów nałożyło </w:t>
      </w:r>
      <w:r w:rsidR="00595729" w:rsidRPr="00595729">
        <w:t>75</w:t>
      </w:r>
      <w:r w:rsidR="00621442" w:rsidRPr="00595729">
        <w:t xml:space="preserve"> mandat</w:t>
      </w:r>
      <w:r w:rsidR="00595729" w:rsidRPr="00595729">
        <w:t>ów</w:t>
      </w:r>
      <w:r w:rsidR="00621442" w:rsidRPr="00595729">
        <w:t xml:space="preserve"> karn</w:t>
      </w:r>
      <w:r w:rsidR="00595729" w:rsidRPr="00595729">
        <w:t>ych</w:t>
      </w:r>
      <w:r w:rsidRPr="00595729">
        <w:t xml:space="preserve">. </w:t>
      </w:r>
      <w:bookmarkStart w:id="2" w:name="_Hlk49856181"/>
      <w:bookmarkEnd w:id="1"/>
      <w:r w:rsidRPr="00595729">
        <w:t>W wyniku poczynionych ustaleń kontrolnych przekazano</w:t>
      </w:r>
      <w:r w:rsidR="00621442" w:rsidRPr="00595729">
        <w:t xml:space="preserve"> </w:t>
      </w:r>
      <w:r w:rsidR="00595729" w:rsidRPr="00595729">
        <w:t>10</w:t>
      </w:r>
      <w:r w:rsidR="00621442" w:rsidRPr="00595729">
        <w:t xml:space="preserve"> informacji</w:t>
      </w:r>
      <w:r w:rsidRPr="00595729">
        <w:t xml:space="preserve"> do innych organów kontrolnych (Urzędów Skarbowych, Urzędów Kontroli Skarbowej, Inspekcji Kontroli Jakości Handlowej Artykułów Rolno-Spożywczych, Powiatowych i Wojewódzkich Stacji Sanitarno – Epidemiologicznych i innych organów).</w:t>
      </w:r>
    </w:p>
    <w:bookmarkEnd w:id="2"/>
    <w:p w14:paraId="1A7BE9E8" w14:textId="77777777" w:rsidR="005B6CDB" w:rsidRPr="00976319" w:rsidRDefault="005B6CDB" w:rsidP="005B6CDB">
      <w:pPr>
        <w:spacing w:line="360" w:lineRule="auto"/>
        <w:jc w:val="both"/>
        <w:rPr>
          <w:color w:val="FF0000"/>
        </w:rPr>
      </w:pPr>
    </w:p>
    <w:p w14:paraId="40EF2928" w14:textId="27ABDEEF" w:rsidR="008A490D" w:rsidRPr="00595729" w:rsidRDefault="005B6CDB" w:rsidP="005B6CDB">
      <w:pPr>
        <w:spacing w:line="360" w:lineRule="auto"/>
        <w:jc w:val="both"/>
      </w:pPr>
      <w:r w:rsidRPr="00595729">
        <w:lastRenderedPageBreak/>
        <w:t>W ramach nadzoru nad wyrobami objętymi dyrektywami nowego podejścia przeprowadzono 3</w:t>
      </w:r>
      <w:r w:rsidR="00595729" w:rsidRPr="00595729">
        <w:t>4</w:t>
      </w:r>
      <w:r w:rsidRPr="00595729">
        <w:t xml:space="preserve"> kontrol</w:t>
      </w:r>
      <w:r w:rsidR="00595729" w:rsidRPr="00595729">
        <w:t>e</w:t>
      </w:r>
      <w:r w:rsidRPr="00595729">
        <w:t xml:space="preserve">, którymi objęto </w:t>
      </w:r>
      <w:r w:rsidR="00595729" w:rsidRPr="00595729">
        <w:t>72</w:t>
      </w:r>
      <w:r w:rsidRPr="00595729">
        <w:t xml:space="preserve"> partie wyrobów, w tym w szczególności: zabawki, sprzęt elektryczny i elektroniczny (adaptery podróżne, grille elektryczne, pompy ciepła, klimatyzatory, odkurzacze, ładowarki), maszyny (pilarki), środki ochrony indywidualnej (kaski ochronne do jazdy na rowerach, hulajnogach i deskorolkach, okulary przeciwsłoneczne, kombinezony dla płetwonurków), wyroby objęte dyrektywami dot. ekoprojektu (pompy ciepła), urządzenia gazowe (piecyki gazowe). Na objęte kontrolą </w:t>
      </w:r>
      <w:r w:rsidR="00595729" w:rsidRPr="00595729">
        <w:t>19</w:t>
      </w:r>
      <w:r w:rsidRPr="00595729">
        <w:t xml:space="preserve"> parti</w:t>
      </w:r>
      <w:r w:rsidR="00595729" w:rsidRPr="00595729">
        <w:t>i</w:t>
      </w:r>
      <w:r w:rsidRPr="00595729">
        <w:t xml:space="preserve"> wyrobów zakwestionowano </w:t>
      </w:r>
      <w:r w:rsidR="00595729" w:rsidRPr="00595729">
        <w:t>11</w:t>
      </w:r>
      <w:r w:rsidRPr="00595729">
        <w:t xml:space="preserve"> partii.</w:t>
      </w:r>
    </w:p>
    <w:p w14:paraId="49090336" w14:textId="77777777" w:rsidR="005B6CDB" w:rsidRPr="00171D0A" w:rsidRDefault="005B6CDB" w:rsidP="005B6CDB">
      <w:pPr>
        <w:spacing w:line="360" w:lineRule="auto"/>
        <w:jc w:val="both"/>
      </w:pPr>
    </w:p>
    <w:p w14:paraId="634DC210" w14:textId="77777777" w:rsidR="009223FA" w:rsidRPr="009223FA" w:rsidRDefault="005B6CDB" w:rsidP="00595729">
      <w:pPr>
        <w:spacing w:line="360" w:lineRule="auto"/>
        <w:jc w:val="both"/>
      </w:pPr>
      <w:r w:rsidRPr="009223FA">
        <w:t>W roku 202</w:t>
      </w:r>
      <w:r w:rsidR="00595729" w:rsidRPr="009223FA">
        <w:t>4</w:t>
      </w:r>
      <w:r w:rsidRPr="009223FA">
        <w:t xml:space="preserve"> w województwie pomorskim przeprowadzon</w:t>
      </w:r>
      <w:r w:rsidR="009223FA" w:rsidRPr="009223FA">
        <w:t>o:</w:t>
      </w:r>
    </w:p>
    <w:p w14:paraId="79A50E38" w14:textId="48A858DE" w:rsidR="00595729" w:rsidRPr="009223FA" w:rsidRDefault="00595729" w:rsidP="004553B5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223FA">
        <w:rPr>
          <w:rFonts w:ascii="Times New Roman" w:hAnsi="Times New Roman"/>
          <w:sz w:val="24"/>
          <w:szCs w:val="24"/>
        </w:rPr>
        <w:t>116</w:t>
      </w:r>
      <w:r w:rsidR="005B6CDB" w:rsidRPr="009223FA">
        <w:rPr>
          <w:rFonts w:ascii="Times New Roman" w:hAnsi="Times New Roman"/>
          <w:sz w:val="24"/>
          <w:szCs w:val="24"/>
        </w:rPr>
        <w:t xml:space="preserve"> kontroli jakości paliw ciekłych, </w:t>
      </w:r>
      <w:r w:rsidRPr="009223FA">
        <w:rPr>
          <w:rFonts w:ascii="Times New Roman" w:hAnsi="Times New Roman"/>
          <w:sz w:val="24"/>
          <w:szCs w:val="24"/>
        </w:rPr>
        <w:t>w toku których do badań w laboratorium pobrano 116 próbek paliw.</w:t>
      </w:r>
      <w:r w:rsidR="009223FA" w:rsidRPr="009223FA">
        <w:rPr>
          <w:rFonts w:ascii="Times New Roman" w:hAnsi="Times New Roman"/>
          <w:sz w:val="24"/>
          <w:szCs w:val="24"/>
        </w:rPr>
        <w:t xml:space="preserve"> </w:t>
      </w:r>
      <w:r w:rsidRPr="009223FA">
        <w:rPr>
          <w:rFonts w:ascii="Times New Roman" w:hAnsi="Times New Roman"/>
          <w:sz w:val="24"/>
          <w:szCs w:val="24"/>
        </w:rPr>
        <w:t>Na podstawie otrzymanych wyników badań ustalono,</w:t>
      </w:r>
      <w:r w:rsidR="009223FA" w:rsidRPr="009223FA">
        <w:rPr>
          <w:rFonts w:ascii="Times New Roman" w:hAnsi="Times New Roman"/>
          <w:sz w:val="24"/>
          <w:szCs w:val="24"/>
        </w:rPr>
        <w:br/>
      </w:r>
      <w:r w:rsidRPr="009223FA">
        <w:rPr>
          <w:rFonts w:ascii="Times New Roman" w:hAnsi="Times New Roman"/>
          <w:sz w:val="24"/>
          <w:szCs w:val="24"/>
        </w:rPr>
        <w:t>że obowiązujących wymagań jakościowych nie spełniała 1 badana próbka oleju napędowego. Kwestionowany parametr oleju napędowego – temperatura zapłonu.</w:t>
      </w:r>
      <w:r w:rsidR="009223FA" w:rsidRPr="009223FA">
        <w:rPr>
          <w:rFonts w:ascii="Times New Roman" w:hAnsi="Times New Roman"/>
          <w:sz w:val="24"/>
          <w:szCs w:val="24"/>
        </w:rPr>
        <w:t xml:space="preserve"> </w:t>
      </w:r>
      <w:r w:rsidRPr="00595729">
        <w:rPr>
          <w:rFonts w:ascii="Times New Roman" w:hAnsi="Times New Roman"/>
          <w:sz w:val="24"/>
          <w:szCs w:val="24"/>
        </w:rPr>
        <w:t>Ponadto, w toku kontroli jakości paliw sprawdzono spełnienie obowiązku posiadania koncesji oraz wpis do rejestru podmiotów przywożących z zagranicy. Stwierdzone nieprawidłowości przekazano do Prezesa Urzędu Regulacji Energetyki, Urzędu Celno-Skarbowego oraz właściwej miejscowo Prokuratury.</w:t>
      </w:r>
    </w:p>
    <w:p w14:paraId="51AFFD1D" w14:textId="4ED4CC07" w:rsidR="009223FA" w:rsidRPr="009223FA" w:rsidRDefault="009223FA" w:rsidP="009223FA">
      <w:pPr>
        <w:pStyle w:val="Akapitzlist"/>
        <w:numPr>
          <w:ilvl w:val="0"/>
          <w:numId w:val="21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9223FA">
        <w:rPr>
          <w:rFonts w:ascii="Times New Roman" w:hAnsi="Times New Roman"/>
          <w:sz w:val="24"/>
          <w:szCs w:val="24"/>
        </w:rPr>
        <w:t>47 kontroli jakości paliw stałych. W wyniku przeprowadzonych badań laboratoryjnych zakwestionowano 5 partii węgla z uwagi na niewłaściwą zawartość popiołu, wartość opałową, zawartość wilgoci całkowitej, zawartość podziarna. Do Prokuratur przekazano 4 zawiadomienia o podejrzeniu popełnienia przestępstwa, w których kwestionowano jakość paliw stałych. Wszyscy przedsiębiorcy podjęli skuteczne działania naprawcze, w wyniku ustaleń w zakresie nieprawidłowości w świadectwach jakości paliw stałych i świadczeniach o pochodzeniu węgla.</w:t>
      </w:r>
    </w:p>
    <w:p w14:paraId="4BC65092" w14:textId="24E84061" w:rsidR="009223FA" w:rsidRDefault="009223FA" w:rsidP="009223FA">
      <w:pPr>
        <w:pStyle w:val="Akapitzlist"/>
        <w:numPr>
          <w:ilvl w:val="0"/>
          <w:numId w:val="21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9223FA">
        <w:rPr>
          <w:rFonts w:ascii="Times New Roman" w:hAnsi="Times New Roman"/>
          <w:sz w:val="24"/>
          <w:szCs w:val="24"/>
        </w:rPr>
        <w:t xml:space="preserve">605 kontroli w obszarze artykułów nieżywnościowych i usług. Były to kontrole planowe, kontrole wynikające ze zgłoszeń konsumentów, tematy własne oraz kontrole poza planem, tzn. zlecone przez Prezesa UOKiK. Łącznie stwierdzono 221 nieprawidłowości. </w:t>
      </w:r>
    </w:p>
    <w:p w14:paraId="1C289467" w14:textId="1FBC8AA9" w:rsidR="009223FA" w:rsidRPr="009223FA" w:rsidRDefault="009223FA" w:rsidP="009223FA">
      <w:pPr>
        <w:pStyle w:val="Akapitzlist"/>
        <w:numPr>
          <w:ilvl w:val="0"/>
          <w:numId w:val="21"/>
        </w:numPr>
        <w:spacing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 kontroli w obszarze usług, hoteli, gastronomi, sprzedaży detalicznej w wyniku których stwierdzono 15 nieprawidłowości.</w:t>
      </w:r>
    </w:p>
    <w:p w14:paraId="0315F016" w14:textId="34261E85" w:rsidR="005B6CDB" w:rsidRPr="00B34DAA" w:rsidRDefault="005B6CDB" w:rsidP="00595729">
      <w:pPr>
        <w:spacing w:line="360" w:lineRule="auto"/>
        <w:jc w:val="both"/>
      </w:pPr>
    </w:p>
    <w:p w14:paraId="143A52FA" w14:textId="6CE9F074" w:rsidR="005B6CDB" w:rsidRPr="00B34DAA" w:rsidRDefault="005B6CDB" w:rsidP="005B6CDB">
      <w:pPr>
        <w:spacing w:line="360" w:lineRule="auto"/>
        <w:jc w:val="both"/>
      </w:pPr>
      <w:r w:rsidRPr="00B34DAA">
        <w:lastRenderedPageBreak/>
        <w:t>W toku działań podejmowanych w związku z zatrzymaniem wyrobów, co do których istnieją uzasadnione okoliczności wskazujące, że nie spełniają one wymagań objętych regulacjami wspólnotowego prawodawstwa harmonizacyjnego, w roku 202</w:t>
      </w:r>
      <w:r w:rsidR="00B34DAA" w:rsidRPr="00B34DAA">
        <w:t>4</w:t>
      </w:r>
      <w:r w:rsidRPr="00B34DAA">
        <w:t xml:space="preserve"> organa celno-skarbowe wystąpiły z </w:t>
      </w:r>
      <w:r w:rsidR="00B34DAA" w:rsidRPr="00B34DAA">
        <w:t>748</w:t>
      </w:r>
      <w:r w:rsidRPr="00B34DAA">
        <w:t xml:space="preserve"> wnioskami o wydanie opinii na podstawie których sporządzono </w:t>
      </w:r>
      <w:r w:rsidR="00B34DAA" w:rsidRPr="00B34DAA">
        <w:t>888</w:t>
      </w:r>
      <w:r w:rsidRPr="00B34DAA">
        <w:t xml:space="preserve"> opin</w:t>
      </w:r>
      <w:r w:rsidR="00B34DAA" w:rsidRPr="00B34DAA">
        <w:t>ii</w:t>
      </w:r>
      <w:r w:rsidRPr="00B34DAA">
        <w:t xml:space="preserve">. Zgłoszone przez organa celne wnioski dotyczyły zatrzymania </w:t>
      </w:r>
      <w:r w:rsidR="00B34DAA" w:rsidRPr="00B34DAA">
        <w:t>2.144</w:t>
      </w:r>
      <w:r w:rsidRPr="00B34DAA">
        <w:t xml:space="preserve"> partii wyrobów.</w:t>
      </w:r>
      <w:r w:rsidR="00B34DAA" w:rsidRPr="00B34DAA">
        <w:t xml:space="preserve"> Organom celnym przekazan</w:t>
      </w:r>
      <w:r w:rsidR="00B34DAA">
        <w:t>o</w:t>
      </w:r>
      <w:r w:rsidR="00B34DAA" w:rsidRPr="00B34DAA">
        <w:t xml:space="preserve"> 299 opinii pozytywnych (w tym 183 po podjętych przez importerów działaniach naprawczych), co stanowi 35%.</w:t>
      </w:r>
    </w:p>
    <w:p w14:paraId="1A1F6CA2" w14:textId="77777777" w:rsidR="005B6CDB" w:rsidRPr="002847D2" w:rsidRDefault="005B6CDB" w:rsidP="005B6CDB">
      <w:pPr>
        <w:spacing w:line="360" w:lineRule="auto"/>
        <w:jc w:val="both"/>
      </w:pPr>
    </w:p>
    <w:p w14:paraId="3FA433D3" w14:textId="1D8F1582" w:rsidR="005B6CDB" w:rsidRPr="002847D2" w:rsidRDefault="005B6CDB" w:rsidP="005B6CDB">
      <w:pPr>
        <w:spacing w:line="360" w:lineRule="auto"/>
        <w:jc w:val="both"/>
      </w:pPr>
      <w:r w:rsidRPr="002847D2">
        <w:t>W 202</w:t>
      </w:r>
      <w:r w:rsidR="002847D2">
        <w:t>4</w:t>
      </w:r>
      <w:r w:rsidRPr="002847D2">
        <w:t xml:space="preserve"> roku do Inspekcji Handlowej w Gdańsku wpłynęło łącznie </w:t>
      </w:r>
      <w:r w:rsidR="00B34DAA" w:rsidRPr="002847D2">
        <w:t>321</w:t>
      </w:r>
      <w:r w:rsidRPr="002847D2">
        <w:t xml:space="preserve"> wniosków o wszczęcie postępowań w sprawie pozasądowego rozwiązywania sporów konsumenckich. Wnioski były składane wyłącznie przez konsumentów. Przeprowadzono </w:t>
      </w:r>
      <w:r w:rsidR="00B34DAA" w:rsidRPr="002847D2">
        <w:t>203</w:t>
      </w:r>
      <w:r w:rsidRPr="002847D2">
        <w:t xml:space="preserve"> postępowań w sprawie pozasądowego rozwiązywania sporów konsumenckich; </w:t>
      </w:r>
      <w:r w:rsidR="00B34DAA" w:rsidRPr="002847D2">
        <w:t xml:space="preserve">56,65 </w:t>
      </w:r>
      <w:r w:rsidRPr="002847D2">
        <w:t>% sporów cywilnoprawnych zostało zakończonych polubownie.</w:t>
      </w:r>
    </w:p>
    <w:p w14:paraId="57505B6C" w14:textId="77777777" w:rsidR="00C16D11" w:rsidRPr="002847D2" w:rsidRDefault="00C16D11" w:rsidP="005B6CDB">
      <w:pPr>
        <w:spacing w:line="360" w:lineRule="auto"/>
        <w:jc w:val="both"/>
      </w:pPr>
    </w:p>
    <w:p w14:paraId="1B7D841B" w14:textId="4003785F" w:rsidR="002847D2" w:rsidRPr="002847D2" w:rsidRDefault="00C16D11" w:rsidP="002847D2">
      <w:pPr>
        <w:spacing w:line="360" w:lineRule="auto"/>
        <w:jc w:val="both"/>
      </w:pPr>
      <w:r w:rsidRPr="002847D2">
        <w:t>W 202</w:t>
      </w:r>
      <w:r w:rsidR="002847D2">
        <w:t>4</w:t>
      </w:r>
      <w:r w:rsidRPr="002847D2">
        <w:t xml:space="preserve"> r. do Stałego Sądu Polubownego przy Pomorskim Wojewódzkim Inspektorze Inspekcji Handlowej wpłynęło </w:t>
      </w:r>
      <w:r w:rsidR="002847D2" w:rsidRPr="002847D2">
        <w:t>58</w:t>
      </w:r>
      <w:r w:rsidRPr="002847D2">
        <w:t xml:space="preserve"> wniosków o rozpoznanie spraw. Wszystkie wnioski zostały złożone przez konsumentów. </w:t>
      </w:r>
      <w:r w:rsidR="002847D2" w:rsidRPr="002847D2">
        <w:t>Złożone wnioski dotyczyły działalności handlowej (39 spraw) oraz usługowej (19 spraw). Na zakończonych 59 postępowań 11 spraw zakończono ugodami,</w:t>
      </w:r>
      <w:r w:rsidR="002847D2" w:rsidRPr="002847D2">
        <w:br/>
        <w:t>25 spraw zakończono negatywnie dla konsumenta ze względów formalnych. Pozostałe sprawy są w toku.</w:t>
      </w:r>
    </w:p>
    <w:p w14:paraId="0E0F7659" w14:textId="3941B562" w:rsidR="00C16D11" w:rsidRPr="002847D2" w:rsidRDefault="00C16D11" w:rsidP="002847D2">
      <w:pPr>
        <w:spacing w:line="360" w:lineRule="auto"/>
        <w:jc w:val="both"/>
      </w:pPr>
    </w:p>
    <w:sectPr w:rsidR="00C16D11" w:rsidRPr="002847D2" w:rsidSect="004336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FA00" w14:textId="77777777" w:rsidR="00AD3AA2" w:rsidRDefault="00AD3AA2" w:rsidP="00C72F39">
      <w:r>
        <w:separator/>
      </w:r>
    </w:p>
  </w:endnote>
  <w:endnote w:type="continuationSeparator" w:id="0">
    <w:p w14:paraId="63670685" w14:textId="77777777" w:rsidR="00AD3AA2" w:rsidRDefault="00AD3AA2" w:rsidP="00C7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5C1B" w14:textId="77777777" w:rsidR="00AD3AA2" w:rsidRDefault="00AD3AA2" w:rsidP="00C72F39">
      <w:r>
        <w:separator/>
      </w:r>
    </w:p>
  </w:footnote>
  <w:footnote w:type="continuationSeparator" w:id="0">
    <w:p w14:paraId="07C6A27D" w14:textId="77777777" w:rsidR="00AD3AA2" w:rsidRDefault="00AD3AA2" w:rsidP="00C7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92C2" w14:textId="77777777" w:rsidR="00C72F39" w:rsidRPr="005632AB" w:rsidRDefault="005632AB">
    <w:pPr>
      <w:pStyle w:val="Nagwek"/>
      <w:rPr>
        <w:sz w:val="18"/>
      </w:rPr>
    </w:pPr>
    <w:r>
      <w:rPr>
        <w:sz w:val="18"/>
      </w:rPr>
      <w:t xml:space="preserve">Część </w:t>
    </w:r>
    <w:r w:rsidR="00C72F39" w:rsidRPr="005632AB">
      <w:rPr>
        <w:sz w:val="18"/>
      </w:rPr>
      <w:t xml:space="preserve">85/22 </w:t>
    </w:r>
    <w:r>
      <w:rPr>
        <w:sz w:val="18"/>
      </w:rPr>
      <w:t>- W</w:t>
    </w:r>
    <w:r w:rsidR="00C72F39" w:rsidRPr="005632AB">
      <w:rPr>
        <w:sz w:val="18"/>
      </w:rPr>
      <w:t>ojewództwo pomorskie</w:t>
    </w:r>
  </w:p>
  <w:p w14:paraId="6C43F663" w14:textId="77777777" w:rsidR="00C72F39" w:rsidRDefault="00C72F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B3A"/>
    <w:multiLevelType w:val="hybridMultilevel"/>
    <w:tmpl w:val="13063A96"/>
    <w:lvl w:ilvl="0" w:tplc="0415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F9A41A9"/>
    <w:multiLevelType w:val="singleLevel"/>
    <w:tmpl w:val="DD3CE41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FD227E8"/>
    <w:multiLevelType w:val="hybridMultilevel"/>
    <w:tmpl w:val="5C28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B7289"/>
    <w:multiLevelType w:val="hybridMultilevel"/>
    <w:tmpl w:val="6E36728A"/>
    <w:lvl w:ilvl="0" w:tplc="0D2EF028">
      <w:start w:val="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83FCB"/>
    <w:multiLevelType w:val="hybridMultilevel"/>
    <w:tmpl w:val="8844442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C20A5"/>
    <w:multiLevelType w:val="hybridMultilevel"/>
    <w:tmpl w:val="436CF4CE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443E"/>
    <w:multiLevelType w:val="hybridMultilevel"/>
    <w:tmpl w:val="DF22B0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66506"/>
    <w:multiLevelType w:val="hybridMultilevel"/>
    <w:tmpl w:val="E3B2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C61B8"/>
    <w:multiLevelType w:val="hybridMultilevel"/>
    <w:tmpl w:val="319467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3CCA"/>
    <w:multiLevelType w:val="hybridMultilevel"/>
    <w:tmpl w:val="AAC840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21C5B"/>
    <w:multiLevelType w:val="hybridMultilevel"/>
    <w:tmpl w:val="E93893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643A9"/>
    <w:multiLevelType w:val="hybridMultilevel"/>
    <w:tmpl w:val="EEBE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227FD"/>
    <w:multiLevelType w:val="hybridMultilevel"/>
    <w:tmpl w:val="BB56536A"/>
    <w:lvl w:ilvl="0" w:tplc="F58A79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F5136"/>
    <w:multiLevelType w:val="hybridMultilevel"/>
    <w:tmpl w:val="5A7A88F4"/>
    <w:lvl w:ilvl="0" w:tplc="F2DC8B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356EFD"/>
    <w:multiLevelType w:val="hybridMultilevel"/>
    <w:tmpl w:val="74963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527C6"/>
    <w:multiLevelType w:val="hybridMultilevel"/>
    <w:tmpl w:val="6166DF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57B3F"/>
    <w:multiLevelType w:val="hybridMultilevel"/>
    <w:tmpl w:val="0C78A5EE"/>
    <w:lvl w:ilvl="0" w:tplc="F58A79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4E84"/>
    <w:multiLevelType w:val="hybridMultilevel"/>
    <w:tmpl w:val="ED56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A15F9"/>
    <w:multiLevelType w:val="hybridMultilevel"/>
    <w:tmpl w:val="88BE79F2"/>
    <w:lvl w:ilvl="0" w:tplc="ABEE5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620BE"/>
    <w:multiLevelType w:val="hybridMultilevel"/>
    <w:tmpl w:val="8D1CEC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965932"/>
    <w:multiLevelType w:val="hybridMultilevel"/>
    <w:tmpl w:val="E7B8062E"/>
    <w:styleLink w:val="WW8Num141"/>
    <w:lvl w:ilvl="0" w:tplc="C0CE1CBA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881E8582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num w:numId="1" w16cid:durableId="923688805">
    <w:abstractNumId w:val="18"/>
  </w:num>
  <w:num w:numId="2" w16cid:durableId="1067343197">
    <w:abstractNumId w:val="19"/>
  </w:num>
  <w:num w:numId="3" w16cid:durableId="535700755">
    <w:abstractNumId w:val="11"/>
  </w:num>
  <w:num w:numId="4" w16cid:durableId="1191382566">
    <w:abstractNumId w:val="5"/>
  </w:num>
  <w:num w:numId="5" w16cid:durableId="1387072053">
    <w:abstractNumId w:val="13"/>
  </w:num>
  <w:num w:numId="6" w16cid:durableId="1529828353">
    <w:abstractNumId w:val="12"/>
  </w:num>
  <w:num w:numId="7" w16cid:durableId="299113029">
    <w:abstractNumId w:val="16"/>
  </w:num>
  <w:num w:numId="8" w16cid:durableId="822240401">
    <w:abstractNumId w:val="3"/>
  </w:num>
  <w:num w:numId="9" w16cid:durableId="1116825560">
    <w:abstractNumId w:val="0"/>
  </w:num>
  <w:num w:numId="10" w16cid:durableId="276061247">
    <w:abstractNumId w:val="6"/>
  </w:num>
  <w:num w:numId="11" w16cid:durableId="72045028">
    <w:abstractNumId w:val="9"/>
  </w:num>
  <w:num w:numId="12" w16cid:durableId="1727601059">
    <w:abstractNumId w:val="10"/>
  </w:num>
  <w:num w:numId="13" w16cid:durableId="529032218">
    <w:abstractNumId w:val="2"/>
  </w:num>
  <w:num w:numId="14" w16cid:durableId="946348269">
    <w:abstractNumId w:val="14"/>
  </w:num>
  <w:num w:numId="15" w16cid:durableId="1789808890">
    <w:abstractNumId w:val="8"/>
  </w:num>
  <w:num w:numId="16" w16cid:durableId="356126095">
    <w:abstractNumId w:val="15"/>
  </w:num>
  <w:num w:numId="17" w16cid:durableId="2043049524">
    <w:abstractNumId w:val="1"/>
  </w:num>
  <w:num w:numId="18" w16cid:durableId="614870349">
    <w:abstractNumId w:val="20"/>
    <w:lvlOverride w:ilvl="0">
      <w:lvl w:ilvl="0" w:tplc="C0CE1CBA">
        <w:numFmt w:val="decimal"/>
        <w:lvlText w:val=""/>
        <w:lvlJc w:val="left"/>
      </w:lvl>
    </w:lvlOverride>
    <w:lvlOverride w:ilvl="1">
      <w:lvl w:ilvl="1" w:tplc="881E8582">
        <w:start w:val="1"/>
        <w:numFmt w:val="bullet"/>
        <w:lvlText w:val=""/>
        <w:lvlJc w:val="left"/>
        <w:pPr>
          <w:tabs>
            <w:tab w:val="num" w:pos="1867"/>
          </w:tabs>
          <w:ind w:left="1867" w:hanging="360"/>
        </w:pPr>
        <w:rPr>
          <w:rFonts w:ascii="Symbol" w:hAnsi="Symbol" w:hint="default"/>
          <w:color w:val="auto"/>
        </w:rPr>
      </w:lvl>
    </w:lvlOverride>
  </w:num>
  <w:num w:numId="19" w16cid:durableId="1175464279">
    <w:abstractNumId w:val="7"/>
  </w:num>
  <w:num w:numId="20" w16cid:durableId="1670596174">
    <w:abstractNumId w:val="20"/>
  </w:num>
  <w:num w:numId="21" w16cid:durableId="1249848468">
    <w:abstractNumId w:val="17"/>
  </w:num>
  <w:num w:numId="22" w16cid:durableId="23778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50"/>
    <w:rsid w:val="00001F7E"/>
    <w:rsid w:val="0001194B"/>
    <w:rsid w:val="00014261"/>
    <w:rsid w:val="000162B6"/>
    <w:rsid w:val="00017EBE"/>
    <w:rsid w:val="0002387C"/>
    <w:rsid w:val="00025BEE"/>
    <w:rsid w:val="000306A8"/>
    <w:rsid w:val="00032173"/>
    <w:rsid w:val="00040C6D"/>
    <w:rsid w:val="00042625"/>
    <w:rsid w:val="00043178"/>
    <w:rsid w:val="000452C7"/>
    <w:rsid w:val="0004552C"/>
    <w:rsid w:val="00051DDD"/>
    <w:rsid w:val="0006418F"/>
    <w:rsid w:val="0007164C"/>
    <w:rsid w:val="0008400A"/>
    <w:rsid w:val="00087E78"/>
    <w:rsid w:val="0009235B"/>
    <w:rsid w:val="0009329E"/>
    <w:rsid w:val="000A59B0"/>
    <w:rsid w:val="000C61A7"/>
    <w:rsid w:val="000C72C6"/>
    <w:rsid w:val="000D1FEF"/>
    <w:rsid w:val="000D211C"/>
    <w:rsid w:val="000D21A7"/>
    <w:rsid w:val="000D2289"/>
    <w:rsid w:val="000E2C4A"/>
    <w:rsid w:val="000E68A9"/>
    <w:rsid w:val="000F6E17"/>
    <w:rsid w:val="001047CE"/>
    <w:rsid w:val="00132030"/>
    <w:rsid w:val="001321B6"/>
    <w:rsid w:val="0013266A"/>
    <w:rsid w:val="001342B7"/>
    <w:rsid w:val="00136B12"/>
    <w:rsid w:val="0014222C"/>
    <w:rsid w:val="00152974"/>
    <w:rsid w:val="00154DC9"/>
    <w:rsid w:val="0015556E"/>
    <w:rsid w:val="00156804"/>
    <w:rsid w:val="00162966"/>
    <w:rsid w:val="00171D0A"/>
    <w:rsid w:val="001768E0"/>
    <w:rsid w:val="001916EB"/>
    <w:rsid w:val="00196FBC"/>
    <w:rsid w:val="001A517F"/>
    <w:rsid w:val="001B4B94"/>
    <w:rsid w:val="001B5FB4"/>
    <w:rsid w:val="001B65E4"/>
    <w:rsid w:val="001D0A43"/>
    <w:rsid w:val="001D26B4"/>
    <w:rsid w:val="001D68FE"/>
    <w:rsid w:val="001E1DB4"/>
    <w:rsid w:val="001E5686"/>
    <w:rsid w:val="002024F5"/>
    <w:rsid w:val="0020273C"/>
    <w:rsid w:val="00206CFE"/>
    <w:rsid w:val="00210971"/>
    <w:rsid w:val="002111FE"/>
    <w:rsid w:val="00213B01"/>
    <w:rsid w:val="00214BC1"/>
    <w:rsid w:val="00225F76"/>
    <w:rsid w:val="00243D61"/>
    <w:rsid w:val="002471D9"/>
    <w:rsid w:val="00250168"/>
    <w:rsid w:val="00252EA5"/>
    <w:rsid w:val="0025735C"/>
    <w:rsid w:val="00257610"/>
    <w:rsid w:val="00260F7C"/>
    <w:rsid w:val="0026280E"/>
    <w:rsid w:val="00266D7E"/>
    <w:rsid w:val="00271793"/>
    <w:rsid w:val="0027259F"/>
    <w:rsid w:val="002764B0"/>
    <w:rsid w:val="00283741"/>
    <w:rsid w:val="002847D2"/>
    <w:rsid w:val="002A2F31"/>
    <w:rsid w:val="002A369A"/>
    <w:rsid w:val="002A5815"/>
    <w:rsid w:val="002B52CD"/>
    <w:rsid w:val="002C20F8"/>
    <w:rsid w:val="002C20FE"/>
    <w:rsid w:val="002C306D"/>
    <w:rsid w:val="002C79D1"/>
    <w:rsid w:val="002D2748"/>
    <w:rsid w:val="002D3415"/>
    <w:rsid w:val="002D3DCD"/>
    <w:rsid w:val="002E3FD6"/>
    <w:rsid w:val="002E74F7"/>
    <w:rsid w:val="002F26EF"/>
    <w:rsid w:val="00303540"/>
    <w:rsid w:val="00310029"/>
    <w:rsid w:val="003139DE"/>
    <w:rsid w:val="00315355"/>
    <w:rsid w:val="00320B25"/>
    <w:rsid w:val="003233D8"/>
    <w:rsid w:val="00340C1E"/>
    <w:rsid w:val="00342D9E"/>
    <w:rsid w:val="00343A63"/>
    <w:rsid w:val="003519D9"/>
    <w:rsid w:val="00351C2B"/>
    <w:rsid w:val="00361ECD"/>
    <w:rsid w:val="0036280D"/>
    <w:rsid w:val="003677FC"/>
    <w:rsid w:val="00370E5C"/>
    <w:rsid w:val="003728E5"/>
    <w:rsid w:val="00374F9F"/>
    <w:rsid w:val="0037563B"/>
    <w:rsid w:val="0037659B"/>
    <w:rsid w:val="00376D8F"/>
    <w:rsid w:val="00377345"/>
    <w:rsid w:val="0038417A"/>
    <w:rsid w:val="00385C3A"/>
    <w:rsid w:val="00387BCB"/>
    <w:rsid w:val="00391CD8"/>
    <w:rsid w:val="00393848"/>
    <w:rsid w:val="003948F5"/>
    <w:rsid w:val="003A12AF"/>
    <w:rsid w:val="003A14D7"/>
    <w:rsid w:val="003A75D6"/>
    <w:rsid w:val="003A7BE5"/>
    <w:rsid w:val="003B0A29"/>
    <w:rsid w:val="003B0F58"/>
    <w:rsid w:val="003B35B4"/>
    <w:rsid w:val="003B4870"/>
    <w:rsid w:val="003C3343"/>
    <w:rsid w:val="003C6DC1"/>
    <w:rsid w:val="003D01F6"/>
    <w:rsid w:val="003D5D74"/>
    <w:rsid w:val="003E10B8"/>
    <w:rsid w:val="003E4C60"/>
    <w:rsid w:val="003E62D6"/>
    <w:rsid w:val="003F0063"/>
    <w:rsid w:val="003F08F3"/>
    <w:rsid w:val="00400491"/>
    <w:rsid w:val="00402EC9"/>
    <w:rsid w:val="004068A2"/>
    <w:rsid w:val="00411A65"/>
    <w:rsid w:val="00420173"/>
    <w:rsid w:val="004313A4"/>
    <w:rsid w:val="004336AB"/>
    <w:rsid w:val="00433F56"/>
    <w:rsid w:val="0043561C"/>
    <w:rsid w:val="00445DFE"/>
    <w:rsid w:val="00450C86"/>
    <w:rsid w:val="004545E9"/>
    <w:rsid w:val="004616B4"/>
    <w:rsid w:val="00462FEF"/>
    <w:rsid w:val="004638D1"/>
    <w:rsid w:val="00465D08"/>
    <w:rsid w:val="004701EC"/>
    <w:rsid w:val="00476F0A"/>
    <w:rsid w:val="00477972"/>
    <w:rsid w:val="00481BCF"/>
    <w:rsid w:val="0048228F"/>
    <w:rsid w:val="00485519"/>
    <w:rsid w:val="00490D5B"/>
    <w:rsid w:val="00493724"/>
    <w:rsid w:val="00494137"/>
    <w:rsid w:val="00495844"/>
    <w:rsid w:val="004977E4"/>
    <w:rsid w:val="004A653F"/>
    <w:rsid w:val="004B0EDB"/>
    <w:rsid w:val="004B70D1"/>
    <w:rsid w:val="004B72DE"/>
    <w:rsid w:val="004C0EF0"/>
    <w:rsid w:val="004C4F6F"/>
    <w:rsid w:val="004D0802"/>
    <w:rsid w:val="004D27EA"/>
    <w:rsid w:val="004D2EBE"/>
    <w:rsid w:val="004E0ACC"/>
    <w:rsid w:val="004E43C4"/>
    <w:rsid w:val="004E7EC4"/>
    <w:rsid w:val="004F4544"/>
    <w:rsid w:val="004F6B4F"/>
    <w:rsid w:val="005073B1"/>
    <w:rsid w:val="005106AA"/>
    <w:rsid w:val="005122B1"/>
    <w:rsid w:val="0051385C"/>
    <w:rsid w:val="00520823"/>
    <w:rsid w:val="00523E96"/>
    <w:rsid w:val="00525EF3"/>
    <w:rsid w:val="00535E94"/>
    <w:rsid w:val="0055169C"/>
    <w:rsid w:val="00555177"/>
    <w:rsid w:val="00560469"/>
    <w:rsid w:val="005626D2"/>
    <w:rsid w:val="005632AB"/>
    <w:rsid w:val="00565C66"/>
    <w:rsid w:val="0057227E"/>
    <w:rsid w:val="00572D44"/>
    <w:rsid w:val="00574735"/>
    <w:rsid w:val="0057654B"/>
    <w:rsid w:val="00582240"/>
    <w:rsid w:val="0058339E"/>
    <w:rsid w:val="00583BE0"/>
    <w:rsid w:val="00587D9C"/>
    <w:rsid w:val="00595729"/>
    <w:rsid w:val="005A4AE2"/>
    <w:rsid w:val="005A550D"/>
    <w:rsid w:val="005A6A42"/>
    <w:rsid w:val="005B12A2"/>
    <w:rsid w:val="005B6CDB"/>
    <w:rsid w:val="005C4F95"/>
    <w:rsid w:val="005D176B"/>
    <w:rsid w:val="005E1F1F"/>
    <w:rsid w:val="005E35EE"/>
    <w:rsid w:val="00616593"/>
    <w:rsid w:val="00621442"/>
    <w:rsid w:val="0062634E"/>
    <w:rsid w:val="00627D66"/>
    <w:rsid w:val="00633CE2"/>
    <w:rsid w:val="00634332"/>
    <w:rsid w:val="006422B1"/>
    <w:rsid w:val="006600BF"/>
    <w:rsid w:val="00662CBE"/>
    <w:rsid w:val="00672F08"/>
    <w:rsid w:val="006758A5"/>
    <w:rsid w:val="00676F56"/>
    <w:rsid w:val="00680678"/>
    <w:rsid w:val="00685DD9"/>
    <w:rsid w:val="00686E80"/>
    <w:rsid w:val="006958D9"/>
    <w:rsid w:val="00696B68"/>
    <w:rsid w:val="006B33F7"/>
    <w:rsid w:val="006D45E9"/>
    <w:rsid w:val="006D52D6"/>
    <w:rsid w:val="006E5BC2"/>
    <w:rsid w:val="006F14A1"/>
    <w:rsid w:val="006F35A6"/>
    <w:rsid w:val="006F7E03"/>
    <w:rsid w:val="00700EFA"/>
    <w:rsid w:val="00706806"/>
    <w:rsid w:val="0075777F"/>
    <w:rsid w:val="0076198C"/>
    <w:rsid w:val="00762E79"/>
    <w:rsid w:val="00776530"/>
    <w:rsid w:val="00776E7C"/>
    <w:rsid w:val="0078345C"/>
    <w:rsid w:val="00785FBE"/>
    <w:rsid w:val="007932BF"/>
    <w:rsid w:val="00793406"/>
    <w:rsid w:val="007A42A8"/>
    <w:rsid w:val="007B262F"/>
    <w:rsid w:val="007B3F8F"/>
    <w:rsid w:val="007B5549"/>
    <w:rsid w:val="007C030B"/>
    <w:rsid w:val="007C2FE2"/>
    <w:rsid w:val="007D0C83"/>
    <w:rsid w:val="007E0D2C"/>
    <w:rsid w:val="007F632C"/>
    <w:rsid w:val="008007C8"/>
    <w:rsid w:val="00813957"/>
    <w:rsid w:val="008152C4"/>
    <w:rsid w:val="0082259C"/>
    <w:rsid w:val="00823021"/>
    <w:rsid w:val="008232B6"/>
    <w:rsid w:val="00836DE3"/>
    <w:rsid w:val="00836E80"/>
    <w:rsid w:val="00837810"/>
    <w:rsid w:val="0084663C"/>
    <w:rsid w:val="00846948"/>
    <w:rsid w:val="0085063C"/>
    <w:rsid w:val="00863455"/>
    <w:rsid w:val="00870D85"/>
    <w:rsid w:val="00873838"/>
    <w:rsid w:val="00877732"/>
    <w:rsid w:val="00881D76"/>
    <w:rsid w:val="00882923"/>
    <w:rsid w:val="00885C17"/>
    <w:rsid w:val="00895B54"/>
    <w:rsid w:val="008A490D"/>
    <w:rsid w:val="008B0E78"/>
    <w:rsid w:val="008B21B5"/>
    <w:rsid w:val="008B31AA"/>
    <w:rsid w:val="008B3F8C"/>
    <w:rsid w:val="008B55B1"/>
    <w:rsid w:val="008C6768"/>
    <w:rsid w:val="008D62E8"/>
    <w:rsid w:val="008F11FD"/>
    <w:rsid w:val="008F2855"/>
    <w:rsid w:val="009111AD"/>
    <w:rsid w:val="009119F8"/>
    <w:rsid w:val="00916C99"/>
    <w:rsid w:val="0092098B"/>
    <w:rsid w:val="0092139B"/>
    <w:rsid w:val="009223FA"/>
    <w:rsid w:val="009228F2"/>
    <w:rsid w:val="009243E1"/>
    <w:rsid w:val="00924B2C"/>
    <w:rsid w:val="0093441D"/>
    <w:rsid w:val="009363F0"/>
    <w:rsid w:val="00941FA7"/>
    <w:rsid w:val="00942653"/>
    <w:rsid w:val="009456E2"/>
    <w:rsid w:val="00947CC3"/>
    <w:rsid w:val="00950525"/>
    <w:rsid w:val="00951A45"/>
    <w:rsid w:val="00951FC5"/>
    <w:rsid w:val="00952B50"/>
    <w:rsid w:val="0095526A"/>
    <w:rsid w:val="00955DA1"/>
    <w:rsid w:val="00965D7A"/>
    <w:rsid w:val="00966B71"/>
    <w:rsid w:val="00975494"/>
    <w:rsid w:val="00976319"/>
    <w:rsid w:val="00981DB1"/>
    <w:rsid w:val="00990899"/>
    <w:rsid w:val="00992064"/>
    <w:rsid w:val="0099412A"/>
    <w:rsid w:val="0099494B"/>
    <w:rsid w:val="009A06F5"/>
    <w:rsid w:val="009A43AD"/>
    <w:rsid w:val="009A7143"/>
    <w:rsid w:val="009C5260"/>
    <w:rsid w:val="009C63F4"/>
    <w:rsid w:val="009E2A34"/>
    <w:rsid w:val="009E5492"/>
    <w:rsid w:val="009F2ABB"/>
    <w:rsid w:val="00A00834"/>
    <w:rsid w:val="00A11170"/>
    <w:rsid w:val="00A20359"/>
    <w:rsid w:val="00A2285D"/>
    <w:rsid w:val="00A274D5"/>
    <w:rsid w:val="00A313B6"/>
    <w:rsid w:val="00A3281C"/>
    <w:rsid w:val="00A34E59"/>
    <w:rsid w:val="00A52062"/>
    <w:rsid w:val="00A57EBF"/>
    <w:rsid w:val="00A65ED0"/>
    <w:rsid w:val="00A70B3B"/>
    <w:rsid w:val="00A7101E"/>
    <w:rsid w:val="00A73EE9"/>
    <w:rsid w:val="00A84610"/>
    <w:rsid w:val="00A965D0"/>
    <w:rsid w:val="00AA0443"/>
    <w:rsid w:val="00AA22A6"/>
    <w:rsid w:val="00AA3652"/>
    <w:rsid w:val="00AA461E"/>
    <w:rsid w:val="00AB0AB6"/>
    <w:rsid w:val="00AB39BE"/>
    <w:rsid w:val="00AC3A1D"/>
    <w:rsid w:val="00AD08C8"/>
    <w:rsid w:val="00AD3AA2"/>
    <w:rsid w:val="00AD549E"/>
    <w:rsid w:val="00AE1839"/>
    <w:rsid w:val="00AE1876"/>
    <w:rsid w:val="00AE3FE6"/>
    <w:rsid w:val="00AF1B50"/>
    <w:rsid w:val="00B00F1E"/>
    <w:rsid w:val="00B02E06"/>
    <w:rsid w:val="00B04CED"/>
    <w:rsid w:val="00B103D6"/>
    <w:rsid w:val="00B11AF6"/>
    <w:rsid w:val="00B1345F"/>
    <w:rsid w:val="00B17163"/>
    <w:rsid w:val="00B262D0"/>
    <w:rsid w:val="00B27B8D"/>
    <w:rsid w:val="00B30D4B"/>
    <w:rsid w:val="00B34846"/>
    <w:rsid w:val="00B34DAA"/>
    <w:rsid w:val="00B40A63"/>
    <w:rsid w:val="00B472D7"/>
    <w:rsid w:val="00B543C8"/>
    <w:rsid w:val="00B6141F"/>
    <w:rsid w:val="00B628E8"/>
    <w:rsid w:val="00B6299A"/>
    <w:rsid w:val="00B67123"/>
    <w:rsid w:val="00B67D21"/>
    <w:rsid w:val="00B71477"/>
    <w:rsid w:val="00B72C12"/>
    <w:rsid w:val="00B735FD"/>
    <w:rsid w:val="00B90DF8"/>
    <w:rsid w:val="00B9727C"/>
    <w:rsid w:val="00BA0373"/>
    <w:rsid w:val="00BA614C"/>
    <w:rsid w:val="00BC41A1"/>
    <w:rsid w:val="00BC4410"/>
    <w:rsid w:val="00BC59FE"/>
    <w:rsid w:val="00BD327D"/>
    <w:rsid w:val="00BF5EEC"/>
    <w:rsid w:val="00C05008"/>
    <w:rsid w:val="00C127CA"/>
    <w:rsid w:val="00C16D11"/>
    <w:rsid w:val="00C177D8"/>
    <w:rsid w:val="00C40EEB"/>
    <w:rsid w:val="00C4651D"/>
    <w:rsid w:val="00C5041E"/>
    <w:rsid w:val="00C50D0D"/>
    <w:rsid w:val="00C65683"/>
    <w:rsid w:val="00C71CEF"/>
    <w:rsid w:val="00C72F39"/>
    <w:rsid w:val="00C76B45"/>
    <w:rsid w:val="00C831E1"/>
    <w:rsid w:val="00C8468C"/>
    <w:rsid w:val="00C85A91"/>
    <w:rsid w:val="00C907A8"/>
    <w:rsid w:val="00CB0D1F"/>
    <w:rsid w:val="00CB1069"/>
    <w:rsid w:val="00CB2128"/>
    <w:rsid w:val="00CC2A39"/>
    <w:rsid w:val="00CC6A2B"/>
    <w:rsid w:val="00CC6D60"/>
    <w:rsid w:val="00CD3968"/>
    <w:rsid w:val="00CE0BC6"/>
    <w:rsid w:val="00CE44DB"/>
    <w:rsid w:val="00CE46FA"/>
    <w:rsid w:val="00CF0289"/>
    <w:rsid w:val="00D03056"/>
    <w:rsid w:val="00D03882"/>
    <w:rsid w:val="00D06F1A"/>
    <w:rsid w:val="00D224C8"/>
    <w:rsid w:val="00D34FFB"/>
    <w:rsid w:val="00D53125"/>
    <w:rsid w:val="00D74325"/>
    <w:rsid w:val="00D77931"/>
    <w:rsid w:val="00D84996"/>
    <w:rsid w:val="00D86A93"/>
    <w:rsid w:val="00D87CA4"/>
    <w:rsid w:val="00D923EC"/>
    <w:rsid w:val="00D95667"/>
    <w:rsid w:val="00DA0693"/>
    <w:rsid w:val="00DB2309"/>
    <w:rsid w:val="00DC0856"/>
    <w:rsid w:val="00DC345B"/>
    <w:rsid w:val="00DC5D80"/>
    <w:rsid w:val="00DE0F6F"/>
    <w:rsid w:val="00DE2D2C"/>
    <w:rsid w:val="00DF4B0A"/>
    <w:rsid w:val="00DF61AA"/>
    <w:rsid w:val="00DF63C4"/>
    <w:rsid w:val="00E003CA"/>
    <w:rsid w:val="00E25AF5"/>
    <w:rsid w:val="00E27658"/>
    <w:rsid w:val="00E31CF4"/>
    <w:rsid w:val="00E35390"/>
    <w:rsid w:val="00E356F4"/>
    <w:rsid w:val="00E40736"/>
    <w:rsid w:val="00E42039"/>
    <w:rsid w:val="00E420B5"/>
    <w:rsid w:val="00E434FD"/>
    <w:rsid w:val="00E46695"/>
    <w:rsid w:val="00E62337"/>
    <w:rsid w:val="00E64E73"/>
    <w:rsid w:val="00E65E80"/>
    <w:rsid w:val="00E6606D"/>
    <w:rsid w:val="00E930F2"/>
    <w:rsid w:val="00E94DD4"/>
    <w:rsid w:val="00E959D1"/>
    <w:rsid w:val="00EA03AB"/>
    <w:rsid w:val="00EA379D"/>
    <w:rsid w:val="00EA40ED"/>
    <w:rsid w:val="00EB188B"/>
    <w:rsid w:val="00ED4C19"/>
    <w:rsid w:val="00ED5A69"/>
    <w:rsid w:val="00ED6B79"/>
    <w:rsid w:val="00EE0DC6"/>
    <w:rsid w:val="00EE5DBC"/>
    <w:rsid w:val="00EF43DB"/>
    <w:rsid w:val="00F00FA5"/>
    <w:rsid w:val="00F05600"/>
    <w:rsid w:val="00F22B15"/>
    <w:rsid w:val="00F235EC"/>
    <w:rsid w:val="00F27444"/>
    <w:rsid w:val="00F33F57"/>
    <w:rsid w:val="00F34E8F"/>
    <w:rsid w:val="00F350BA"/>
    <w:rsid w:val="00F404AF"/>
    <w:rsid w:val="00F44AB8"/>
    <w:rsid w:val="00F51AC1"/>
    <w:rsid w:val="00F54470"/>
    <w:rsid w:val="00F544C0"/>
    <w:rsid w:val="00F61EDB"/>
    <w:rsid w:val="00F65E7F"/>
    <w:rsid w:val="00F67348"/>
    <w:rsid w:val="00F7312B"/>
    <w:rsid w:val="00F76AB2"/>
    <w:rsid w:val="00F771DF"/>
    <w:rsid w:val="00F827C3"/>
    <w:rsid w:val="00F8449C"/>
    <w:rsid w:val="00FA2294"/>
    <w:rsid w:val="00FA3053"/>
    <w:rsid w:val="00FA3AB3"/>
    <w:rsid w:val="00FB4529"/>
    <w:rsid w:val="00FC3312"/>
    <w:rsid w:val="00FC3C50"/>
    <w:rsid w:val="00FD33E0"/>
    <w:rsid w:val="00FD6BD3"/>
    <w:rsid w:val="00FE3245"/>
    <w:rsid w:val="00FE34AE"/>
    <w:rsid w:val="00FE5F87"/>
    <w:rsid w:val="00FE6A6B"/>
    <w:rsid w:val="00FF11B0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3F16"/>
  <w15:docId w15:val="{903265BE-29DB-4B23-92CE-541771A7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5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6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494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F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F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F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F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1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1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x6">
    <w:name w:val="x6"/>
    <w:basedOn w:val="Domylnaczcionkaakapitu"/>
    <w:rsid w:val="004B70D1"/>
  </w:style>
  <w:style w:type="numbering" w:customStyle="1" w:styleId="WW8Num141">
    <w:name w:val="WW8Num141"/>
    <w:basedOn w:val="Bezlisty"/>
    <w:rsid w:val="009A71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43C71-9C2C-4C26-BD8D-1391DDED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Seruga</dc:creator>
  <cp:lastModifiedBy>Joanna Bolewicka</cp:lastModifiedBy>
  <cp:revision>7</cp:revision>
  <cp:lastPrinted>2025-03-27T08:52:00Z</cp:lastPrinted>
  <dcterms:created xsi:type="dcterms:W3CDTF">2025-03-27T08:46:00Z</dcterms:created>
  <dcterms:modified xsi:type="dcterms:W3CDTF">2025-04-16T05:14:00Z</dcterms:modified>
</cp:coreProperties>
</file>