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43851" w14:textId="79B1EEE7" w:rsidR="00021A18" w:rsidRPr="00F66DE0" w:rsidRDefault="00DF4527" w:rsidP="009A05B3">
      <w:pPr>
        <w:pStyle w:val="Bezodstpw"/>
        <w:spacing w:line="276" w:lineRule="auto"/>
        <w:jc w:val="center"/>
        <w:rPr>
          <w:rFonts w:ascii="Times New Roman" w:hAnsi="Times New Roman" w:cs="Times New Roman"/>
          <w:b/>
          <w:bCs/>
        </w:rPr>
      </w:pPr>
      <w:r w:rsidRPr="00F66DE0">
        <w:rPr>
          <w:rFonts w:ascii="Times New Roman" w:hAnsi="Times New Roman" w:cs="Times New Roman"/>
          <w:b/>
          <w:bCs/>
        </w:rPr>
        <w:t>Tabela uwag z</w:t>
      </w:r>
      <w:r w:rsidR="00110686" w:rsidRPr="00F66DE0">
        <w:rPr>
          <w:rFonts w:ascii="Times New Roman" w:hAnsi="Times New Roman" w:cs="Times New Roman"/>
          <w:b/>
          <w:bCs/>
        </w:rPr>
        <w:t>głoszonych w ramach</w:t>
      </w:r>
      <w:r w:rsidRPr="00F66DE0">
        <w:rPr>
          <w:rFonts w:ascii="Times New Roman" w:hAnsi="Times New Roman" w:cs="Times New Roman"/>
          <w:b/>
          <w:bCs/>
        </w:rPr>
        <w:t xml:space="preserve"> </w:t>
      </w:r>
      <w:r w:rsidR="00B94B4E">
        <w:rPr>
          <w:rFonts w:ascii="Times New Roman" w:hAnsi="Times New Roman" w:cs="Times New Roman"/>
          <w:b/>
          <w:bCs/>
        </w:rPr>
        <w:t xml:space="preserve">ponownego </w:t>
      </w:r>
      <w:r w:rsidR="009D0595" w:rsidRPr="00F66DE0">
        <w:rPr>
          <w:rFonts w:ascii="Times New Roman" w:hAnsi="Times New Roman" w:cs="Times New Roman"/>
          <w:b/>
          <w:bCs/>
        </w:rPr>
        <w:t>opiniowania</w:t>
      </w:r>
      <w:r w:rsidR="00396DAE" w:rsidRPr="00F66DE0">
        <w:rPr>
          <w:rFonts w:ascii="Times New Roman" w:hAnsi="Times New Roman" w:cs="Times New Roman"/>
          <w:b/>
          <w:bCs/>
        </w:rPr>
        <w:t xml:space="preserve"> </w:t>
      </w:r>
      <w:r w:rsidRPr="00F66DE0">
        <w:rPr>
          <w:rFonts w:ascii="Times New Roman" w:hAnsi="Times New Roman" w:cs="Times New Roman"/>
          <w:b/>
          <w:bCs/>
        </w:rPr>
        <w:t xml:space="preserve">projektu rozporządzenia </w:t>
      </w:r>
      <w:bookmarkStart w:id="0" w:name="bookmark1"/>
      <w:r w:rsidR="00FC0280" w:rsidRPr="00F66DE0">
        <w:rPr>
          <w:rFonts w:ascii="Times New Roman" w:hAnsi="Times New Roman" w:cs="Times New Roman"/>
          <w:b/>
          <w:bCs/>
        </w:rPr>
        <w:t xml:space="preserve">Rady Ministrów sprawie </w:t>
      </w:r>
      <w:bookmarkEnd w:id="0"/>
      <w:r w:rsidR="00263BF8" w:rsidRPr="00F66DE0">
        <w:rPr>
          <w:rFonts w:ascii="Times New Roman" w:hAnsi="Times New Roman" w:cs="Times New Roman"/>
          <w:b/>
          <w:bCs/>
        </w:rPr>
        <w:t>wymagań technicznych i eksploatacyjnych dla interfejsów (RD215)</w:t>
      </w:r>
    </w:p>
    <w:p w14:paraId="4B2CD379" w14:textId="77777777" w:rsidR="00DF4527" w:rsidRPr="00F66DE0" w:rsidRDefault="00DF4527" w:rsidP="00DF4527">
      <w:pPr>
        <w:pStyle w:val="Bezodstpw"/>
        <w:spacing w:line="276" w:lineRule="auto"/>
        <w:jc w:val="center"/>
        <w:rPr>
          <w:rFonts w:ascii="Times New Roman" w:hAnsi="Times New Roman" w:cs="Times New Roman"/>
          <w:b/>
          <w:bCs/>
        </w:rPr>
      </w:pPr>
    </w:p>
    <w:tbl>
      <w:tblPr>
        <w:tblStyle w:val="Tabela-Siatka"/>
        <w:tblW w:w="15163" w:type="dxa"/>
        <w:tblLayout w:type="fixed"/>
        <w:tblLook w:val="04A0" w:firstRow="1" w:lastRow="0" w:firstColumn="1" w:lastColumn="0" w:noHBand="0" w:noVBand="1"/>
      </w:tblPr>
      <w:tblGrid>
        <w:gridCol w:w="597"/>
        <w:gridCol w:w="1241"/>
        <w:gridCol w:w="1418"/>
        <w:gridCol w:w="4536"/>
        <w:gridCol w:w="7371"/>
      </w:tblGrid>
      <w:tr w:rsidR="006F492C" w:rsidRPr="00B94B4E" w14:paraId="35087CD2" w14:textId="77777777" w:rsidTr="00F66DE0">
        <w:trPr>
          <w:trHeight w:val="840"/>
        </w:trPr>
        <w:tc>
          <w:tcPr>
            <w:tcW w:w="597" w:type="dxa"/>
            <w:tcBorders>
              <w:bottom w:val="single" w:sz="4" w:space="0" w:color="auto"/>
            </w:tcBorders>
            <w:shd w:val="clear" w:color="auto" w:fill="D9D9D9" w:themeFill="background1" w:themeFillShade="D9"/>
            <w:vAlign w:val="center"/>
          </w:tcPr>
          <w:p w14:paraId="40DC3DC8" w14:textId="5FE8FA19" w:rsidR="00DF4527" w:rsidRPr="00F66DE0" w:rsidRDefault="009753A3" w:rsidP="00A71543">
            <w:pPr>
              <w:pStyle w:val="Bezodstpw"/>
              <w:jc w:val="center"/>
              <w:rPr>
                <w:rFonts w:ascii="Times New Roman" w:hAnsi="Times New Roman" w:cs="Times New Roman"/>
              </w:rPr>
            </w:pPr>
            <w:r w:rsidRPr="00F66DE0">
              <w:rPr>
                <w:rFonts w:ascii="Times New Roman" w:hAnsi="Times New Roman" w:cs="Times New Roman"/>
                <w:b/>
              </w:rPr>
              <w:t>Lp.</w:t>
            </w:r>
          </w:p>
        </w:tc>
        <w:tc>
          <w:tcPr>
            <w:tcW w:w="1241" w:type="dxa"/>
            <w:tcBorders>
              <w:bottom w:val="single" w:sz="4" w:space="0" w:color="auto"/>
            </w:tcBorders>
            <w:shd w:val="clear" w:color="auto" w:fill="D9D9D9" w:themeFill="background1" w:themeFillShade="D9"/>
            <w:vAlign w:val="center"/>
          </w:tcPr>
          <w:p w14:paraId="5C3AEFCE" w14:textId="246D43B8" w:rsidR="00DF4527" w:rsidRPr="00F66DE0" w:rsidRDefault="009753A3" w:rsidP="00822E68">
            <w:pPr>
              <w:pStyle w:val="Bezodstpw"/>
              <w:jc w:val="center"/>
              <w:rPr>
                <w:rFonts w:ascii="Times New Roman" w:hAnsi="Times New Roman" w:cs="Times New Roman"/>
              </w:rPr>
            </w:pPr>
            <w:r w:rsidRPr="00F66DE0">
              <w:rPr>
                <w:rFonts w:ascii="Times New Roman" w:hAnsi="Times New Roman" w:cs="Times New Roman"/>
                <w:b/>
              </w:rPr>
              <w:t>Jednostka redakcyjna projektu</w:t>
            </w:r>
          </w:p>
        </w:tc>
        <w:tc>
          <w:tcPr>
            <w:tcW w:w="1418" w:type="dxa"/>
            <w:tcBorders>
              <w:bottom w:val="single" w:sz="4" w:space="0" w:color="auto"/>
            </w:tcBorders>
            <w:shd w:val="clear" w:color="auto" w:fill="D9D9D9" w:themeFill="background1" w:themeFillShade="D9"/>
            <w:vAlign w:val="center"/>
          </w:tcPr>
          <w:p w14:paraId="5C0E9CFB" w14:textId="167BCD00" w:rsidR="00DF4527" w:rsidRPr="00F66DE0" w:rsidRDefault="00110686" w:rsidP="00822E68">
            <w:pPr>
              <w:pStyle w:val="Bezodstpw"/>
              <w:jc w:val="center"/>
              <w:rPr>
                <w:rFonts w:ascii="Times New Roman" w:hAnsi="Times New Roman" w:cs="Times New Roman"/>
              </w:rPr>
            </w:pPr>
            <w:r w:rsidRPr="00F66DE0">
              <w:rPr>
                <w:rFonts w:ascii="Times New Roman" w:hAnsi="Times New Roman" w:cs="Times New Roman"/>
                <w:b/>
              </w:rPr>
              <w:t>Podmiot z</w:t>
            </w:r>
            <w:r w:rsidR="009753A3" w:rsidRPr="00F66DE0">
              <w:rPr>
                <w:rFonts w:ascii="Times New Roman" w:hAnsi="Times New Roman" w:cs="Times New Roman"/>
                <w:b/>
              </w:rPr>
              <w:t>głaszający</w:t>
            </w:r>
            <w:r w:rsidR="007F263B">
              <w:rPr>
                <w:rFonts w:ascii="Times New Roman" w:hAnsi="Times New Roman" w:cs="Times New Roman"/>
                <w:b/>
              </w:rPr>
              <w:t xml:space="preserve"> uwagę</w:t>
            </w:r>
          </w:p>
        </w:tc>
        <w:tc>
          <w:tcPr>
            <w:tcW w:w="4536" w:type="dxa"/>
            <w:tcBorders>
              <w:bottom w:val="single" w:sz="4" w:space="0" w:color="auto"/>
            </w:tcBorders>
            <w:shd w:val="clear" w:color="auto" w:fill="D9D9D9" w:themeFill="background1" w:themeFillShade="D9"/>
            <w:vAlign w:val="center"/>
          </w:tcPr>
          <w:p w14:paraId="37A93FA5" w14:textId="0EBA8F04" w:rsidR="00DF4527" w:rsidRPr="00F66DE0" w:rsidRDefault="009753A3" w:rsidP="00822E68">
            <w:pPr>
              <w:pStyle w:val="Bezodstpw"/>
              <w:jc w:val="center"/>
              <w:rPr>
                <w:rFonts w:ascii="Times New Roman" w:hAnsi="Times New Roman" w:cs="Times New Roman"/>
              </w:rPr>
            </w:pPr>
            <w:r w:rsidRPr="00F66DE0">
              <w:rPr>
                <w:rFonts w:ascii="Times New Roman" w:hAnsi="Times New Roman" w:cs="Times New Roman"/>
                <w:b/>
              </w:rPr>
              <w:t>Treść uwagi</w:t>
            </w:r>
          </w:p>
        </w:tc>
        <w:tc>
          <w:tcPr>
            <w:tcW w:w="7371" w:type="dxa"/>
            <w:tcBorders>
              <w:bottom w:val="single" w:sz="4" w:space="0" w:color="auto"/>
            </w:tcBorders>
            <w:shd w:val="clear" w:color="auto" w:fill="D9D9D9" w:themeFill="background1" w:themeFillShade="D9"/>
            <w:vAlign w:val="center"/>
          </w:tcPr>
          <w:p w14:paraId="72FB7D72" w14:textId="243C8A95" w:rsidR="00DF4527" w:rsidRPr="00F66DE0" w:rsidRDefault="009753A3" w:rsidP="00822E68">
            <w:pPr>
              <w:pStyle w:val="Bezodstpw"/>
              <w:jc w:val="center"/>
              <w:rPr>
                <w:rFonts w:ascii="Times New Roman" w:hAnsi="Times New Roman" w:cs="Times New Roman"/>
              </w:rPr>
            </w:pPr>
            <w:r w:rsidRPr="00F66DE0">
              <w:rPr>
                <w:rFonts w:ascii="Times New Roman" w:hAnsi="Times New Roman" w:cs="Times New Roman"/>
                <w:b/>
              </w:rPr>
              <w:t>Stanowisko M</w:t>
            </w:r>
            <w:r w:rsidR="00110686" w:rsidRPr="00F66DE0">
              <w:rPr>
                <w:rFonts w:ascii="Times New Roman" w:hAnsi="Times New Roman" w:cs="Times New Roman"/>
                <w:b/>
              </w:rPr>
              <w:t>inistra Cyfryzacji</w:t>
            </w:r>
          </w:p>
        </w:tc>
      </w:tr>
      <w:tr w:rsidR="00396DAE" w:rsidRPr="00B94B4E" w14:paraId="1D586EC5" w14:textId="77777777" w:rsidTr="00A71543">
        <w:tc>
          <w:tcPr>
            <w:tcW w:w="15163" w:type="dxa"/>
            <w:gridSpan w:val="5"/>
            <w:shd w:val="pct10" w:color="auto" w:fill="auto"/>
          </w:tcPr>
          <w:p w14:paraId="1DA6A6C4" w14:textId="4E65B30B" w:rsidR="00396DAE" w:rsidRPr="00F66DE0" w:rsidRDefault="00396DAE" w:rsidP="00A71543">
            <w:pPr>
              <w:spacing w:before="120" w:after="120"/>
              <w:jc w:val="center"/>
              <w:rPr>
                <w:b/>
                <w:bCs/>
                <w:sz w:val="22"/>
                <w:szCs w:val="22"/>
                <w:highlight w:val="green"/>
              </w:rPr>
            </w:pPr>
            <w:r w:rsidRPr="00F66DE0">
              <w:rPr>
                <w:b/>
                <w:bCs/>
                <w:sz w:val="22"/>
                <w:szCs w:val="22"/>
              </w:rPr>
              <w:t>UWAGI OGÓLNE DO PROJEKTU</w:t>
            </w:r>
          </w:p>
        </w:tc>
      </w:tr>
      <w:tr w:rsidR="00EC790A" w:rsidRPr="00B94B4E" w14:paraId="56CE94EA" w14:textId="77777777" w:rsidTr="00F66DE0">
        <w:tc>
          <w:tcPr>
            <w:tcW w:w="597" w:type="dxa"/>
            <w:tcBorders>
              <w:bottom w:val="single" w:sz="4" w:space="0" w:color="auto"/>
            </w:tcBorders>
          </w:tcPr>
          <w:p w14:paraId="2BAB79C7" w14:textId="77777777" w:rsidR="00EC790A" w:rsidRPr="00F66DE0" w:rsidRDefault="00EC790A" w:rsidP="00A71543">
            <w:pPr>
              <w:pStyle w:val="Bezodstpw"/>
              <w:ind w:left="171"/>
              <w:jc w:val="center"/>
              <w:rPr>
                <w:rFonts w:ascii="Times New Roman" w:hAnsi="Times New Roman" w:cs="Times New Roman"/>
              </w:rPr>
            </w:pPr>
          </w:p>
        </w:tc>
        <w:tc>
          <w:tcPr>
            <w:tcW w:w="1241" w:type="dxa"/>
            <w:tcBorders>
              <w:bottom w:val="single" w:sz="4" w:space="0" w:color="auto"/>
            </w:tcBorders>
            <w:shd w:val="pct5" w:color="auto" w:fill="auto"/>
          </w:tcPr>
          <w:p w14:paraId="6C6B8748" w14:textId="77777777" w:rsidR="00EC790A" w:rsidRPr="00F66DE0" w:rsidRDefault="00EC790A" w:rsidP="00EC790A">
            <w:pPr>
              <w:pStyle w:val="Bezodstpw"/>
              <w:jc w:val="center"/>
              <w:rPr>
                <w:rFonts w:ascii="Times New Roman" w:hAnsi="Times New Roman" w:cs="Times New Roman"/>
              </w:rPr>
            </w:pPr>
          </w:p>
        </w:tc>
        <w:tc>
          <w:tcPr>
            <w:tcW w:w="1418" w:type="dxa"/>
            <w:tcBorders>
              <w:bottom w:val="single" w:sz="4" w:space="0" w:color="auto"/>
            </w:tcBorders>
          </w:tcPr>
          <w:p w14:paraId="7431B3A3" w14:textId="05F43531" w:rsidR="00EC790A" w:rsidRPr="004C1E66" w:rsidRDefault="00EC790A" w:rsidP="00EC790A">
            <w:pPr>
              <w:pStyle w:val="Bezodstpw"/>
              <w:jc w:val="center"/>
              <w:rPr>
                <w:rFonts w:ascii="Times New Roman" w:hAnsi="Times New Roman" w:cs="Times New Roman"/>
                <w:b/>
                <w:bCs/>
              </w:rPr>
            </w:pPr>
            <w:r w:rsidRPr="004C1E66">
              <w:rPr>
                <w:rFonts w:ascii="Times New Roman" w:hAnsi="Times New Roman" w:cs="Times New Roman"/>
                <w:b/>
                <w:bCs/>
              </w:rPr>
              <w:t>Rada d</w:t>
            </w:r>
            <w:r w:rsidR="00B94B4E" w:rsidRPr="004C1E66">
              <w:rPr>
                <w:rFonts w:ascii="Times New Roman" w:hAnsi="Times New Roman" w:cs="Times New Roman"/>
                <w:b/>
                <w:bCs/>
              </w:rPr>
              <w:t>o Spraw</w:t>
            </w:r>
            <w:r w:rsidRPr="004C1E66">
              <w:rPr>
                <w:rFonts w:ascii="Times New Roman" w:hAnsi="Times New Roman" w:cs="Times New Roman"/>
                <w:b/>
                <w:bCs/>
              </w:rPr>
              <w:t xml:space="preserve"> Cyfryzacji</w:t>
            </w:r>
          </w:p>
        </w:tc>
        <w:tc>
          <w:tcPr>
            <w:tcW w:w="4536" w:type="dxa"/>
            <w:tcBorders>
              <w:bottom w:val="single" w:sz="4" w:space="0" w:color="auto"/>
            </w:tcBorders>
          </w:tcPr>
          <w:p w14:paraId="31C5765E" w14:textId="0304CB22" w:rsidR="00EC790A" w:rsidRPr="00F66DE0" w:rsidRDefault="00EC790A" w:rsidP="00EC790A">
            <w:pPr>
              <w:pStyle w:val="Bezodstpw"/>
              <w:spacing w:after="120"/>
              <w:jc w:val="both"/>
              <w:rPr>
                <w:rFonts w:ascii="Times New Roman" w:hAnsi="Times New Roman" w:cs="Times New Roman"/>
              </w:rPr>
            </w:pPr>
            <w:r w:rsidRPr="00F66DE0">
              <w:rPr>
                <w:rFonts w:ascii="Times New Roman" w:hAnsi="Times New Roman" w:cs="Times New Roman"/>
              </w:rPr>
              <w:t>Warto rozważyć dodanie wymagań cyberbezpieczeństwa, ponieważ biorąc jednak pod uwagę szczególny charakter systemów wykorzystywanych do realizacji obowiązków określonych w art. 43 i 45 PKE, warto rozważyć uzupełnienie projektu o minimalne wymagania dotyczące bezpieczeństwa eksploatacyjnego, w szczególności w zakresie rejestrowania operacji administracyjnych, integralności logów, synchronizacji czasu oraz kontroli dostępu do funkcji administracyjnych. W mojej opinii, rozwiązania te ułatwiałyby identyfikację incydentów, weryfikację prawidłowości realizacji zleceń oraz prowadzenie działań audytowych, zwiększając jednocześnie odporność systemu na błędy operacyjne i nieuprawnione działania;</w:t>
            </w:r>
          </w:p>
        </w:tc>
        <w:tc>
          <w:tcPr>
            <w:tcW w:w="7371" w:type="dxa"/>
            <w:tcBorders>
              <w:bottom w:val="single" w:sz="4" w:space="0" w:color="auto"/>
            </w:tcBorders>
          </w:tcPr>
          <w:p w14:paraId="56F0B0F1" w14:textId="77777777" w:rsidR="00EC790A" w:rsidRPr="00F66DE0" w:rsidRDefault="00EC790A" w:rsidP="00F66DE0">
            <w:pPr>
              <w:pStyle w:val="Bezodstpw"/>
              <w:jc w:val="both"/>
              <w:rPr>
                <w:rFonts w:ascii="Times New Roman" w:hAnsi="Times New Roman" w:cs="Times New Roman"/>
                <w:b/>
                <w:bCs/>
              </w:rPr>
            </w:pPr>
            <w:r w:rsidRPr="00F66DE0">
              <w:rPr>
                <w:rFonts w:ascii="Times New Roman" w:hAnsi="Times New Roman" w:cs="Times New Roman"/>
                <w:b/>
                <w:bCs/>
              </w:rPr>
              <w:t>Uwaga wyjaśniona</w:t>
            </w:r>
          </w:p>
          <w:p w14:paraId="6AC0FE64" w14:textId="4B85137C" w:rsidR="00EC790A" w:rsidRPr="00F66DE0" w:rsidRDefault="00EC790A" w:rsidP="00B94B4E">
            <w:pPr>
              <w:pStyle w:val="Bezodstpw"/>
              <w:spacing w:after="120"/>
              <w:jc w:val="both"/>
              <w:rPr>
                <w:rFonts w:ascii="Times New Roman" w:hAnsi="Times New Roman" w:cs="Times New Roman"/>
              </w:rPr>
            </w:pPr>
            <w:r w:rsidRPr="00F66DE0">
              <w:rPr>
                <w:rFonts w:ascii="Times New Roman" w:hAnsi="Times New Roman" w:cs="Times New Roman"/>
              </w:rPr>
              <w:t>Wymagania w zakresie bezpieczeństwa przesyłu danych, wzajemnej autoryzacji punktów styku, integralności komunikatów oraz bezwzględnej synchronizacji czasu są bezpośrednio zawarte w specyfikacjach ETSI przywołanych w</w:t>
            </w:r>
            <w:r w:rsidR="00750142">
              <w:rPr>
                <w:rFonts w:ascii="Times New Roman" w:hAnsi="Times New Roman" w:cs="Times New Roman"/>
              </w:rPr>
              <w:t> </w:t>
            </w:r>
            <w:r w:rsidRPr="00F66DE0">
              <w:rPr>
                <w:rFonts w:ascii="Times New Roman" w:hAnsi="Times New Roman" w:cs="Times New Roman"/>
              </w:rPr>
              <w:t>załączniku do rozporządzenia (m.in. ETSI TS 102 232, ETSI TS 103 120, ETSI TS 103 221-1).</w:t>
            </w:r>
          </w:p>
          <w:p w14:paraId="7F5ABB40" w14:textId="6B333219" w:rsidR="00EC790A" w:rsidRPr="00F66DE0" w:rsidRDefault="00EC790A" w:rsidP="00F66DE0">
            <w:pPr>
              <w:pStyle w:val="Bezodstpw"/>
              <w:jc w:val="both"/>
              <w:rPr>
                <w:rFonts w:ascii="Times New Roman" w:eastAsia="Times New Roman" w:hAnsi="Times New Roman" w:cs="Times New Roman"/>
                <w:b/>
                <w:bCs/>
                <w:lang w:eastAsia="pl-PL"/>
              </w:rPr>
            </w:pPr>
            <w:r w:rsidRPr="00F66DE0">
              <w:rPr>
                <w:rFonts w:ascii="Times New Roman" w:hAnsi="Times New Roman" w:cs="Times New Roman"/>
              </w:rPr>
              <w:t>Ponadto, projekt rozporządzenia Rady Ministrów w</w:t>
            </w:r>
            <w:r w:rsidR="006B4431" w:rsidRPr="00F66DE0">
              <w:rPr>
                <w:rFonts w:ascii="Times New Roman" w:hAnsi="Times New Roman" w:cs="Times New Roman"/>
              </w:rPr>
              <w:t xml:space="preserve"> sprawie</w:t>
            </w:r>
            <w:r w:rsidRPr="00F66DE0">
              <w:rPr>
                <w:rFonts w:ascii="Times New Roman" w:hAnsi="Times New Roman" w:cs="Times New Roman"/>
              </w:rPr>
              <w:t xml:space="preserve"> zapewnienia przez przedsiębiorcę telekomunikacyjnego warunków dostępu i utrwalania oraz przygotowania technicznych i organizacyjnych warunków udostępniania danych</w:t>
            </w:r>
            <w:r w:rsidR="00B94B4E">
              <w:rPr>
                <w:rFonts w:ascii="Times New Roman" w:hAnsi="Times New Roman" w:cs="Times New Roman"/>
              </w:rPr>
              <w:t xml:space="preserve"> (RD217)</w:t>
            </w:r>
            <w:r w:rsidRPr="00F66DE0">
              <w:rPr>
                <w:rFonts w:ascii="Times New Roman" w:hAnsi="Times New Roman" w:cs="Times New Roman"/>
              </w:rPr>
              <w:t xml:space="preserve">, </w:t>
            </w:r>
            <w:r w:rsidR="00B94B4E">
              <w:rPr>
                <w:rFonts w:ascii="Times New Roman" w:hAnsi="Times New Roman" w:cs="Times New Roman"/>
              </w:rPr>
              <w:t>procedowany</w:t>
            </w:r>
            <w:r w:rsidR="00B94B4E" w:rsidRPr="00F66DE0">
              <w:rPr>
                <w:rFonts w:ascii="Times New Roman" w:hAnsi="Times New Roman" w:cs="Times New Roman"/>
              </w:rPr>
              <w:t xml:space="preserve"> </w:t>
            </w:r>
            <w:r w:rsidRPr="00F66DE0">
              <w:rPr>
                <w:rFonts w:ascii="Times New Roman" w:hAnsi="Times New Roman" w:cs="Times New Roman"/>
              </w:rPr>
              <w:t xml:space="preserve">na podstawie art. 46 ust. 1 </w:t>
            </w:r>
            <w:r w:rsidR="002D3C07" w:rsidRPr="00F66DE0">
              <w:rPr>
                <w:rFonts w:ascii="Times New Roman" w:hAnsi="Times New Roman" w:cs="Times New Roman"/>
              </w:rPr>
              <w:t xml:space="preserve">ustawy z dnia 12 lipca 2024 r. </w:t>
            </w:r>
            <w:r w:rsidR="002D3C07" w:rsidRPr="00F66DE0">
              <w:rPr>
                <w:rFonts w:ascii="Times New Roman" w:hAnsi="Times New Roman" w:cs="Times New Roman"/>
              </w:rPr>
              <w:sym w:font="Symbol" w:char="F02D"/>
            </w:r>
            <w:r w:rsidR="002D3C07" w:rsidRPr="00F66DE0">
              <w:rPr>
                <w:rFonts w:ascii="Times New Roman" w:hAnsi="Times New Roman" w:cs="Times New Roman"/>
              </w:rPr>
              <w:t xml:space="preserve"> Prawo komunikacji elektronicznej, zwanej dalej „</w:t>
            </w:r>
            <w:r w:rsidR="004C1E66">
              <w:rPr>
                <w:rFonts w:ascii="Times New Roman" w:hAnsi="Times New Roman" w:cs="Times New Roman"/>
              </w:rPr>
              <w:t>ustawą</w:t>
            </w:r>
            <w:r w:rsidR="002D3C07" w:rsidRPr="00F66DE0">
              <w:rPr>
                <w:rFonts w:ascii="Times New Roman" w:hAnsi="Times New Roman" w:cs="Times New Roman"/>
              </w:rPr>
              <w:t>”</w:t>
            </w:r>
            <w:r w:rsidRPr="00F66DE0">
              <w:rPr>
                <w:rFonts w:ascii="Times New Roman" w:hAnsi="Times New Roman" w:cs="Times New Roman"/>
              </w:rPr>
              <w:t xml:space="preserve">, przewiduje, że interfejs LI HI powinien spełniać kryteria wymogów ochrony informacji niejawnych o klauzuli „poufne” (aktualnie </w:t>
            </w:r>
            <w:r w:rsidR="00A7435A">
              <w:rPr>
                <w:rFonts w:ascii="Times New Roman" w:hAnsi="Times New Roman" w:cs="Times New Roman"/>
              </w:rPr>
              <w:t>„</w:t>
            </w:r>
            <w:r w:rsidRPr="00F66DE0">
              <w:rPr>
                <w:rFonts w:ascii="Times New Roman" w:hAnsi="Times New Roman" w:cs="Times New Roman"/>
              </w:rPr>
              <w:t>ściśle tajne”). Zgodnie z art. 48 ustawy z dnia 5 sierpnia 2010 r. o ochronie informacji niejawnych, systemy teleinformatyczne przetwarzające informacje o klauzuli „poufne” podlegają obowiązkowej procedurze akredytacji bezpieczeństwa teleinformatycznego prowadzonej przez Agencję Bezpieczeństwa Wewnętrznego. Kwestie bezpieczeństwa stanowią obligatoryjny element takiej akredytacji.</w:t>
            </w:r>
          </w:p>
        </w:tc>
      </w:tr>
      <w:tr w:rsidR="00396DAE" w:rsidRPr="00B94B4E" w14:paraId="7385FCD3" w14:textId="77777777" w:rsidTr="00A71543">
        <w:tc>
          <w:tcPr>
            <w:tcW w:w="15163" w:type="dxa"/>
            <w:gridSpan w:val="5"/>
            <w:shd w:val="pct10" w:color="auto" w:fill="auto"/>
          </w:tcPr>
          <w:p w14:paraId="2A289FC4" w14:textId="07BDD387" w:rsidR="00396DAE" w:rsidRPr="00F66DE0" w:rsidRDefault="00F66DE0" w:rsidP="00A71543">
            <w:pPr>
              <w:pStyle w:val="Bezodstpw"/>
              <w:spacing w:before="120" w:after="120"/>
              <w:jc w:val="center"/>
              <w:rPr>
                <w:rFonts w:ascii="Times New Roman" w:hAnsi="Times New Roman" w:cs="Times New Roman"/>
              </w:rPr>
            </w:pPr>
            <w:r w:rsidRPr="00171E06">
              <w:rPr>
                <w:rFonts w:ascii="Times New Roman" w:hAnsi="Times New Roman" w:cs="Times New Roman"/>
                <w:b/>
                <w:bCs/>
              </w:rPr>
              <w:t>UWAGI SZCZEGÓŁOWE DO PROJEKTU</w:t>
            </w:r>
          </w:p>
        </w:tc>
      </w:tr>
      <w:tr w:rsidR="00D43C7C" w:rsidRPr="00B94B4E" w14:paraId="75DD65E0" w14:textId="77777777" w:rsidTr="00F66DE0">
        <w:tc>
          <w:tcPr>
            <w:tcW w:w="597" w:type="dxa"/>
            <w:tcBorders>
              <w:bottom w:val="single" w:sz="4" w:space="0" w:color="auto"/>
            </w:tcBorders>
          </w:tcPr>
          <w:p w14:paraId="1DCD8826" w14:textId="77777777" w:rsidR="00D43C7C" w:rsidRPr="00F66DE0" w:rsidRDefault="00D43C7C" w:rsidP="00A71543">
            <w:pPr>
              <w:pStyle w:val="Bezodstpw"/>
              <w:numPr>
                <w:ilvl w:val="0"/>
                <w:numId w:val="2"/>
              </w:numPr>
              <w:ind w:left="171" w:hanging="171"/>
              <w:jc w:val="center"/>
              <w:rPr>
                <w:rFonts w:ascii="Times New Roman" w:hAnsi="Times New Roman" w:cs="Times New Roman"/>
              </w:rPr>
            </w:pPr>
          </w:p>
        </w:tc>
        <w:tc>
          <w:tcPr>
            <w:tcW w:w="1241" w:type="dxa"/>
            <w:tcBorders>
              <w:bottom w:val="single" w:sz="4" w:space="0" w:color="auto"/>
            </w:tcBorders>
          </w:tcPr>
          <w:p w14:paraId="6DB00661" w14:textId="77777777" w:rsidR="00D43C7C" w:rsidRPr="00F66DE0" w:rsidRDefault="00225F97" w:rsidP="0088443B">
            <w:pPr>
              <w:pStyle w:val="Bezodstpw"/>
              <w:jc w:val="center"/>
              <w:rPr>
                <w:rFonts w:ascii="Times New Roman" w:hAnsi="Times New Roman" w:cs="Times New Roman"/>
              </w:rPr>
            </w:pPr>
            <w:r w:rsidRPr="00F66DE0">
              <w:rPr>
                <w:rFonts w:ascii="Times New Roman" w:hAnsi="Times New Roman" w:cs="Times New Roman"/>
              </w:rPr>
              <w:t>Załącznik</w:t>
            </w:r>
          </w:p>
          <w:p w14:paraId="34762D3D" w14:textId="77777777" w:rsidR="00225F97" w:rsidRPr="00F66DE0" w:rsidRDefault="00225F97" w:rsidP="0088443B">
            <w:pPr>
              <w:pStyle w:val="Bezodstpw"/>
              <w:jc w:val="center"/>
              <w:rPr>
                <w:rFonts w:ascii="Times New Roman" w:hAnsi="Times New Roman" w:cs="Times New Roman"/>
              </w:rPr>
            </w:pPr>
            <w:r w:rsidRPr="00F66DE0">
              <w:rPr>
                <w:rFonts w:ascii="Times New Roman" w:hAnsi="Times New Roman" w:cs="Times New Roman"/>
              </w:rPr>
              <w:t>pkt 5.9</w:t>
            </w:r>
          </w:p>
          <w:p w14:paraId="70ECDA2A" w14:textId="3716FFD0" w:rsidR="00225F97" w:rsidRPr="00F66DE0" w:rsidRDefault="00225F97" w:rsidP="0088443B">
            <w:pPr>
              <w:pStyle w:val="Bezodstpw"/>
              <w:jc w:val="center"/>
              <w:rPr>
                <w:rFonts w:ascii="Times New Roman" w:hAnsi="Times New Roman" w:cs="Times New Roman"/>
              </w:rPr>
            </w:pPr>
            <w:r w:rsidRPr="00F66DE0">
              <w:rPr>
                <w:rFonts w:ascii="Times New Roman" w:hAnsi="Times New Roman" w:cs="Times New Roman"/>
              </w:rPr>
              <w:t>pkt 6.13</w:t>
            </w:r>
          </w:p>
        </w:tc>
        <w:tc>
          <w:tcPr>
            <w:tcW w:w="1418" w:type="dxa"/>
            <w:tcBorders>
              <w:bottom w:val="single" w:sz="4" w:space="0" w:color="auto"/>
            </w:tcBorders>
          </w:tcPr>
          <w:p w14:paraId="497A7E95" w14:textId="6CB23F0B" w:rsidR="00D43C7C" w:rsidRPr="004C1E66" w:rsidRDefault="00B94322" w:rsidP="0088443B">
            <w:pPr>
              <w:pStyle w:val="Bezodstpw"/>
              <w:jc w:val="center"/>
              <w:rPr>
                <w:rFonts w:ascii="Times New Roman" w:hAnsi="Times New Roman" w:cs="Times New Roman"/>
                <w:b/>
                <w:bCs/>
              </w:rPr>
            </w:pPr>
            <w:r w:rsidRPr="004C1E66">
              <w:rPr>
                <w:rFonts w:ascii="Times New Roman" w:hAnsi="Times New Roman" w:cs="Times New Roman"/>
                <w:b/>
                <w:bCs/>
              </w:rPr>
              <w:t xml:space="preserve">Rada </w:t>
            </w:r>
            <w:r w:rsidR="00B94B4E" w:rsidRPr="004C1E66">
              <w:rPr>
                <w:rFonts w:ascii="Times New Roman" w:hAnsi="Times New Roman" w:cs="Times New Roman"/>
                <w:b/>
                <w:bCs/>
              </w:rPr>
              <w:t>do Spraw</w:t>
            </w:r>
            <w:r w:rsidR="00B94B4E" w:rsidRPr="004C1E66" w:rsidDel="00B94B4E">
              <w:rPr>
                <w:rFonts w:ascii="Times New Roman" w:hAnsi="Times New Roman" w:cs="Times New Roman"/>
                <w:b/>
                <w:bCs/>
              </w:rPr>
              <w:t xml:space="preserve"> </w:t>
            </w:r>
            <w:r w:rsidRPr="004C1E66">
              <w:rPr>
                <w:rFonts w:ascii="Times New Roman" w:hAnsi="Times New Roman" w:cs="Times New Roman"/>
                <w:b/>
                <w:bCs/>
              </w:rPr>
              <w:t xml:space="preserve"> Cyfryzacji</w:t>
            </w:r>
          </w:p>
        </w:tc>
        <w:tc>
          <w:tcPr>
            <w:tcW w:w="4536" w:type="dxa"/>
            <w:tcBorders>
              <w:bottom w:val="single" w:sz="4" w:space="0" w:color="auto"/>
            </w:tcBorders>
          </w:tcPr>
          <w:p w14:paraId="7B5707BF" w14:textId="2F6C458F" w:rsidR="00D43C7C" w:rsidRPr="00F66DE0" w:rsidRDefault="00B94322" w:rsidP="0088443B">
            <w:pPr>
              <w:pStyle w:val="Bezodstpw"/>
              <w:spacing w:after="120"/>
              <w:jc w:val="both"/>
              <w:rPr>
                <w:rFonts w:ascii="Times New Roman" w:hAnsi="Times New Roman" w:cs="Times New Roman"/>
              </w:rPr>
            </w:pPr>
            <w:r w:rsidRPr="00F66DE0">
              <w:rPr>
                <w:rFonts w:ascii="Times New Roman" w:hAnsi="Times New Roman" w:cs="Times New Roman"/>
              </w:rPr>
              <w:t xml:space="preserve">Delegacja z art. 46 ust. 2 PKE dotyczy wymagań technicznych i eksploatacyjnych dla interfejsów - gdzie projekt miejscami reguluje kwestie o charakterze materialnym lub organizacyjnym (a nie tylko technicznym) np. </w:t>
            </w:r>
            <w:r w:rsidR="00B94B4E">
              <w:rPr>
                <w:rFonts w:ascii="Times New Roman" w:hAnsi="Times New Roman" w:cs="Times New Roman"/>
              </w:rPr>
              <w:t>„</w:t>
            </w:r>
            <w:r w:rsidRPr="00F66DE0">
              <w:rPr>
                <w:rFonts w:ascii="Times New Roman" w:hAnsi="Times New Roman" w:cs="Times New Roman"/>
              </w:rPr>
              <w:t>pkt 6.13  dopuszczenie trybu półautomatycznego i określenie terminu 24 godzin na działania pracownika operatora</w:t>
            </w:r>
            <w:r w:rsidR="00B94B4E">
              <w:rPr>
                <w:rFonts w:ascii="Times New Roman" w:hAnsi="Times New Roman" w:cs="Times New Roman"/>
              </w:rPr>
              <w:t>”</w:t>
            </w:r>
            <w:r w:rsidRPr="00F66DE0">
              <w:rPr>
                <w:rFonts w:ascii="Times New Roman" w:hAnsi="Times New Roman" w:cs="Times New Roman"/>
              </w:rPr>
              <w:t xml:space="preserve"> lub </w:t>
            </w:r>
            <w:r w:rsidR="00B94B4E">
              <w:rPr>
                <w:rFonts w:ascii="Times New Roman" w:hAnsi="Times New Roman" w:cs="Times New Roman"/>
              </w:rPr>
              <w:t>„</w:t>
            </w:r>
            <w:r w:rsidRPr="00F66DE0">
              <w:rPr>
                <w:rFonts w:ascii="Times New Roman" w:hAnsi="Times New Roman" w:cs="Times New Roman"/>
              </w:rPr>
              <w:t>pkt 5.9  obowiązek 96</w:t>
            </w:r>
            <w:r w:rsidRPr="00F66DE0">
              <w:rPr>
                <w:rFonts w:ascii="Times New Roman" w:hAnsi="Times New Roman" w:cs="Times New Roman"/>
              </w:rPr>
              <w:noBreakHyphen/>
              <w:t>godzinnego buforowania</w:t>
            </w:r>
            <w:r w:rsidR="00B94B4E">
              <w:rPr>
                <w:rFonts w:ascii="Times New Roman" w:hAnsi="Times New Roman" w:cs="Times New Roman"/>
              </w:rPr>
              <w:t>”</w:t>
            </w:r>
            <w:r w:rsidRPr="00F66DE0">
              <w:rPr>
                <w:rFonts w:ascii="Times New Roman" w:hAnsi="Times New Roman" w:cs="Times New Roman"/>
              </w:rPr>
              <w:t xml:space="preserve">. Zatem w mojej opinii warto zweryfikować, czy deklaracja pozwala Radzie Ministrów wprowadzić takie </w:t>
            </w:r>
            <w:r w:rsidRPr="00F66DE0">
              <w:rPr>
                <w:rFonts w:ascii="Times New Roman" w:hAnsi="Times New Roman" w:cs="Times New Roman"/>
              </w:rPr>
              <w:lastRenderedPageBreak/>
              <w:t>obowiązki czy nie powinna jednak ograniczyć się do parametrów interfejsu. </w:t>
            </w:r>
          </w:p>
        </w:tc>
        <w:tc>
          <w:tcPr>
            <w:tcW w:w="7371" w:type="dxa"/>
            <w:tcBorders>
              <w:bottom w:val="single" w:sz="4" w:space="0" w:color="auto"/>
            </w:tcBorders>
          </w:tcPr>
          <w:p w14:paraId="392964E2" w14:textId="77777777" w:rsidR="001B7942" w:rsidRPr="00F66DE0" w:rsidRDefault="001B7942" w:rsidP="00F66DE0">
            <w:pPr>
              <w:pStyle w:val="Bezodstpw"/>
              <w:jc w:val="both"/>
              <w:rPr>
                <w:rFonts w:ascii="Times New Roman" w:hAnsi="Times New Roman" w:cs="Times New Roman"/>
                <w:b/>
                <w:bCs/>
              </w:rPr>
            </w:pPr>
            <w:r w:rsidRPr="00F66DE0">
              <w:rPr>
                <w:rFonts w:ascii="Times New Roman" w:hAnsi="Times New Roman" w:cs="Times New Roman"/>
                <w:b/>
                <w:bCs/>
              </w:rPr>
              <w:lastRenderedPageBreak/>
              <w:t>Uwaga wyjaśniona</w:t>
            </w:r>
          </w:p>
          <w:p w14:paraId="3A077C7F" w14:textId="220589FF" w:rsidR="005F07A0" w:rsidRPr="00F66DE0" w:rsidRDefault="005F07A0" w:rsidP="00AA001C">
            <w:pPr>
              <w:pStyle w:val="Bezodstpw"/>
              <w:spacing w:after="120"/>
              <w:jc w:val="both"/>
              <w:rPr>
                <w:rFonts w:ascii="Times New Roman" w:hAnsi="Times New Roman" w:cs="Times New Roman"/>
              </w:rPr>
            </w:pPr>
            <w:r w:rsidRPr="00F66DE0">
              <w:rPr>
                <w:rFonts w:ascii="Times New Roman" w:hAnsi="Times New Roman" w:cs="Times New Roman"/>
              </w:rPr>
              <w:t>Obowiązek materialny został już nałożony przez ustawodawcę bezpośrednio w</w:t>
            </w:r>
            <w:r w:rsidR="00750142">
              <w:rPr>
                <w:rFonts w:ascii="Times New Roman" w:hAnsi="Times New Roman" w:cs="Times New Roman"/>
              </w:rPr>
              <w:t> </w:t>
            </w:r>
            <w:r w:rsidR="004C1E66">
              <w:rPr>
                <w:rFonts w:ascii="Times New Roman" w:hAnsi="Times New Roman" w:cs="Times New Roman"/>
              </w:rPr>
              <w:t>ustawie</w:t>
            </w:r>
            <w:r w:rsidR="004C1E66" w:rsidRPr="00F66DE0">
              <w:rPr>
                <w:rFonts w:ascii="Times New Roman" w:hAnsi="Times New Roman" w:cs="Times New Roman"/>
              </w:rPr>
              <w:t xml:space="preserve"> </w:t>
            </w:r>
            <w:r w:rsidRPr="00F66DE0">
              <w:rPr>
                <w:rFonts w:ascii="Times New Roman" w:hAnsi="Times New Roman" w:cs="Times New Roman"/>
              </w:rPr>
              <w:t xml:space="preserve">w postaci np. zapewnienia warunków dostępu i utrwalania. </w:t>
            </w:r>
            <w:r w:rsidR="006B4431" w:rsidRPr="00F66DE0">
              <w:rPr>
                <w:rFonts w:ascii="Times New Roman" w:hAnsi="Times New Roman" w:cs="Times New Roman"/>
              </w:rPr>
              <w:t xml:space="preserve">Projekt </w:t>
            </w:r>
            <w:r w:rsidR="00F17A45">
              <w:rPr>
                <w:rFonts w:ascii="Times New Roman" w:hAnsi="Times New Roman" w:cs="Times New Roman"/>
              </w:rPr>
              <w:t xml:space="preserve">rozporządzenia </w:t>
            </w:r>
            <w:r w:rsidRPr="00F66DE0">
              <w:rPr>
                <w:rFonts w:ascii="Times New Roman" w:hAnsi="Times New Roman" w:cs="Times New Roman"/>
              </w:rPr>
              <w:t>nie tworzy nowego obowiązku materialnego, lecz precyzuje standaryzację techniczną i tryb eksploatacji interfejsu tak, aby korzystanie z</w:t>
            </w:r>
            <w:r w:rsidR="00750142">
              <w:rPr>
                <w:rFonts w:ascii="Times New Roman" w:hAnsi="Times New Roman" w:cs="Times New Roman"/>
              </w:rPr>
              <w:t> </w:t>
            </w:r>
            <w:r w:rsidRPr="00F66DE0">
              <w:rPr>
                <w:rFonts w:ascii="Times New Roman" w:hAnsi="Times New Roman" w:cs="Times New Roman"/>
              </w:rPr>
              <w:t>interfejsu mogło być</w:t>
            </w:r>
            <w:r w:rsidR="00103714">
              <w:rPr>
                <w:rFonts w:ascii="Times New Roman" w:hAnsi="Times New Roman" w:cs="Times New Roman"/>
              </w:rPr>
              <w:t xml:space="preserve"> realizowane w</w:t>
            </w:r>
            <w:r w:rsidRPr="00F66DE0">
              <w:rPr>
                <w:rFonts w:ascii="Times New Roman" w:hAnsi="Times New Roman" w:cs="Times New Roman"/>
              </w:rPr>
              <w:t xml:space="preserve"> </w:t>
            </w:r>
            <w:r w:rsidR="00103714">
              <w:rPr>
                <w:rFonts w:ascii="Times New Roman" w:hAnsi="Times New Roman" w:cs="Times New Roman"/>
              </w:rPr>
              <w:t>sposób</w:t>
            </w:r>
            <w:r w:rsidRPr="00F66DE0">
              <w:rPr>
                <w:rFonts w:ascii="Times New Roman" w:hAnsi="Times New Roman" w:cs="Times New Roman"/>
              </w:rPr>
              <w:t xml:space="preserve"> </w:t>
            </w:r>
            <w:r w:rsidR="00103714">
              <w:rPr>
                <w:rFonts w:ascii="Times New Roman" w:hAnsi="Times New Roman" w:cs="Times New Roman"/>
              </w:rPr>
              <w:t>efektywny</w:t>
            </w:r>
            <w:r w:rsidRPr="00F66DE0">
              <w:rPr>
                <w:rFonts w:ascii="Times New Roman" w:hAnsi="Times New Roman" w:cs="Times New Roman"/>
              </w:rPr>
              <w:t>.</w:t>
            </w:r>
          </w:p>
          <w:p w14:paraId="5ACB1EEF" w14:textId="77777777" w:rsidR="005F07A0" w:rsidRPr="00F66DE0" w:rsidRDefault="005F07A0" w:rsidP="00AA001C">
            <w:pPr>
              <w:pStyle w:val="Bezodstpw"/>
              <w:spacing w:after="120"/>
              <w:jc w:val="both"/>
              <w:rPr>
                <w:rFonts w:ascii="Times New Roman" w:hAnsi="Times New Roman" w:cs="Times New Roman"/>
                <w:u w:val="single"/>
              </w:rPr>
            </w:pPr>
            <w:r w:rsidRPr="00F66DE0">
              <w:rPr>
                <w:rFonts w:ascii="Times New Roman" w:hAnsi="Times New Roman" w:cs="Times New Roman"/>
                <w:u w:val="single"/>
              </w:rPr>
              <w:t>Pkt 5.9 Obowiązek 96-godzinnego buforowania:</w:t>
            </w:r>
          </w:p>
          <w:p w14:paraId="2E1C7C10" w14:textId="5AE33DEA" w:rsidR="005F07A0" w:rsidRDefault="005F07A0" w:rsidP="00AA001C">
            <w:pPr>
              <w:pStyle w:val="Bezodstpw"/>
              <w:spacing w:after="120"/>
              <w:jc w:val="both"/>
              <w:rPr>
                <w:rFonts w:ascii="Times New Roman" w:hAnsi="Times New Roman" w:cs="Times New Roman"/>
              </w:rPr>
            </w:pPr>
            <w:r w:rsidRPr="00F66DE0">
              <w:rPr>
                <w:rFonts w:ascii="Times New Roman" w:hAnsi="Times New Roman" w:cs="Times New Roman"/>
              </w:rPr>
              <w:t xml:space="preserve">Buforowanie danych jest parametrem techniczno-eksploatacyjnym samego interfejsu oraz współpracujących z nim systemów. Określa ono techniczną zdolność interfejsu do retencji danych w przypadku np. awarii łączności. Odnosi się bezpośrednio do reżimu pracy (eksploatacji) interfejsu w warunkach zakłóceń </w:t>
            </w:r>
            <w:r w:rsidRPr="00F66DE0">
              <w:rPr>
                <w:rFonts w:ascii="Times New Roman" w:hAnsi="Times New Roman" w:cs="Times New Roman"/>
              </w:rPr>
              <w:lastRenderedPageBreak/>
              <w:t>operacyjnych. Z punktu widzenia inżynierii systemów jest to standardowy wymóg eksploatacyjny zapewniający ciągłość działania systemu.</w:t>
            </w:r>
          </w:p>
          <w:p w14:paraId="034E8A1D" w14:textId="0F4DF743" w:rsidR="00DA04C3" w:rsidRDefault="00DA04C3" w:rsidP="00AA001C">
            <w:pPr>
              <w:pStyle w:val="Bezodstpw"/>
              <w:spacing w:after="120"/>
              <w:jc w:val="both"/>
              <w:rPr>
                <w:rFonts w:ascii="Times New Roman" w:hAnsi="Times New Roman" w:cs="Times New Roman"/>
              </w:rPr>
            </w:pPr>
            <w:r>
              <w:rPr>
                <w:rFonts w:ascii="Times New Roman" w:hAnsi="Times New Roman" w:cs="Times New Roman"/>
              </w:rPr>
              <w:t>Nadmienić należy, że wskutek uwagi wniesionej przez Polską Izbę Informatyki i</w:t>
            </w:r>
            <w:r w:rsidR="00750142">
              <w:rPr>
                <w:rFonts w:ascii="Times New Roman" w:hAnsi="Times New Roman" w:cs="Times New Roman"/>
              </w:rPr>
              <w:t> </w:t>
            </w:r>
            <w:r>
              <w:rPr>
                <w:rFonts w:ascii="Times New Roman" w:hAnsi="Times New Roman" w:cs="Times New Roman"/>
              </w:rPr>
              <w:t>Telekomunikacji wielkość bufora zmieniono na 72 godziny.</w:t>
            </w:r>
          </w:p>
          <w:p w14:paraId="759BC734" w14:textId="18E4A2E7" w:rsidR="005F07A0" w:rsidRPr="00F66DE0" w:rsidRDefault="005F07A0" w:rsidP="00AA001C">
            <w:pPr>
              <w:pStyle w:val="Bezodstpw"/>
              <w:spacing w:after="120"/>
              <w:jc w:val="both"/>
              <w:rPr>
                <w:rFonts w:ascii="Times New Roman" w:hAnsi="Times New Roman" w:cs="Times New Roman"/>
                <w:u w:val="single"/>
              </w:rPr>
            </w:pPr>
            <w:r w:rsidRPr="00F66DE0">
              <w:rPr>
                <w:rFonts w:ascii="Times New Roman" w:hAnsi="Times New Roman" w:cs="Times New Roman"/>
                <w:u w:val="single"/>
              </w:rPr>
              <w:t>Pkt 6.13 Dopuszczenie trybu półautomatycznego i termin 24</w:t>
            </w:r>
            <w:r w:rsidR="00103714">
              <w:rPr>
                <w:rFonts w:ascii="Times New Roman" w:hAnsi="Times New Roman" w:cs="Times New Roman"/>
                <w:u w:val="single"/>
              </w:rPr>
              <w:t xml:space="preserve"> godzin</w:t>
            </w:r>
            <w:r w:rsidRPr="00F66DE0">
              <w:rPr>
                <w:rFonts w:ascii="Times New Roman" w:hAnsi="Times New Roman" w:cs="Times New Roman"/>
                <w:u w:val="single"/>
              </w:rPr>
              <w:t xml:space="preserve"> na działanie pracownika:</w:t>
            </w:r>
          </w:p>
          <w:p w14:paraId="0734D952" w14:textId="4BA680EE" w:rsidR="00B94322" w:rsidRPr="00F66DE0" w:rsidRDefault="005F07A0" w:rsidP="00AA001C">
            <w:pPr>
              <w:pStyle w:val="Bezodstpw"/>
              <w:spacing w:after="120"/>
              <w:jc w:val="both"/>
              <w:rPr>
                <w:rFonts w:ascii="Times New Roman" w:hAnsi="Times New Roman" w:cs="Times New Roman"/>
              </w:rPr>
            </w:pPr>
            <w:r w:rsidRPr="00F66DE0">
              <w:rPr>
                <w:rFonts w:ascii="Times New Roman" w:hAnsi="Times New Roman" w:cs="Times New Roman"/>
              </w:rPr>
              <w:t>Określenie trybu pracy interfejsu (automatyczny, półautomatyczny) wprost określa sposób jego obsługi eksploatacyjnej. Wyznaczenie ram czasowych (24</w:t>
            </w:r>
            <w:r w:rsidR="00103714">
              <w:rPr>
                <w:rFonts w:ascii="Times New Roman" w:hAnsi="Times New Roman" w:cs="Times New Roman"/>
              </w:rPr>
              <w:t xml:space="preserve"> godzin</w:t>
            </w:r>
            <w:r w:rsidRPr="00F66DE0">
              <w:rPr>
                <w:rFonts w:ascii="Times New Roman" w:hAnsi="Times New Roman" w:cs="Times New Roman"/>
              </w:rPr>
              <w:t xml:space="preserve">) na reakcję pracownika operatora jest dopuszczalnym doprecyzowaniem procedury eksploatacyjnej w sytuacji, gdy ze względów technicznych bądź prawnych wykonanie określonej czynności nie odbywa się w pełni automatycznie. </w:t>
            </w:r>
          </w:p>
          <w:p w14:paraId="54D1209F" w14:textId="26968396" w:rsidR="001B7942" w:rsidRPr="00F66DE0" w:rsidRDefault="001B7942" w:rsidP="00AA001C">
            <w:pPr>
              <w:pStyle w:val="Bezodstpw"/>
              <w:spacing w:after="120"/>
              <w:jc w:val="both"/>
              <w:rPr>
                <w:rFonts w:ascii="Times New Roman" w:hAnsi="Times New Roman" w:cs="Times New Roman"/>
              </w:rPr>
            </w:pPr>
            <w:r w:rsidRPr="00F66DE0">
              <w:rPr>
                <w:rFonts w:ascii="Times New Roman" w:hAnsi="Times New Roman" w:cs="Times New Roman"/>
              </w:rPr>
              <w:t>Rządowe Centrum Legislacji nie zgłosiło uwag w tych kwestiach.</w:t>
            </w:r>
          </w:p>
        </w:tc>
      </w:tr>
      <w:tr w:rsidR="00B94322" w:rsidRPr="00B94B4E" w14:paraId="524AF7D4" w14:textId="77777777" w:rsidTr="00F66DE0">
        <w:tc>
          <w:tcPr>
            <w:tcW w:w="597" w:type="dxa"/>
            <w:tcBorders>
              <w:bottom w:val="single" w:sz="4" w:space="0" w:color="auto"/>
            </w:tcBorders>
          </w:tcPr>
          <w:p w14:paraId="52EAB2F3" w14:textId="77777777" w:rsidR="00B94322" w:rsidRPr="00F66DE0" w:rsidRDefault="00B94322" w:rsidP="00A71543">
            <w:pPr>
              <w:pStyle w:val="Bezodstpw"/>
              <w:numPr>
                <w:ilvl w:val="0"/>
                <w:numId w:val="2"/>
              </w:numPr>
              <w:ind w:left="171" w:hanging="171"/>
              <w:jc w:val="center"/>
              <w:rPr>
                <w:rFonts w:ascii="Times New Roman" w:hAnsi="Times New Roman" w:cs="Times New Roman"/>
              </w:rPr>
            </w:pPr>
          </w:p>
        </w:tc>
        <w:tc>
          <w:tcPr>
            <w:tcW w:w="1241" w:type="dxa"/>
            <w:tcBorders>
              <w:bottom w:val="single" w:sz="4" w:space="0" w:color="auto"/>
            </w:tcBorders>
          </w:tcPr>
          <w:p w14:paraId="42F15055" w14:textId="77777777" w:rsidR="00225F97" w:rsidRPr="00F66DE0" w:rsidRDefault="00225F97" w:rsidP="00225F97">
            <w:pPr>
              <w:pStyle w:val="Bezodstpw"/>
              <w:jc w:val="center"/>
              <w:rPr>
                <w:rFonts w:ascii="Times New Roman" w:hAnsi="Times New Roman" w:cs="Times New Roman"/>
              </w:rPr>
            </w:pPr>
            <w:r w:rsidRPr="00F66DE0">
              <w:rPr>
                <w:rFonts w:ascii="Times New Roman" w:hAnsi="Times New Roman" w:cs="Times New Roman"/>
              </w:rPr>
              <w:t>Załącznik</w:t>
            </w:r>
          </w:p>
          <w:p w14:paraId="10DFE487" w14:textId="5244058E" w:rsidR="00B94322" w:rsidRPr="00F66DE0" w:rsidRDefault="00225F97" w:rsidP="00225F97">
            <w:pPr>
              <w:pStyle w:val="Bezodstpw"/>
              <w:jc w:val="center"/>
              <w:rPr>
                <w:rFonts w:ascii="Times New Roman" w:hAnsi="Times New Roman" w:cs="Times New Roman"/>
              </w:rPr>
            </w:pPr>
            <w:r w:rsidRPr="00F66DE0">
              <w:rPr>
                <w:rFonts w:ascii="Times New Roman" w:hAnsi="Times New Roman" w:cs="Times New Roman"/>
              </w:rPr>
              <w:t>pkt 8.5</w:t>
            </w:r>
          </w:p>
        </w:tc>
        <w:tc>
          <w:tcPr>
            <w:tcW w:w="1418" w:type="dxa"/>
            <w:tcBorders>
              <w:bottom w:val="single" w:sz="4" w:space="0" w:color="auto"/>
            </w:tcBorders>
          </w:tcPr>
          <w:p w14:paraId="784ED71F" w14:textId="67B55AF6" w:rsidR="00B94322" w:rsidRPr="004C1E66" w:rsidRDefault="00B94322" w:rsidP="0088443B">
            <w:pPr>
              <w:pStyle w:val="Bezodstpw"/>
              <w:jc w:val="center"/>
              <w:rPr>
                <w:rFonts w:ascii="Times New Roman" w:hAnsi="Times New Roman" w:cs="Times New Roman"/>
                <w:b/>
                <w:bCs/>
              </w:rPr>
            </w:pPr>
            <w:r w:rsidRPr="004C1E66">
              <w:rPr>
                <w:rFonts w:ascii="Times New Roman" w:hAnsi="Times New Roman" w:cs="Times New Roman"/>
                <w:b/>
                <w:bCs/>
              </w:rPr>
              <w:t xml:space="preserve">Rada </w:t>
            </w:r>
            <w:r w:rsidR="00B94B4E" w:rsidRPr="004C1E66">
              <w:rPr>
                <w:rFonts w:ascii="Times New Roman" w:hAnsi="Times New Roman" w:cs="Times New Roman"/>
                <w:b/>
                <w:bCs/>
              </w:rPr>
              <w:t>do Spraw</w:t>
            </w:r>
            <w:r w:rsidR="00B94B4E" w:rsidRPr="004C1E66" w:rsidDel="00B94B4E">
              <w:rPr>
                <w:rFonts w:ascii="Times New Roman" w:hAnsi="Times New Roman" w:cs="Times New Roman"/>
                <w:b/>
                <w:bCs/>
              </w:rPr>
              <w:t xml:space="preserve"> </w:t>
            </w:r>
            <w:r w:rsidRPr="004C1E66">
              <w:rPr>
                <w:rFonts w:ascii="Times New Roman" w:hAnsi="Times New Roman" w:cs="Times New Roman"/>
                <w:b/>
                <w:bCs/>
              </w:rPr>
              <w:t xml:space="preserve"> Cyfryzacji</w:t>
            </w:r>
          </w:p>
        </w:tc>
        <w:tc>
          <w:tcPr>
            <w:tcW w:w="4536" w:type="dxa"/>
            <w:tcBorders>
              <w:bottom w:val="single" w:sz="4" w:space="0" w:color="auto"/>
            </w:tcBorders>
          </w:tcPr>
          <w:p w14:paraId="039FB66D" w14:textId="4EE2BC7D" w:rsidR="00B94322" w:rsidRPr="00F66DE0" w:rsidRDefault="00B94322" w:rsidP="0088443B">
            <w:pPr>
              <w:pStyle w:val="Bezodstpw"/>
              <w:spacing w:after="120"/>
              <w:jc w:val="both"/>
              <w:rPr>
                <w:rFonts w:ascii="Times New Roman" w:hAnsi="Times New Roman" w:cs="Times New Roman"/>
              </w:rPr>
            </w:pPr>
            <w:r w:rsidRPr="00F66DE0">
              <w:rPr>
                <w:rFonts w:ascii="Times New Roman" w:hAnsi="Times New Roman" w:cs="Times New Roman"/>
              </w:rPr>
              <w:t>Dodatkowa wątpliwość co do treści pkt 8.5 gdyż zapis nie jest wymogiem dla interfejsu jako takiego - zastanawiam się, czy delegacja ustawowa pozwala regulować tego rodzaju obowiązek (to może być jeden z bardziej podatnych na zarzut przepisów);</w:t>
            </w:r>
          </w:p>
        </w:tc>
        <w:tc>
          <w:tcPr>
            <w:tcW w:w="7371" w:type="dxa"/>
            <w:tcBorders>
              <w:bottom w:val="single" w:sz="4" w:space="0" w:color="auto"/>
            </w:tcBorders>
          </w:tcPr>
          <w:p w14:paraId="04100726" w14:textId="77777777" w:rsidR="001B7942" w:rsidRPr="00F66DE0" w:rsidRDefault="001B7942" w:rsidP="00F66DE0">
            <w:pPr>
              <w:pStyle w:val="Bezodstpw"/>
              <w:jc w:val="both"/>
              <w:rPr>
                <w:rFonts w:ascii="Times New Roman" w:hAnsi="Times New Roman" w:cs="Times New Roman"/>
                <w:b/>
                <w:bCs/>
              </w:rPr>
            </w:pPr>
            <w:r w:rsidRPr="00F66DE0">
              <w:rPr>
                <w:rFonts w:ascii="Times New Roman" w:hAnsi="Times New Roman" w:cs="Times New Roman"/>
                <w:b/>
                <w:bCs/>
              </w:rPr>
              <w:t>Uwaga wyjaśniona</w:t>
            </w:r>
          </w:p>
          <w:p w14:paraId="54D198BB" w14:textId="2F53B87F" w:rsidR="001B7942" w:rsidRPr="00F66DE0" w:rsidRDefault="001B7942" w:rsidP="00AA001C">
            <w:pPr>
              <w:pStyle w:val="Bezodstpw"/>
              <w:spacing w:after="120"/>
              <w:jc w:val="both"/>
              <w:rPr>
                <w:rFonts w:ascii="Times New Roman" w:hAnsi="Times New Roman" w:cs="Times New Roman"/>
              </w:rPr>
            </w:pPr>
            <w:r w:rsidRPr="00F66DE0">
              <w:rPr>
                <w:rFonts w:ascii="Times New Roman" w:hAnsi="Times New Roman" w:cs="Times New Roman"/>
              </w:rPr>
              <w:t>Pojęcie „wymagań eksploatacyjnych” obejmuje również zapewnienie pełnej interoperacyjności systemów przedsiębiorcy telekomunikacyjnego z systemami uprawnionych podmiotów. Przekazanie kodeka nie jest nowym obowiązkiem materialnym, lecz technicznym standardem procedury eksploatacyjnej – analogicznym do przekazania opisu protokołu, nagłówków czy struktury danych. Skoro przedsiębiorca telekomunikacyjny decyduje się na eksploatację interfejsu z</w:t>
            </w:r>
            <w:r w:rsidR="00750142">
              <w:rPr>
                <w:rFonts w:ascii="Times New Roman" w:hAnsi="Times New Roman" w:cs="Times New Roman"/>
              </w:rPr>
              <w:t> </w:t>
            </w:r>
            <w:r w:rsidRPr="00F66DE0">
              <w:rPr>
                <w:rFonts w:ascii="Times New Roman" w:hAnsi="Times New Roman" w:cs="Times New Roman"/>
              </w:rPr>
              <w:t>użyciem niestandardowego kodu, to w ramach utrzymania eksploatacyjnego tego interfejsu ma obowiązek dostarczyć narzędzie umożliwiające jego odczyt.</w:t>
            </w:r>
          </w:p>
          <w:p w14:paraId="65086BFA" w14:textId="1434B976" w:rsidR="00AA001C" w:rsidRPr="00F66DE0" w:rsidRDefault="00AA001C" w:rsidP="00AA001C">
            <w:pPr>
              <w:pStyle w:val="Bezodstpw"/>
              <w:spacing w:after="120"/>
              <w:jc w:val="both"/>
              <w:rPr>
                <w:rFonts w:ascii="Times New Roman" w:hAnsi="Times New Roman" w:cs="Times New Roman"/>
              </w:rPr>
            </w:pPr>
            <w:r w:rsidRPr="00F66DE0">
              <w:rPr>
                <w:rFonts w:ascii="Times New Roman" w:hAnsi="Times New Roman" w:cs="Times New Roman"/>
              </w:rPr>
              <w:t>Przepis nie nakłada na przedsiębiorcę obowiązku tworzenia nowego oprogramowania ani zakupu licencji, a jedynie udostępnienie tego elementu, którym operator już dysponuje w ramach własnej sieci. Nie jest to więc obowiązek materialny, a jedynie udostępnienie komponentu technologicznego niezbędnego do obsłużenia strumienia danych z interfejsu.</w:t>
            </w:r>
          </w:p>
          <w:p w14:paraId="2126384F" w14:textId="033CFF57" w:rsidR="00B94322" w:rsidRPr="00F66DE0" w:rsidRDefault="00AA001C" w:rsidP="00AA001C">
            <w:pPr>
              <w:pStyle w:val="Bezodstpw"/>
              <w:spacing w:after="120"/>
              <w:jc w:val="both"/>
              <w:rPr>
                <w:rFonts w:ascii="Times New Roman" w:hAnsi="Times New Roman" w:cs="Times New Roman"/>
              </w:rPr>
            </w:pPr>
            <w:r w:rsidRPr="00F66DE0">
              <w:rPr>
                <w:rFonts w:ascii="Times New Roman" w:hAnsi="Times New Roman" w:cs="Times New Roman"/>
              </w:rPr>
              <w:t>Rządowe Centrum Legislacji nie zgłosiło uwag w tej kwestii.</w:t>
            </w:r>
          </w:p>
        </w:tc>
      </w:tr>
      <w:tr w:rsidR="00B94322" w:rsidRPr="00B94B4E" w14:paraId="45037E43" w14:textId="77777777" w:rsidTr="00F66DE0">
        <w:tc>
          <w:tcPr>
            <w:tcW w:w="597" w:type="dxa"/>
            <w:tcBorders>
              <w:bottom w:val="single" w:sz="4" w:space="0" w:color="auto"/>
            </w:tcBorders>
          </w:tcPr>
          <w:p w14:paraId="5CB59B47" w14:textId="77777777" w:rsidR="00B94322" w:rsidRPr="00F66DE0" w:rsidRDefault="00B94322" w:rsidP="00A71543">
            <w:pPr>
              <w:pStyle w:val="Bezodstpw"/>
              <w:numPr>
                <w:ilvl w:val="0"/>
                <w:numId w:val="2"/>
              </w:numPr>
              <w:ind w:left="171" w:hanging="171"/>
              <w:jc w:val="center"/>
              <w:rPr>
                <w:rFonts w:ascii="Times New Roman" w:hAnsi="Times New Roman" w:cs="Times New Roman"/>
              </w:rPr>
            </w:pPr>
          </w:p>
        </w:tc>
        <w:tc>
          <w:tcPr>
            <w:tcW w:w="1241" w:type="dxa"/>
            <w:tcBorders>
              <w:bottom w:val="single" w:sz="4" w:space="0" w:color="auto"/>
            </w:tcBorders>
          </w:tcPr>
          <w:p w14:paraId="169606CF" w14:textId="77777777" w:rsidR="00225F97" w:rsidRPr="00F66DE0" w:rsidRDefault="00225F97" w:rsidP="00225F97">
            <w:pPr>
              <w:pStyle w:val="Bezodstpw"/>
              <w:jc w:val="center"/>
              <w:rPr>
                <w:rFonts w:ascii="Times New Roman" w:hAnsi="Times New Roman" w:cs="Times New Roman"/>
              </w:rPr>
            </w:pPr>
            <w:r w:rsidRPr="00F66DE0">
              <w:rPr>
                <w:rFonts w:ascii="Times New Roman" w:hAnsi="Times New Roman" w:cs="Times New Roman"/>
              </w:rPr>
              <w:t>Załącznik</w:t>
            </w:r>
          </w:p>
          <w:p w14:paraId="148FEE19" w14:textId="77777777" w:rsidR="00225F97" w:rsidRPr="00F66DE0" w:rsidRDefault="00225F97" w:rsidP="00225F97">
            <w:pPr>
              <w:pStyle w:val="Bezodstpw"/>
              <w:jc w:val="center"/>
              <w:rPr>
                <w:rFonts w:ascii="Times New Roman" w:hAnsi="Times New Roman" w:cs="Times New Roman"/>
              </w:rPr>
            </w:pPr>
            <w:r w:rsidRPr="00F66DE0">
              <w:rPr>
                <w:rFonts w:ascii="Times New Roman" w:hAnsi="Times New Roman" w:cs="Times New Roman"/>
              </w:rPr>
              <w:t>pkt 5.9</w:t>
            </w:r>
          </w:p>
          <w:p w14:paraId="3E12E343" w14:textId="596C56E1" w:rsidR="00B94322" w:rsidRPr="00F66DE0" w:rsidRDefault="00B94322" w:rsidP="00225F97">
            <w:pPr>
              <w:pStyle w:val="Bezodstpw"/>
              <w:jc w:val="center"/>
              <w:rPr>
                <w:rFonts w:ascii="Times New Roman" w:hAnsi="Times New Roman" w:cs="Times New Roman"/>
              </w:rPr>
            </w:pPr>
          </w:p>
        </w:tc>
        <w:tc>
          <w:tcPr>
            <w:tcW w:w="1418" w:type="dxa"/>
            <w:tcBorders>
              <w:bottom w:val="single" w:sz="4" w:space="0" w:color="auto"/>
            </w:tcBorders>
          </w:tcPr>
          <w:p w14:paraId="75A54D77" w14:textId="336F6B4E" w:rsidR="00B94322" w:rsidRPr="004C1E66" w:rsidRDefault="00B94322" w:rsidP="0088443B">
            <w:pPr>
              <w:pStyle w:val="Bezodstpw"/>
              <w:jc w:val="center"/>
              <w:rPr>
                <w:rFonts w:ascii="Times New Roman" w:hAnsi="Times New Roman" w:cs="Times New Roman"/>
                <w:b/>
                <w:bCs/>
              </w:rPr>
            </w:pPr>
            <w:r w:rsidRPr="004C1E66">
              <w:rPr>
                <w:rFonts w:ascii="Times New Roman" w:hAnsi="Times New Roman" w:cs="Times New Roman"/>
                <w:b/>
                <w:bCs/>
              </w:rPr>
              <w:t xml:space="preserve">Rada </w:t>
            </w:r>
            <w:r w:rsidR="00B94B4E" w:rsidRPr="004C1E66">
              <w:rPr>
                <w:rFonts w:ascii="Times New Roman" w:hAnsi="Times New Roman" w:cs="Times New Roman"/>
                <w:b/>
                <w:bCs/>
              </w:rPr>
              <w:t>do Spraw</w:t>
            </w:r>
            <w:r w:rsidR="00B94B4E" w:rsidRPr="004C1E66" w:rsidDel="00B94B4E">
              <w:rPr>
                <w:rFonts w:ascii="Times New Roman" w:hAnsi="Times New Roman" w:cs="Times New Roman"/>
                <w:b/>
                <w:bCs/>
              </w:rPr>
              <w:t xml:space="preserve"> </w:t>
            </w:r>
            <w:r w:rsidRPr="004C1E66">
              <w:rPr>
                <w:rFonts w:ascii="Times New Roman" w:hAnsi="Times New Roman" w:cs="Times New Roman"/>
                <w:b/>
                <w:bCs/>
              </w:rPr>
              <w:t xml:space="preserve"> Cyfryzacji</w:t>
            </w:r>
          </w:p>
        </w:tc>
        <w:tc>
          <w:tcPr>
            <w:tcW w:w="4536" w:type="dxa"/>
            <w:tcBorders>
              <w:bottom w:val="single" w:sz="4" w:space="0" w:color="auto"/>
            </w:tcBorders>
          </w:tcPr>
          <w:p w14:paraId="6199BD0C" w14:textId="1200429F" w:rsidR="00B94322" w:rsidRPr="00F66DE0" w:rsidRDefault="00B94322" w:rsidP="00B94322">
            <w:pPr>
              <w:pStyle w:val="Bezodstpw"/>
              <w:spacing w:after="120"/>
              <w:jc w:val="both"/>
              <w:rPr>
                <w:rFonts w:ascii="Times New Roman" w:hAnsi="Times New Roman" w:cs="Times New Roman"/>
              </w:rPr>
            </w:pPr>
            <w:r w:rsidRPr="00F66DE0">
              <w:rPr>
                <w:rFonts w:ascii="Times New Roman" w:hAnsi="Times New Roman" w:cs="Times New Roman"/>
              </w:rPr>
              <w:t xml:space="preserve">Pkt 5.9 - zwrot </w:t>
            </w:r>
            <w:r w:rsidR="00934BDF">
              <w:rPr>
                <w:rFonts w:ascii="Times New Roman" w:hAnsi="Times New Roman" w:cs="Times New Roman"/>
              </w:rPr>
              <w:t>„</w:t>
            </w:r>
            <w:r w:rsidRPr="00F66DE0">
              <w:rPr>
                <w:rFonts w:ascii="Times New Roman" w:hAnsi="Times New Roman" w:cs="Times New Roman"/>
              </w:rPr>
              <w:t>bez zbędnej zwłoki</w:t>
            </w:r>
            <w:r w:rsidR="00934BDF">
              <w:rPr>
                <w:rFonts w:ascii="Times New Roman" w:hAnsi="Times New Roman" w:cs="Times New Roman"/>
              </w:rPr>
              <w:t>”</w:t>
            </w:r>
            <w:r w:rsidRPr="00F66DE0">
              <w:rPr>
                <w:rFonts w:ascii="Times New Roman" w:hAnsi="Times New Roman" w:cs="Times New Roman"/>
              </w:rPr>
              <w:t xml:space="preserve"> oraz jednocześnie </w:t>
            </w:r>
            <w:r w:rsidR="00934BDF">
              <w:rPr>
                <w:rFonts w:ascii="Times New Roman" w:hAnsi="Times New Roman" w:cs="Times New Roman"/>
              </w:rPr>
              <w:t>„</w:t>
            </w:r>
            <w:r w:rsidRPr="00F66DE0">
              <w:rPr>
                <w:rFonts w:ascii="Times New Roman" w:hAnsi="Times New Roman" w:cs="Times New Roman"/>
              </w:rPr>
              <w:t>96</w:t>
            </w:r>
            <w:r w:rsidRPr="00F66DE0">
              <w:rPr>
                <w:rFonts w:ascii="Times New Roman" w:hAnsi="Times New Roman" w:cs="Times New Roman"/>
              </w:rPr>
              <w:noBreakHyphen/>
              <w:t>godzinne buforowanie</w:t>
            </w:r>
            <w:r w:rsidR="00934BDF">
              <w:rPr>
                <w:rFonts w:ascii="Times New Roman" w:hAnsi="Times New Roman" w:cs="Times New Roman"/>
              </w:rPr>
              <w:t>”</w:t>
            </w:r>
            <w:r w:rsidRPr="00F66DE0">
              <w:rPr>
                <w:rFonts w:ascii="Times New Roman" w:hAnsi="Times New Roman" w:cs="Times New Roman"/>
              </w:rPr>
              <w:t xml:space="preserve"> - w mojej opinii warto rozważyć doprecyzowanie celu stosowania 96</w:t>
            </w:r>
            <w:r w:rsidRPr="00F66DE0">
              <w:rPr>
                <w:rFonts w:ascii="Times New Roman" w:hAnsi="Times New Roman" w:cs="Times New Roman"/>
              </w:rPr>
              <w:noBreakHyphen/>
              <w:t xml:space="preserve">godzinnego buforowania danych. Projekt nie wskazuje, czy buforowanie służy zapewnieniu ciągłości przekazywania danych w przypadku awarii lub czasowej niedostępności systemu LEMF, czy realizuje inne funkcje techniczne. Doprecyzowanie zwiększyłoby przejrzystość regulacji i ułatwiłoby ocenę proporcjonalności przyjętego okresu </w:t>
            </w:r>
            <w:r w:rsidRPr="00F66DE0">
              <w:rPr>
                <w:rFonts w:ascii="Times New Roman" w:hAnsi="Times New Roman" w:cs="Times New Roman"/>
              </w:rPr>
              <w:lastRenderedPageBreak/>
              <w:t xml:space="preserve">retencji / doprecyzowanie np. </w:t>
            </w:r>
            <w:r w:rsidR="00934BDF">
              <w:rPr>
                <w:rFonts w:ascii="Times New Roman" w:hAnsi="Times New Roman" w:cs="Times New Roman"/>
              </w:rPr>
              <w:t>„</w:t>
            </w:r>
            <w:r w:rsidRPr="00F66DE0">
              <w:rPr>
                <w:rFonts w:ascii="Times New Roman" w:hAnsi="Times New Roman" w:cs="Times New Roman"/>
              </w:rPr>
              <w:t>buforowanie następuje wyłącznie na potrzeby zapewnienia ciągłości dostarczania danych w przypadku awarii lub braku dostępności LEMF</w:t>
            </w:r>
            <w:r w:rsidR="00934BDF">
              <w:rPr>
                <w:rFonts w:ascii="Times New Roman" w:hAnsi="Times New Roman" w:cs="Times New Roman"/>
              </w:rPr>
              <w:t>”</w:t>
            </w:r>
            <w:r w:rsidRPr="00F66DE0">
              <w:rPr>
                <w:rFonts w:ascii="Times New Roman" w:hAnsi="Times New Roman" w:cs="Times New Roman"/>
              </w:rPr>
              <w:t>;</w:t>
            </w:r>
          </w:p>
        </w:tc>
        <w:tc>
          <w:tcPr>
            <w:tcW w:w="7371" w:type="dxa"/>
            <w:tcBorders>
              <w:bottom w:val="single" w:sz="4" w:space="0" w:color="auto"/>
            </w:tcBorders>
          </w:tcPr>
          <w:p w14:paraId="0873377F" w14:textId="468ACC30" w:rsidR="00B94322" w:rsidRPr="00F66DE0" w:rsidRDefault="00AF7C1A" w:rsidP="00F66DE0">
            <w:pPr>
              <w:pStyle w:val="Bezodstpw"/>
              <w:jc w:val="both"/>
              <w:rPr>
                <w:rFonts w:ascii="Times New Roman" w:hAnsi="Times New Roman" w:cs="Times New Roman"/>
                <w:b/>
                <w:bCs/>
              </w:rPr>
            </w:pPr>
            <w:r w:rsidRPr="00F66DE0">
              <w:rPr>
                <w:rFonts w:ascii="Times New Roman" w:hAnsi="Times New Roman" w:cs="Times New Roman"/>
                <w:b/>
                <w:bCs/>
              </w:rPr>
              <w:lastRenderedPageBreak/>
              <w:t>Uwaga wyjaśniona</w:t>
            </w:r>
          </w:p>
          <w:p w14:paraId="26A42FE4" w14:textId="28A1FA14" w:rsidR="00AF7C1A" w:rsidRPr="00F66DE0" w:rsidRDefault="00AF7C1A" w:rsidP="00251E0B">
            <w:pPr>
              <w:pStyle w:val="Bezodstpw"/>
              <w:spacing w:after="120"/>
              <w:jc w:val="both"/>
              <w:rPr>
                <w:rFonts w:ascii="Times New Roman" w:hAnsi="Times New Roman" w:cs="Times New Roman"/>
              </w:rPr>
            </w:pPr>
            <w:r w:rsidRPr="00F66DE0">
              <w:rPr>
                <w:rFonts w:ascii="Times New Roman" w:hAnsi="Times New Roman" w:cs="Times New Roman"/>
              </w:rPr>
              <w:t>Wskazane w pkt 5.9</w:t>
            </w:r>
            <w:r w:rsidR="00AC1AEC">
              <w:rPr>
                <w:rFonts w:ascii="Times New Roman" w:hAnsi="Times New Roman" w:cs="Times New Roman"/>
              </w:rPr>
              <w:t xml:space="preserve"> projektu rozporządzenia</w:t>
            </w:r>
            <w:r w:rsidRPr="00F66DE0">
              <w:rPr>
                <w:rFonts w:ascii="Times New Roman" w:hAnsi="Times New Roman" w:cs="Times New Roman"/>
              </w:rPr>
              <w:t xml:space="preserve"> pojęcia „bez zbędnej zwłoki” oraz „96-godzinne buforowanie” odnoszą się do dwóch odrębnych aspektów funkcjonowania interfejsu i nie stoją ze sobą w sprzeczności:</w:t>
            </w:r>
          </w:p>
          <w:p w14:paraId="03CE0B88" w14:textId="6D5C648C" w:rsidR="00AF7C1A" w:rsidRPr="00F66DE0" w:rsidRDefault="00AF7C1A" w:rsidP="00251E0B">
            <w:pPr>
              <w:pStyle w:val="Bezodstpw"/>
              <w:numPr>
                <w:ilvl w:val="0"/>
                <w:numId w:val="8"/>
              </w:numPr>
              <w:spacing w:after="120"/>
              <w:ind w:left="322" w:hanging="218"/>
              <w:jc w:val="both"/>
              <w:rPr>
                <w:rFonts w:ascii="Times New Roman" w:hAnsi="Times New Roman" w:cs="Times New Roman"/>
              </w:rPr>
            </w:pPr>
            <w:r w:rsidRPr="00F66DE0">
              <w:rPr>
                <w:rFonts w:ascii="Times New Roman" w:hAnsi="Times New Roman" w:cs="Times New Roman"/>
              </w:rPr>
              <w:t>sformułowanie „bez zbędnej zwłoki” wyznacza wymóg bieżącego przekazywania danych w standardowym trybie eksploatacji (</w:t>
            </w:r>
            <w:r w:rsidR="00840ACE" w:rsidRPr="00F66DE0">
              <w:rPr>
                <w:rFonts w:ascii="Times New Roman" w:hAnsi="Times New Roman" w:cs="Times New Roman"/>
              </w:rPr>
              <w:t>transmisja w</w:t>
            </w:r>
            <w:r w:rsidR="00750142">
              <w:rPr>
                <w:rFonts w:ascii="Times New Roman" w:hAnsi="Times New Roman" w:cs="Times New Roman"/>
              </w:rPr>
              <w:t> </w:t>
            </w:r>
            <w:r w:rsidR="00840ACE" w:rsidRPr="00F66DE0">
              <w:rPr>
                <w:rFonts w:ascii="Times New Roman" w:hAnsi="Times New Roman" w:cs="Times New Roman"/>
              </w:rPr>
              <w:t>czasie rzeczywistym lub bliskim czasowi rzeczywistemu</w:t>
            </w:r>
            <w:r w:rsidRPr="00F66DE0">
              <w:rPr>
                <w:rFonts w:ascii="Times New Roman" w:hAnsi="Times New Roman" w:cs="Times New Roman"/>
              </w:rPr>
              <w:t>)</w:t>
            </w:r>
            <w:r w:rsidR="00934BDF">
              <w:rPr>
                <w:rFonts w:ascii="Times New Roman" w:hAnsi="Times New Roman" w:cs="Times New Roman"/>
              </w:rPr>
              <w:t>,</w:t>
            </w:r>
          </w:p>
          <w:p w14:paraId="129D21BF" w14:textId="18917A88" w:rsidR="00AF7C1A" w:rsidRPr="00F66DE0" w:rsidRDefault="00AF7C1A" w:rsidP="00251E0B">
            <w:pPr>
              <w:pStyle w:val="Bezodstpw"/>
              <w:numPr>
                <w:ilvl w:val="0"/>
                <w:numId w:val="8"/>
              </w:numPr>
              <w:spacing w:after="120"/>
              <w:ind w:left="322" w:hanging="218"/>
              <w:jc w:val="both"/>
              <w:rPr>
                <w:rFonts w:ascii="Times New Roman" w:hAnsi="Times New Roman" w:cs="Times New Roman"/>
              </w:rPr>
            </w:pPr>
            <w:r w:rsidRPr="00F66DE0">
              <w:rPr>
                <w:rFonts w:ascii="Times New Roman" w:hAnsi="Times New Roman" w:cs="Times New Roman"/>
              </w:rPr>
              <w:t xml:space="preserve">„96-godzinne buforowanie” określa wymagany parametr odporności systemu na awarie i zakłócenia w komunikacji, stanowiąc bufor bezpieczeństwa </w:t>
            </w:r>
            <w:r w:rsidRPr="00F66DE0">
              <w:rPr>
                <w:rFonts w:ascii="Times New Roman" w:hAnsi="Times New Roman" w:cs="Times New Roman"/>
              </w:rPr>
              <w:lastRenderedPageBreak/>
              <w:t xml:space="preserve">chroniący dane przed utratą w przypadku braku możliwości ich natychmiastowego </w:t>
            </w:r>
            <w:r w:rsidR="00840ACE" w:rsidRPr="00F66DE0">
              <w:rPr>
                <w:rFonts w:ascii="Times New Roman" w:hAnsi="Times New Roman" w:cs="Times New Roman"/>
              </w:rPr>
              <w:t>udostępnienia</w:t>
            </w:r>
            <w:r w:rsidRPr="00F66DE0">
              <w:rPr>
                <w:rFonts w:ascii="Times New Roman" w:hAnsi="Times New Roman" w:cs="Times New Roman"/>
              </w:rPr>
              <w:t xml:space="preserve"> do systemu LEMF</w:t>
            </w:r>
            <w:r w:rsidR="00934BDF">
              <w:rPr>
                <w:rFonts w:ascii="Times New Roman" w:hAnsi="Times New Roman" w:cs="Times New Roman"/>
              </w:rPr>
              <w:t>.</w:t>
            </w:r>
          </w:p>
          <w:p w14:paraId="61F66813" w14:textId="1AEBEEF1" w:rsidR="00AF7C1A" w:rsidRPr="00F66DE0" w:rsidRDefault="00840ACE" w:rsidP="00251E0B">
            <w:pPr>
              <w:pStyle w:val="Bezodstpw"/>
              <w:spacing w:after="120"/>
              <w:jc w:val="both"/>
              <w:rPr>
                <w:rFonts w:ascii="Times New Roman" w:hAnsi="Times New Roman" w:cs="Times New Roman"/>
              </w:rPr>
            </w:pPr>
            <w:r w:rsidRPr="00F66DE0">
              <w:rPr>
                <w:rFonts w:ascii="Times New Roman" w:hAnsi="Times New Roman" w:cs="Times New Roman"/>
              </w:rPr>
              <w:t xml:space="preserve">Pojęcie „buforowanie” zostało zdefiniowane w </w:t>
            </w:r>
            <w:r w:rsidR="006138BB">
              <w:rPr>
                <w:rFonts w:ascii="Times New Roman" w:hAnsi="Times New Roman" w:cs="Times New Roman"/>
              </w:rPr>
              <w:t xml:space="preserve">pkt </w:t>
            </w:r>
            <w:r w:rsidRPr="00F66DE0">
              <w:rPr>
                <w:rFonts w:ascii="Times New Roman" w:hAnsi="Times New Roman" w:cs="Times New Roman"/>
              </w:rPr>
              <w:t xml:space="preserve"> 4</w:t>
            </w:r>
            <w:r w:rsidR="006138BB">
              <w:rPr>
                <w:rFonts w:ascii="Times New Roman" w:hAnsi="Times New Roman" w:cs="Times New Roman"/>
              </w:rPr>
              <w:t>.</w:t>
            </w:r>
            <w:r w:rsidRPr="00F66DE0">
              <w:rPr>
                <w:rFonts w:ascii="Times New Roman" w:hAnsi="Times New Roman" w:cs="Times New Roman"/>
              </w:rPr>
              <w:t xml:space="preserve">4 </w:t>
            </w:r>
            <w:r w:rsidR="0090329F" w:rsidRPr="00F66DE0">
              <w:rPr>
                <w:rFonts w:ascii="Times New Roman" w:hAnsi="Times New Roman" w:cs="Times New Roman"/>
              </w:rPr>
              <w:t xml:space="preserve">projektu </w:t>
            </w:r>
            <w:r w:rsidR="00F17A45">
              <w:rPr>
                <w:rFonts w:ascii="Times New Roman" w:hAnsi="Times New Roman" w:cs="Times New Roman"/>
              </w:rPr>
              <w:t xml:space="preserve">rozporządzenia </w:t>
            </w:r>
            <w:r w:rsidRPr="00F66DE0">
              <w:rPr>
                <w:rFonts w:ascii="Times New Roman" w:hAnsi="Times New Roman" w:cs="Times New Roman"/>
              </w:rPr>
              <w:t>jako „</w:t>
            </w:r>
            <w:r w:rsidRPr="00F66DE0">
              <w:rPr>
                <w:rFonts w:ascii="Times New Roman" w:hAnsi="Times New Roman" w:cs="Times New Roman"/>
                <w:i/>
                <w:iCs/>
              </w:rPr>
              <w:t>magazynowanie danych przez zespół urządzeń przedsiębiorcy telekomunikacyjnego do czasu ich przekazania do systemu teleinformatycznego LEA</w:t>
            </w:r>
            <w:r w:rsidRPr="00F66DE0">
              <w:rPr>
                <w:rFonts w:ascii="Times New Roman" w:hAnsi="Times New Roman" w:cs="Times New Roman"/>
              </w:rPr>
              <w:t>”, co precyzyjnie określa rolę tego mechanizmu. W uzasadnieniu do projektu wyjaśniono, że „</w:t>
            </w:r>
            <w:r w:rsidRPr="00F66DE0">
              <w:rPr>
                <w:rFonts w:ascii="Times New Roman" w:hAnsi="Times New Roman" w:cs="Times New Roman"/>
                <w:i/>
                <w:iCs/>
              </w:rPr>
              <w:t>Mechanizm ten stanowi w uproszczeniu tymczasowy „magazyn” danych, który przechowuje przechwycone informacje, zanim zostaną one skutecznie dostarczone do uprawnionego podmiotu. Jego stosowanie zapobiega utracie przechwytywanych danych i jego wielkość musi być tak dobrana, aby dane te nie zostały utracone</w:t>
            </w:r>
            <w:r w:rsidRPr="00F66DE0">
              <w:rPr>
                <w:rFonts w:ascii="Times New Roman" w:hAnsi="Times New Roman" w:cs="Times New Roman"/>
              </w:rPr>
              <w:t>.”</w:t>
            </w:r>
          </w:p>
        </w:tc>
      </w:tr>
      <w:tr w:rsidR="00B94322" w:rsidRPr="00B94B4E" w14:paraId="5AA67528" w14:textId="77777777" w:rsidTr="00F66DE0">
        <w:tc>
          <w:tcPr>
            <w:tcW w:w="597" w:type="dxa"/>
            <w:tcBorders>
              <w:bottom w:val="single" w:sz="4" w:space="0" w:color="auto"/>
            </w:tcBorders>
          </w:tcPr>
          <w:p w14:paraId="0269AC10" w14:textId="77777777" w:rsidR="00B94322" w:rsidRPr="00F66DE0" w:rsidRDefault="00B94322" w:rsidP="00A71543">
            <w:pPr>
              <w:pStyle w:val="Bezodstpw"/>
              <w:numPr>
                <w:ilvl w:val="0"/>
                <w:numId w:val="2"/>
              </w:numPr>
              <w:ind w:left="171" w:hanging="171"/>
              <w:jc w:val="center"/>
              <w:rPr>
                <w:rFonts w:ascii="Times New Roman" w:hAnsi="Times New Roman" w:cs="Times New Roman"/>
              </w:rPr>
            </w:pPr>
          </w:p>
        </w:tc>
        <w:tc>
          <w:tcPr>
            <w:tcW w:w="1241" w:type="dxa"/>
            <w:tcBorders>
              <w:bottom w:val="single" w:sz="4" w:space="0" w:color="auto"/>
            </w:tcBorders>
          </w:tcPr>
          <w:p w14:paraId="2C4DE90E" w14:textId="77777777" w:rsidR="00225F97" w:rsidRPr="00F66DE0" w:rsidRDefault="00225F97" w:rsidP="00225F97">
            <w:pPr>
              <w:pStyle w:val="Bezodstpw"/>
              <w:jc w:val="center"/>
              <w:rPr>
                <w:rFonts w:ascii="Times New Roman" w:hAnsi="Times New Roman" w:cs="Times New Roman"/>
              </w:rPr>
            </w:pPr>
            <w:r w:rsidRPr="00F66DE0">
              <w:rPr>
                <w:rFonts w:ascii="Times New Roman" w:hAnsi="Times New Roman" w:cs="Times New Roman"/>
              </w:rPr>
              <w:t>Załącznik</w:t>
            </w:r>
          </w:p>
          <w:p w14:paraId="43F28677" w14:textId="63F463C3" w:rsidR="00225F97" w:rsidRPr="00F66DE0" w:rsidRDefault="00225F97" w:rsidP="00225F97">
            <w:pPr>
              <w:pStyle w:val="Bezodstpw"/>
              <w:jc w:val="center"/>
              <w:rPr>
                <w:rFonts w:ascii="Times New Roman" w:hAnsi="Times New Roman" w:cs="Times New Roman"/>
              </w:rPr>
            </w:pPr>
            <w:r w:rsidRPr="00F66DE0">
              <w:rPr>
                <w:rFonts w:ascii="Times New Roman" w:hAnsi="Times New Roman" w:cs="Times New Roman"/>
              </w:rPr>
              <w:t>pkt 7.1</w:t>
            </w:r>
          </w:p>
          <w:p w14:paraId="2AFAA061" w14:textId="5D026A8E" w:rsidR="00B94322" w:rsidRPr="00F66DE0" w:rsidRDefault="00225F97" w:rsidP="00225F97">
            <w:pPr>
              <w:pStyle w:val="Bezodstpw"/>
              <w:jc w:val="center"/>
              <w:rPr>
                <w:rFonts w:ascii="Times New Roman" w:hAnsi="Times New Roman" w:cs="Times New Roman"/>
              </w:rPr>
            </w:pPr>
            <w:r w:rsidRPr="00F66DE0">
              <w:rPr>
                <w:rFonts w:ascii="Times New Roman" w:hAnsi="Times New Roman" w:cs="Times New Roman"/>
              </w:rPr>
              <w:t>pkt 8.1</w:t>
            </w:r>
          </w:p>
        </w:tc>
        <w:tc>
          <w:tcPr>
            <w:tcW w:w="1418" w:type="dxa"/>
            <w:tcBorders>
              <w:bottom w:val="single" w:sz="4" w:space="0" w:color="auto"/>
            </w:tcBorders>
          </w:tcPr>
          <w:p w14:paraId="6BE7766A" w14:textId="73C3194C" w:rsidR="00B94322" w:rsidRPr="004C1E66" w:rsidRDefault="00B94322" w:rsidP="0088443B">
            <w:pPr>
              <w:pStyle w:val="Bezodstpw"/>
              <w:jc w:val="center"/>
              <w:rPr>
                <w:rFonts w:ascii="Times New Roman" w:hAnsi="Times New Roman" w:cs="Times New Roman"/>
                <w:b/>
                <w:bCs/>
              </w:rPr>
            </w:pPr>
            <w:r w:rsidRPr="004C1E66">
              <w:rPr>
                <w:rFonts w:ascii="Times New Roman" w:hAnsi="Times New Roman" w:cs="Times New Roman"/>
                <w:b/>
                <w:bCs/>
              </w:rPr>
              <w:t xml:space="preserve">Rada </w:t>
            </w:r>
            <w:r w:rsidR="00B94B4E" w:rsidRPr="004C1E66">
              <w:rPr>
                <w:rFonts w:ascii="Times New Roman" w:hAnsi="Times New Roman" w:cs="Times New Roman"/>
                <w:b/>
                <w:bCs/>
              </w:rPr>
              <w:t>do Spraw</w:t>
            </w:r>
            <w:r w:rsidR="00B94B4E" w:rsidRPr="004C1E66" w:rsidDel="00B94B4E">
              <w:rPr>
                <w:rFonts w:ascii="Times New Roman" w:hAnsi="Times New Roman" w:cs="Times New Roman"/>
                <w:b/>
                <w:bCs/>
              </w:rPr>
              <w:t xml:space="preserve"> </w:t>
            </w:r>
            <w:r w:rsidRPr="004C1E66">
              <w:rPr>
                <w:rFonts w:ascii="Times New Roman" w:hAnsi="Times New Roman" w:cs="Times New Roman"/>
                <w:b/>
                <w:bCs/>
              </w:rPr>
              <w:t xml:space="preserve"> Cyfryzacji</w:t>
            </w:r>
          </w:p>
        </w:tc>
        <w:tc>
          <w:tcPr>
            <w:tcW w:w="4536" w:type="dxa"/>
            <w:tcBorders>
              <w:bottom w:val="single" w:sz="4" w:space="0" w:color="auto"/>
            </w:tcBorders>
          </w:tcPr>
          <w:p w14:paraId="29B6B4CC" w14:textId="45E7BF0C" w:rsidR="00B94322" w:rsidRPr="00F66DE0" w:rsidRDefault="00B94322" w:rsidP="0088443B">
            <w:pPr>
              <w:pStyle w:val="Bezodstpw"/>
              <w:spacing w:after="120"/>
              <w:jc w:val="both"/>
              <w:rPr>
                <w:rFonts w:ascii="Times New Roman" w:hAnsi="Times New Roman" w:cs="Times New Roman"/>
              </w:rPr>
            </w:pPr>
            <w:r w:rsidRPr="00F66DE0">
              <w:rPr>
                <w:rFonts w:ascii="Times New Roman" w:hAnsi="Times New Roman" w:cs="Times New Roman"/>
              </w:rPr>
              <w:t xml:space="preserve">W pkt 7.1 i 8.1 raz mamy: </w:t>
            </w:r>
            <w:r w:rsidR="00934BDF">
              <w:rPr>
                <w:rFonts w:ascii="Times New Roman" w:hAnsi="Times New Roman" w:cs="Times New Roman"/>
              </w:rPr>
              <w:t>„</w:t>
            </w:r>
            <w:r w:rsidRPr="00F66DE0">
              <w:rPr>
                <w:rFonts w:ascii="Times New Roman" w:hAnsi="Times New Roman" w:cs="Times New Roman"/>
              </w:rPr>
              <w:t>niezwłocznie, jednak nie później niż 10 minut</w:t>
            </w:r>
            <w:r w:rsidR="00934BDF">
              <w:rPr>
                <w:rFonts w:ascii="Times New Roman" w:hAnsi="Times New Roman" w:cs="Times New Roman"/>
              </w:rPr>
              <w:t>”</w:t>
            </w:r>
            <w:r w:rsidRPr="00F66DE0">
              <w:rPr>
                <w:rFonts w:ascii="Times New Roman" w:hAnsi="Times New Roman" w:cs="Times New Roman"/>
              </w:rPr>
              <w:t xml:space="preserve">, a innym razem: </w:t>
            </w:r>
            <w:r w:rsidR="00934BDF">
              <w:rPr>
                <w:rFonts w:ascii="Times New Roman" w:hAnsi="Times New Roman" w:cs="Times New Roman"/>
              </w:rPr>
              <w:t>„</w:t>
            </w:r>
            <w:r w:rsidRPr="00F66DE0">
              <w:rPr>
                <w:rFonts w:ascii="Times New Roman" w:hAnsi="Times New Roman" w:cs="Times New Roman"/>
              </w:rPr>
              <w:t>nie później niż 10 minut</w:t>
            </w:r>
            <w:r w:rsidR="00934BDF">
              <w:rPr>
                <w:rFonts w:ascii="Times New Roman" w:hAnsi="Times New Roman" w:cs="Times New Roman"/>
              </w:rPr>
              <w:t>”</w:t>
            </w:r>
            <w:r w:rsidRPr="00F66DE0">
              <w:rPr>
                <w:rFonts w:ascii="Times New Roman" w:hAnsi="Times New Roman" w:cs="Times New Roman"/>
              </w:rPr>
              <w:t xml:space="preserve"> - warto to ujednolicić</w:t>
            </w:r>
          </w:p>
        </w:tc>
        <w:tc>
          <w:tcPr>
            <w:tcW w:w="7371" w:type="dxa"/>
            <w:tcBorders>
              <w:bottom w:val="single" w:sz="4" w:space="0" w:color="auto"/>
            </w:tcBorders>
          </w:tcPr>
          <w:p w14:paraId="46358FE3" w14:textId="4C460869" w:rsidR="00B94322" w:rsidRPr="00F66DE0" w:rsidRDefault="0039365C" w:rsidP="00F66DE0">
            <w:pPr>
              <w:pStyle w:val="Bezodstpw"/>
              <w:jc w:val="both"/>
              <w:rPr>
                <w:rFonts w:ascii="Times New Roman" w:hAnsi="Times New Roman" w:cs="Times New Roman"/>
                <w:b/>
                <w:bCs/>
              </w:rPr>
            </w:pPr>
            <w:r w:rsidRPr="00F66DE0">
              <w:rPr>
                <w:rFonts w:ascii="Times New Roman" w:hAnsi="Times New Roman" w:cs="Times New Roman"/>
                <w:b/>
                <w:bCs/>
              </w:rPr>
              <w:t>Uwaga wyjaśniona</w:t>
            </w:r>
          </w:p>
          <w:p w14:paraId="5014D1D8" w14:textId="77777777" w:rsidR="0039365C" w:rsidRPr="00F66DE0" w:rsidRDefault="0039365C" w:rsidP="00251E0B">
            <w:pPr>
              <w:pStyle w:val="Bezodstpw"/>
              <w:spacing w:after="120"/>
              <w:jc w:val="both"/>
              <w:rPr>
                <w:rFonts w:ascii="Times New Roman" w:hAnsi="Times New Roman" w:cs="Times New Roman"/>
              </w:rPr>
            </w:pPr>
            <w:r w:rsidRPr="00F66DE0">
              <w:rPr>
                <w:rFonts w:ascii="Times New Roman" w:hAnsi="Times New Roman" w:cs="Times New Roman"/>
              </w:rPr>
              <w:t>Zwroty wspomniane w uwadze różnią się w sposób istotny – zarówno pod względem prawnym, jak i w zakresie obowiązków operacyjno-technicznych nakładanych na adresata rozporządzenia.</w:t>
            </w:r>
          </w:p>
          <w:p w14:paraId="7A8401A9" w14:textId="34657CD7" w:rsidR="0039365C" w:rsidRPr="00F66DE0" w:rsidRDefault="0039365C" w:rsidP="00251E0B">
            <w:pPr>
              <w:pStyle w:val="Bezodstpw"/>
              <w:spacing w:after="120"/>
              <w:jc w:val="both"/>
              <w:rPr>
                <w:rFonts w:ascii="Times New Roman" w:hAnsi="Times New Roman" w:cs="Times New Roman"/>
              </w:rPr>
            </w:pPr>
            <w:r w:rsidRPr="00F66DE0">
              <w:rPr>
                <w:rFonts w:ascii="Times New Roman" w:hAnsi="Times New Roman" w:cs="Times New Roman"/>
              </w:rPr>
              <w:t>„</w:t>
            </w:r>
            <w:r w:rsidRPr="00F66DE0">
              <w:rPr>
                <w:rFonts w:ascii="Times New Roman" w:hAnsi="Times New Roman" w:cs="Times New Roman"/>
                <w:i/>
                <w:iCs/>
              </w:rPr>
              <w:t>niezwłocznie, jednak nie później niż 10 minut”</w:t>
            </w:r>
          </w:p>
          <w:p w14:paraId="404D9335" w14:textId="739235A2" w:rsidR="0039365C" w:rsidRPr="00F66DE0" w:rsidRDefault="0039365C" w:rsidP="00251E0B">
            <w:pPr>
              <w:pStyle w:val="Bezodstpw"/>
              <w:spacing w:after="120"/>
              <w:ind w:left="322"/>
              <w:jc w:val="both"/>
              <w:rPr>
                <w:rFonts w:ascii="Times New Roman" w:hAnsi="Times New Roman" w:cs="Times New Roman"/>
              </w:rPr>
            </w:pPr>
            <w:r w:rsidRPr="00F66DE0">
              <w:rPr>
                <w:rFonts w:ascii="Times New Roman" w:hAnsi="Times New Roman" w:cs="Times New Roman"/>
              </w:rPr>
              <w:t>W tym przypadku domyślnym i podstawowym obowiązkiem jest podjęcie działania natychmiast</w:t>
            </w:r>
            <w:r w:rsidR="00103714">
              <w:rPr>
                <w:rFonts w:ascii="Times New Roman" w:hAnsi="Times New Roman" w:cs="Times New Roman"/>
              </w:rPr>
              <w:t>,</w:t>
            </w:r>
            <w:r w:rsidRPr="00F66DE0">
              <w:rPr>
                <w:rFonts w:ascii="Times New Roman" w:hAnsi="Times New Roman" w:cs="Times New Roman"/>
              </w:rPr>
              <w:t xml:space="preserve"> gdy jest to technicznie możliwe (bez nieuzasadnionej zwłoki), natomiast 10 minut stanowi jedynie </w:t>
            </w:r>
            <w:r w:rsidR="00FA4410" w:rsidRPr="00F66DE0">
              <w:rPr>
                <w:rFonts w:ascii="Times New Roman" w:hAnsi="Times New Roman" w:cs="Times New Roman"/>
              </w:rPr>
              <w:t>maksymalny czas</w:t>
            </w:r>
            <w:r w:rsidR="00E05E9F" w:rsidRPr="00F66DE0">
              <w:rPr>
                <w:rFonts w:ascii="Times New Roman" w:hAnsi="Times New Roman" w:cs="Times New Roman"/>
              </w:rPr>
              <w:t xml:space="preserve"> na podjęcie działań</w:t>
            </w:r>
            <w:r w:rsidR="006A5FD3" w:rsidRPr="00F66DE0">
              <w:rPr>
                <w:rFonts w:ascii="Times New Roman" w:hAnsi="Times New Roman" w:cs="Times New Roman"/>
              </w:rPr>
              <w:t>.</w:t>
            </w:r>
          </w:p>
          <w:p w14:paraId="21B7A9FD" w14:textId="4B2075D9" w:rsidR="006A5FD3" w:rsidRPr="00F66DE0" w:rsidRDefault="006A5FD3" w:rsidP="00251E0B">
            <w:pPr>
              <w:pStyle w:val="Bezodstpw"/>
              <w:spacing w:after="120"/>
              <w:ind w:left="322"/>
              <w:jc w:val="both"/>
              <w:rPr>
                <w:rFonts w:ascii="Times New Roman" w:hAnsi="Times New Roman" w:cs="Times New Roman"/>
              </w:rPr>
            </w:pPr>
            <w:r w:rsidRPr="00F66DE0">
              <w:rPr>
                <w:rFonts w:ascii="Times New Roman" w:hAnsi="Times New Roman" w:cs="Times New Roman"/>
              </w:rPr>
              <w:t xml:space="preserve">Przykładowo: jeżeli system lub pracownik przedsiębiorcy ma techniczną możliwość wykonania czynności w ciągu 5 sekund, a zwleka z tym np. 8 minut bez uzasadnionej przyczyny technicznej lub organizacyjnej, </w:t>
            </w:r>
            <w:r w:rsidR="00BD2641" w:rsidRPr="00F66DE0">
              <w:rPr>
                <w:rFonts w:ascii="Times New Roman" w:hAnsi="Times New Roman" w:cs="Times New Roman"/>
              </w:rPr>
              <w:t>naruszy</w:t>
            </w:r>
            <w:r w:rsidRPr="00F66DE0">
              <w:rPr>
                <w:rFonts w:ascii="Times New Roman" w:hAnsi="Times New Roman" w:cs="Times New Roman"/>
              </w:rPr>
              <w:t xml:space="preserve"> przepis, mimo że zmieścił się w limicie 10 minut.</w:t>
            </w:r>
          </w:p>
          <w:p w14:paraId="37C5FF92" w14:textId="7A54AF4A" w:rsidR="006A5FD3" w:rsidRPr="00F66DE0" w:rsidRDefault="006A5FD3" w:rsidP="00251E0B">
            <w:pPr>
              <w:pStyle w:val="Bezodstpw"/>
              <w:spacing w:after="120"/>
              <w:jc w:val="both"/>
              <w:rPr>
                <w:rFonts w:ascii="Times New Roman" w:hAnsi="Times New Roman" w:cs="Times New Roman"/>
                <w:i/>
                <w:iCs/>
              </w:rPr>
            </w:pPr>
            <w:r w:rsidRPr="00F66DE0">
              <w:rPr>
                <w:rFonts w:ascii="Times New Roman" w:hAnsi="Times New Roman" w:cs="Times New Roman"/>
                <w:i/>
                <w:iCs/>
              </w:rPr>
              <w:t>„nie później niż 10 minut"</w:t>
            </w:r>
          </w:p>
          <w:p w14:paraId="200A4F42" w14:textId="059CDBBB" w:rsidR="0039365C" w:rsidRPr="00F66DE0" w:rsidRDefault="006A5FD3" w:rsidP="00251E0B">
            <w:pPr>
              <w:pStyle w:val="Bezodstpw"/>
              <w:spacing w:after="120"/>
              <w:ind w:left="322"/>
              <w:jc w:val="both"/>
              <w:rPr>
                <w:rFonts w:ascii="Times New Roman" w:hAnsi="Times New Roman" w:cs="Times New Roman"/>
              </w:rPr>
            </w:pPr>
            <w:r w:rsidRPr="00F66DE0">
              <w:rPr>
                <w:rFonts w:ascii="Times New Roman" w:hAnsi="Times New Roman" w:cs="Times New Roman"/>
              </w:rPr>
              <w:t xml:space="preserve">W tym przypadku przepis określa wyłącznie sztywny termin końcowy. Przepis nie reguluje, co dzieje się z procesem przed upływem tego czasu. </w:t>
            </w:r>
            <w:r w:rsidR="0090329F" w:rsidRPr="00F66DE0">
              <w:rPr>
                <w:rFonts w:ascii="Times New Roman" w:hAnsi="Times New Roman" w:cs="Times New Roman"/>
              </w:rPr>
              <w:t xml:space="preserve">Adresat </w:t>
            </w:r>
            <w:r w:rsidRPr="00F66DE0">
              <w:rPr>
                <w:rFonts w:ascii="Times New Roman" w:hAnsi="Times New Roman" w:cs="Times New Roman"/>
              </w:rPr>
              <w:t>regulacji ma pełną swobodę w zarządzaniu czasem. Wykonanie zadania w 1 sekundzie i w</w:t>
            </w:r>
            <w:r w:rsidR="00103714">
              <w:rPr>
                <w:rFonts w:ascii="Times New Roman" w:hAnsi="Times New Roman" w:cs="Times New Roman"/>
              </w:rPr>
              <w:t xml:space="preserve"> </w:t>
            </w:r>
            <w:r w:rsidR="00103714" w:rsidRPr="00F66DE0">
              <w:rPr>
                <w:rFonts w:ascii="Times New Roman" w:hAnsi="Times New Roman" w:cs="Times New Roman"/>
              </w:rPr>
              <w:t xml:space="preserve">59 sekundzie </w:t>
            </w:r>
            <w:r w:rsidRPr="00F66DE0">
              <w:rPr>
                <w:rFonts w:ascii="Times New Roman" w:hAnsi="Times New Roman" w:cs="Times New Roman"/>
              </w:rPr>
              <w:t>9 minucie jest jednakowo poprawne pod względem prawnym. Nawet jeśli przedsiębiorca mógł przekazać dane natychmiast, ale z własnej woli celowo przytrzymał je przez 9 minut, nie narusza przepisu.</w:t>
            </w:r>
          </w:p>
          <w:p w14:paraId="1068497D" w14:textId="6DA63EE4" w:rsidR="00251E0B" w:rsidRPr="00F66DE0" w:rsidRDefault="00251E0B" w:rsidP="00251E0B">
            <w:pPr>
              <w:pStyle w:val="Bezodstpw"/>
              <w:spacing w:after="120"/>
              <w:jc w:val="both"/>
              <w:rPr>
                <w:rFonts w:ascii="Times New Roman" w:hAnsi="Times New Roman" w:cs="Times New Roman"/>
              </w:rPr>
            </w:pPr>
            <w:r w:rsidRPr="00F66DE0">
              <w:rPr>
                <w:rFonts w:ascii="Times New Roman" w:hAnsi="Times New Roman" w:cs="Times New Roman"/>
              </w:rPr>
              <w:t>Rozróżnienie tych sfo</w:t>
            </w:r>
            <w:r w:rsidR="00103714">
              <w:rPr>
                <w:rFonts w:ascii="Times New Roman" w:hAnsi="Times New Roman" w:cs="Times New Roman"/>
              </w:rPr>
              <w:t>r</w:t>
            </w:r>
            <w:r w:rsidRPr="00F66DE0">
              <w:rPr>
                <w:rFonts w:ascii="Times New Roman" w:hAnsi="Times New Roman" w:cs="Times New Roman"/>
              </w:rPr>
              <w:t>mułowań ma również wymiar techniczny. Ich odmienność w pkt 7.1 oraz 8.1 jest celow</w:t>
            </w:r>
            <w:r w:rsidR="00B64B34" w:rsidRPr="00F66DE0">
              <w:rPr>
                <w:rFonts w:ascii="Times New Roman" w:hAnsi="Times New Roman" w:cs="Times New Roman"/>
              </w:rPr>
              <w:t>a</w:t>
            </w:r>
            <w:r w:rsidRPr="00F66DE0">
              <w:rPr>
                <w:rFonts w:ascii="Times New Roman" w:hAnsi="Times New Roman" w:cs="Times New Roman"/>
              </w:rPr>
              <w:t xml:space="preserve"> i wynika z odmiennej specyfiki technologicznej interfejsów HI2 i HI3: </w:t>
            </w:r>
          </w:p>
          <w:p w14:paraId="0BD7F204" w14:textId="2DC09053" w:rsidR="00251E0B" w:rsidRPr="00F66DE0" w:rsidRDefault="00251E0B" w:rsidP="00251E0B">
            <w:pPr>
              <w:pStyle w:val="Bezodstpw"/>
              <w:numPr>
                <w:ilvl w:val="0"/>
                <w:numId w:val="10"/>
              </w:numPr>
              <w:spacing w:after="120"/>
              <w:ind w:left="322" w:hanging="218"/>
              <w:jc w:val="both"/>
              <w:rPr>
                <w:rFonts w:ascii="Times New Roman" w:hAnsi="Times New Roman" w:cs="Times New Roman"/>
              </w:rPr>
            </w:pPr>
            <w:r w:rsidRPr="00F66DE0">
              <w:rPr>
                <w:rFonts w:ascii="Times New Roman" w:hAnsi="Times New Roman" w:cs="Times New Roman"/>
              </w:rPr>
              <w:t>pkt 7.1 (HI2) określa reżim całego procesu transmisji metadanych (</w:t>
            </w:r>
            <w:r w:rsidRPr="00F66DE0">
              <w:rPr>
                <w:rFonts w:ascii="Times New Roman" w:hAnsi="Times New Roman" w:cs="Times New Roman"/>
                <w:i/>
                <w:iCs/>
              </w:rPr>
              <w:t>„przekazywane są niezwłocznie”</w:t>
            </w:r>
            <w:r w:rsidRPr="00F66DE0">
              <w:rPr>
                <w:rFonts w:ascii="Times New Roman" w:hAnsi="Times New Roman" w:cs="Times New Roman"/>
              </w:rPr>
              <w:t xml:space="preserve">), co wymusza przesyłanie informacji </w:t>
            </w:r>
            <w:r w:rsidRPr="00F66DE0">
              <w:rPr>
                <w:rFonts w:ascii="Times New Roman" w:hAnsi="Times New Roman" w:cs="Times New Roman"/>
              </w:rPr>
              <w:lastRenderedPageBreak/>
              <w:t>o</w:t>
            </w:r>
            <w:r w:rsidR="00750142">
              <w:rPr>
                <w:rFonts w:ascii="Times New Roman" w:hAnsi="Times New Roman" w:cs="Times New Roman"/>
              </w:rPr>
              <w:t> </w:t>
            </w:r>
            <w:r w:rsidRPr="00F66DE0">
              <w:rPr>
                <w:rFonts w:ascii="Times New Roman" w:hAnsi="Times New Roman" w:cs="Times New Roman"/>
              </w:rPr>
              <w:t xml:space="preserve">zdarzeniach w czasie rzeczywistym lub bezpośrednio po ich wystąpieniu, wskazując 10 minut od zakończenia przekazu jako maksymalny czas na dokończenie ich doręczenia. </w:t>
            </w:r>
          </w:p>
          <w:p w14:paraId="766C405E" w14:textId="635D4EAC" w:rsidR="00251E0B" w:rsidRPr="00F66DE0" w:rsidRDefault="00251E0B" w:rsidP="00251E0B">
            <w:pPr>
              <w:pStyle w:val="Bezodstpw"/>
              <w:numPr>
                <w:ilvl w:val="0"/>
                <w:numId w:val="10"/>
              </w:numPr>
              <w:spacing w:after="120"/>
              <w:ind w:left="322" w:hanging="218"/>
              <w:jc w:val="both"/>
              <w:rPr>
                <w:rFonts w:ascii="Times New Roman" w:hAnsi="Times New Roman" w:cs="Times New Roman"/>
              </w:rPr>
            </w:pPr>
            <w:r w:rsidRPr="00F66DE0">
              <w:rPr>
                <w:rFonts w:ascii="Times New Roman" w:hAnsi="Times New Roman" w:cs="Times New Roman"/>
              </w:rPr>
              <w:t>pkt 8.1 (HI3) określa moment inicjacji (startu) transmisji treści komunikacji (</w:t>
            </w:r>
            <w:r w:rsidRPr="00F66DE0">
              <w:rPr>
                <w:rFonts w:ascii="Times New Roman" w:hAnsi="Times New Roman" w:cs="Times New Roman"/>
                <w:i/>
                <w:iCs/>
              </w:rPr>
              <w:t>„rozpoczęcie przekazywania... następuje nie później niż”</w:t>
            </w:r>
            <w:r w:rsidRPr="00F66DE0">
              <w:rPr>
                <w:rFonts w:ascii="Times New Roman" w:hAnsi="Times New Roman" w:cs="Times New Roman"/>
              </w:rPr>
              <w:t>). Z uwagi na wolumen treści (wielkość plików) systemy operatora mogą wymagać czasu na ich zbuforowanie i przetworzenie po zakończeniu sesji, dlatego przepis wyznacza 10-minutow</w:t>
            </w:r>
            <w:r w:rsidR="0090329F" w:rsidRPr="00F66DE0">
              <w:rPr>
                <w:rFonts w:ascii="Times New Roman" w:hAnsi="Times New Roman" w:cs="Times New Roman"/>
              </w:rPr>
              <w:t>y</w:t>
            </w:r>
            <w:r w:rsidRPr="00F66DE0">
              <w:rPr>
                <w:rFonts w:ascii="Times New Roman" w:hAnsi="Times New Roman" w:cs="Times New Roman"/>
              </w:rPr>
              <w:t xml:space="preserve"> czas na samo zainicjowanie transferu zgromadzonych danych do systemu LEMF. </w:t>
            </w:r>
          </w:p>
          <w:p w14:paraId="6142CC5A" w14:textId="031CE6CC" w:rsidR="00251E0B" w:rsidRPr="00F66DE0" w:rsidRDefault="00251E0B" w:rsidP="00251E0B">
            <w:pPr>
              <w:pStyle w:val="Bezodstpw"/>
              <w:spacing w:after="120"/>
              <w:jc w:val="both"/>
              <w:rPr>
                <w:rFonts w:ascii="Times New Roman" w:hAnsi="Times New Roman" w:cs="Times New Roman"/>
              </w:rPr>
            </w:pPr>
            <w:r w:rsidRPr="00F66DE0">
              <w:rPr>
                <w:rFonts w:ascii="Times New Roman" w:hAnsi="Times New Roman" w:cs="Times New Roman"/>
              </w:rPr>
              <w:t xml:space="preserve">Proponowane ujednolicenie doprowadziłoby do zatarcia różnicy między nakazem bieżącego przesyłania danych (HI2) a wyznaczeniem terminu na rozpoczęcie transferu przetworzonego materiału (HI3). </w:t>
            </w:r>
          </w:p>
        </w:tc>
      </w:tr>
      <w:tr w:rsidR="00B94322" w:rsidRPr="00B94B4E" w14:paraId="2544075D" w14:textId="77777777" w:rsidTr="00F66DE0">
        <w:tc>
          <w:tcPr>
            <w:tcW w:w="597" w:type="dxa"/>
            <w:tcBorders>
              <w:bottom w:val="single" w:sz="4" w:space="0" w:color="auto"/>
            </w:tcBorders>
          </w:tcPr>
          <w:p w14:paraId="442C8CD9" w14:textId="77777777" w:rsidR="00B94322" w:rsidRPr="00F66DE0" w:rsidRDefault="00B94322" w:rsidP="00A71543">
            <w:pPr>
              <w:pStyle w:val="Bezodstpw"/>
              <w:numPr>
                <w:ilvl w:val="0"/>
                <w:numId w:val="2"/>
              </w:numPr>
              <w:ind w:left="171" w:hanging="171"/>
              <w:jc w:val="center"/>
              <w:rPr>
                <w:rFonts w:ascii="Times New Roman" w:hAnsi="Times New Roman" w:cs="Times New Roman"/>
              </w:rPr>
            </w:pPr>
          </w:p>
        </w:tc>
        <w:tc>
          <w:tcPr>
            <w:tcW w:w="1241" w:type="dxa"/>
            <w:tcBorders>
              <w:bottom w:val="single" w:sz="4" w:space="0" w:color="auto"/>
            </w:tcBorders>
          </w:tcPr>
          <w:p w14:paraId="58BB20FD" w14:textId="77777777" w:rsidR="00B94322" w:rsidRPr="00F66DE0" w:rsidRDefault="00225F97" w:rsidP="0088443B">
            <w:pPr>
              <w:pStyle w:val="Bezodstpw"/>
              <w:jc w:val="center"/>
              <w:rPr>
                <w:rFonts w:ascii="Times New Roman" w:hAnsi="Times New Roman" w:cs="Times New Roman"/>
              </w:rPr>
            </w:pPr>
            <w:r w:rsidRPr="00F66DE0">
              <w:rPr>
                <w:rFonts w:ascii="Times New Roman" w:hAnsi="Times New Roman" w:cs="Times New Roman"/>
              </w:rPr>
              <w:t>Załącznik</w:t>
            </w:r>
          </w:p>
          <w:p w14:paraId="7C24319A" w14:textId="7E0CDB71" w:rsidR="00225F97" w:rsidRPr="00F66DE0" w:rsidRDefault="00225F97" w:rsidP="0088443B">
            <w:pPr>
              <w:pStyle w:val="Bezodstpw"/>
              <w:jc w:val="center"/>
              <w:rPr>
                <w:rFonts w:ascii="Times New Roman" w:hAnsi="Times New Roman" w:cs="Times New Roman"/>
              </w:rPr>
            </w:pPr>
            <w:r w:rsidRPr="00F66DE0">
              <w:rPr>
                <w:rFonts w:ascii="Times New Roman" w:hAnsi="Times New Roman" w:cs="Times New Roman"/>
              </w:rPr>
              <w:t>termin „obserwacja”</w:t>
            </w:r>
          </w:p>
        </w:tc>
        <w:tc>
          <w:tcPr>
            <w:tcW w:w="1418" w:type="dxa"/>
            <w:tcBorders>
              <w:bottom w:val="single" w:sz="4" w:space="0" w:color="auto"/>
            </w:tcBorders>
          </w:tcPr>
          <w:p w14:paraId="138FD9CF" w14:textId="6698FFAE" w:rsidR="00B94322" w:rsidRPr="004C1E66" w:rsidRDefault="00B94322" w:rsidP="0088443B">
            <w:pPr>
              <w:pStyle w:val="Bezodstpw"/>
              <w:jc w:val="center"/>
              <w:rPr>
                <w:rFonts w:ascii="Times New Roman" w:hAnsi="Times New Roman" w:cs="Times New Roman"/>
                <w:b/>
                <w:bCs/>
              </w:rPr>
            </w:pPr>
            <w:r w:rsidRPr="004C1E66">
              <w:rPr>
                <w:rFonts w:ascii="Times New Roman" w:hAnsi="Times New Roman" w:cs="Times New Roman"/>
                <w:b/>
                <w:bCs/>
              </w:rPr>
              <w:t xml:space="preserve">Rada </w:t>
            </w:r>
            <w:r w:rsidR="00B94B4E" w:rsidRPr="004C1E66">
              <w:rPr>
                <w:rFonts w:ascii="Times New Roman" w:hAnsi="Times New Roman" w:cs="Times New Roman"/>
                <w:b/>
                <w:bCs/>
              </w:rPr>
              <w:t>do Spraw</w:t>
            </w:r>
            <w:r w:rsidR="00B94B4E" w:rsidRPr="004C1E66" w:rsidDel="00B94B4E">
              <w:rPr>
                <w:rFonts w:ascii="Times New Roman" w:hAnsi="Times New Roman" w:cs="Times New Roman"/>
                <w:b/>
                <w:bCs/>
              </w:rPr>
              <w:t xml:space="preserve"> </w:t>
            </w:r>
            <w:r w:rsidRPr="004C1E66">
              <w:rPr>
                <w:rFonts w:ascii="Times New Roman" w:hAnsi="Times New Roman" w:cs="Times New Roman"/>
                <w:b/>
                <w:bCs/>
              </w:rPr>
              <w:t xml:space="preserve"> Cyfryzacji</w:t>
            </w:r>
          </w:p>
        </w:tc>
        <w:tc>
          <w:tcPr>
            <w:tcW w:w="4536" w:type="dxa"/>
            <w:tcBorders>
              <w:bottom w:val="single" w:sz="4" w:space="0" w:color="auto"/>
            </w:tcBorders>
          </w:tcPr>
          <w:p w14:paraId="10A38D3B" w14:textId="06E5E4CE" w:rsidR="00B94322" w:rsidRPr="00F66DE0" w:rsidRDefault="00B94322" w:rsidP="0088443B">
            <w:pPr>
              <w:pStyle w:val="Bezodstpw"/>
              <w:spacing w:after="120"/>
              <w:jc w:val="both"/>
              <w:rPr>
                <w:rFonts w:ascii="Times New Roman" w:hAnsi="Times New Roman" w:cs="Times New Roman"/>
              </w:rPr>
            </w:pPr>
            <w:r w:rsidRPr="00F66DE0">
              <w:rPr>
                <w:rFonts w:ascii="Times New Roman" w:hAnsi="Times New Roman" w:cs="Times New Roman"/>
              </w:rPr>
              <w:t xml:space="preserve">Projekt zawiera definicję </w:t>
            </w:r>
            <w:r w:rsidR="00934BDF">
              <w:rPr>
                <w:rFonts w:ascii="Times New Roman" w:hAnsi="Times New Roman" w:cs="Times New Roman"/>
              </w:rPr>
              <w:t>„</w:t>
            </w:r>
            <w:r w:rsidRPr="00F66DE0">
              <w:rPr>
                <w:rFonts w:ascii="Times New Roman" w:hAnsi="Times New Roman" w:cs="Times New Roman"/>
              </w:rPr>
              <w:t>monitorowanie – dostęp do komunikatów elektronicznych i związanych z nimi danych (...)</w:t>
            </w:r>
            <w:r w:rsidR="00934BDF">
              <w:rPr>
                <w:rFonts w:ascii="Times New Roman" w:hAnsi="Times New Roman" w:cs="Times New Roman"/>
              </w:rPr>
              <w:t>”</w:t>
            </w:r>
            <w:r w:rsidRPr="00F66DE0">
              <w:rPr>
                <w:rFonts w:ascii="Times New Roman" w:hAnsi="Times New Roman" w:cs="Times New Roman"/>
              </w:rPr>
              <w:t xml:space="preserve"> a następnie w projekcie, jednocześnie pojawiają się takie sformułowania jak: „status obserwacji”, „weryfikacja stanu obserwacji”, „w przypadku obserwacji, która się jeszcze nie rozpoczęła”, „zarządzanie obserwacjami” / odnosząc się do ogólnych zasad wynikające z techniki prawodawcze, w akcie normatywnym powinno się używać tych samych określeń dla oznaczenia tych samych pojęć. Używanie różnych określeń dla tej samej instytucji może rodzić wątpliwości interpretacyjne co do tego, czy pojęcia te mają identyczny zakres znaczeniowy tj. czy obserwacja = monitorowanie?</w:t>
            </w:r>
          </w:p>
        </w:tc>
        <w:tc>
          <w:tcPr>
            <w:tcW w:w="7371" w:type="dxa"/>
            <w:tcBorders>
              <w:bottom w:val="single" w:sz="4" w:space="0" w:color="auto"/>
            </w:tcBorders>
          </w:tcPr>
          <w:p w14:paraId="4C4EB39D" w14:textId="6F1DE7F7" w:rsidR="00B94322" w:rsidRPr="00F66DE0" w:rsidRDefault="00863CFB" w:rsidP="00F66DE0">
            <w:pPr>
              <w:pStyle w:val="Bezodstpw"/>
              <w:jc w:val="both"/>
              <w:rPr>
                <w:rFonts w:ascii="Times New Roman" w:hAnsi="Times New Roman" w:cs="Times New Roman"/>
                <w:b/>
                <w:bCs/>
              </w:rPr>
            </w:pPr>
            <w:r w:rsidRPr="00F66DE0">
              <w:rPr>
                <w:rFonts w:ascii="Times New Roman" w:hAnsi="Times New Roman" w:cs="Times New Roman"/>
                <w:b/>
                <w:bCs/>
              </w:rPr>
              <w:t>Uwaga wyjaśniona</w:t>
            </w:r>
          </w:p>
          <w:p w14:paraId="0A04B960" w14:textId="77777777" w:rsidR="00863CFB" w:rsidRPr="00F66DE0" w:rsidRDefault="00863CFB" w:rsidP="00225F97">
            <w:pPr>
              <w:pStyle w:val="Bezodstpw"/>
              <w:spacing w:after="120"/>
              <w:jc w:val="both"/>
              <w:rPr>
                <w:rFonts w:ascii="Times New Roman" w:hAnsi="Times New Roman" w:cs="Times New Roman"/>
              </w:rPr>
            </w:pPr>
            <w:r w:rsidRPr="00F66DE0">
              <w:rPr>
                <w:rFonts w:ascii="Times New Roman" w:hAnsi="Times New Roman" w:cs="Times New Roman"/>
              </w:rPr>
              <w:t>Pojęcia „monitorowanie” oraz „obserwacja” użyte w projekcie nie są synonimami i odnoszą się do dwóch różnych zakresów pojęciowych i technologicznych:</w:t>
            </w:r>
          </w:p>
          <w:p w14:paraId="72484FEB" w14:textId="38103599" w:rsidR="00863CFB" w:rsidRPr="00F66DE0" w:rsidRDefault="00863CFB" w:rsidP="00225F97">
            <w:pPr>
              <w:pStyle w:val="Bezodstpw"/>
              <w:numPr>
                <w:ilvl w:val="0"/>
                <w:numId w:val="12"/>
              </w:numPr>
              <w:spacing w:after="120"/>
              <w:ind w:left="322" w:hanging="218"/>
              <w:jc w:val="both"/>
              <w:rPr>
                <w:rFonts w:ascii="Times New Roman" w:hAnsi="Times New Roman" w:cs="Times New Roman"/>
              </w:rPr>
            </w:pPr>
            <w:r w:rsidRPr="00F66DE0">
              <w:rPr>
                <w:rFonts w:ascii="Times New Roman" w:hAnsi="Times New Roman" w:cs="Times New Roman"/>
              </w:rPr>
              <w:t xml:space="preserve">monitorowanie stanowi ogólne pojęcie procesowe i usługowe (odpowiadające pojęciu </w:t>
            </w:r>
            <w:r w:rsidRPr="00F66DE0">
              <w:rPr>
                <w:rFonts w:ascii="Times New Roman" w:hAnsi="Times New Roman" w:cs="Times New Roman"/>
                <w:i/>
                <w:iCs/>
              </w:rPr>
              <w:t>Interception/Monitoring</w:t>
            </w:r>
            <w:r w:rsidRPr="00F66DE0">
              <w:rPr>
                <w:rFonts w:ascii="Times New Roman" w:hAnsi="Times New Roman" w:cs="Times New Roman"/>
              </w:rPr>
              <w:t xml:space="preserve"> w normach ETSI), określające samą czynność i zdolność do zapewniania dostępu oraz utrwalania komunikatów i</w:t>
            </w:r>
            <w:r w:rsidR="00750142">
              <w:rPr>
                <w:rFonts w:ascii="Times New Roman" w:hAnsi="Times New Roman" w:cs="Times New Roman"/>
              </w:rPr>
              <w:t> </w:t>
            </w:r>
            <w:r w:rsidRPr="00F66DE0">
              <w:rPr>
                <w:rFonts w:ascii="Times New Roman" w:hAnsi="Times New Roman" w:cs="Times New Roman"/>
              </w:rPr>
              <w:t>danych w czasie rzeczywistym</w:t>
            </w:r>
            <w:r w:rsidR="0090329F" w:rsidRPr="00F66DE0">
              <w:rPr>
                <w:rFonts w:ascii="Times New Roman" w:hAnsi="Times New Roman" w:cs="Times New Roman"/>
              </w:rPr>
              <w:t>,</w:t>
            </w:r>
          </w:p>
          <w:p w14:paraId="76AF1636" w14:textId="1D324ECA" w:rsidR="00863CFB" w:rsidRPr="00F66DE0" w:rsidRDefault="00863CFB" w:rsidP="00225F97">
            <w:pPr>
              <w:pStyle w:val="Bezodstpw"/>
              <w:numPr>
                <w:ilvl w:val="0"/>
                <w:numId w:val="12"/>
              </w:numPr>
              <w:spacing w:after="120"/>
              <w:ind w:left="322" w:hanging="218"/>
              <w:jc w:val="both"/>
              <w:rPr>
                <w:rFonts w:ascii="Times New Roman" w:hAnsi="Times New Roman" w:cs="Times New Roman"/>
              </w:rPr>
            </w:pPr>
            <w:r w:rsidRPr="00F66DE0">
              <w:rPr>
                <w:rFonts w:ascii="Times New Roman" w:hAnsi="Times New Roman" w:cs="Times New Roman"/>
              </w:rPr>
              <w:t xml:space="preserve">obserwacja stanowi pojęcie techniczno-operacyjne (odpowiadające pojęciom </w:t>
            </w:r>
            <w:r w:rsidRPr="00F66DE0">
              <w:rPr>
                <w:rFonts w:ascii="Times New Roman" w:hAnsi="Times New Roman" w:cs="Times New Roman"/>
                <w:i/>
                <w:iCs/>
              </w:rPr>
              <w:t>Target Observation</w:t>
            </w:r>
            <w:r w:rsidRPr="00F66DE0">
              <w:rPr>
                <w:rFonts w:ascii="Times New Roman" w:hAnsi="Times New Roman" w:cs="Times New Roman"/>
              </w:rPr>
              <w:t xml:space="preserve"> / </w:t>
            </w:r>
            <w:r w:rsidRPr="00F66DE0">
              <w:rPr>
                <w:rFonts w:ascii="Times New Roman" w:hAnsi="Times New Roman" w:cs="Times New Roman"/>
                <w:i/>
                <w:iCs/>
              </w:rPr>
              <w:t>Intercept Task</w:t>
            </w:r>
            <w:r w:rsidRPr="00F66DE0">
              <w:rPr>
                <w:rFonts w:ascii="Times New Roman" w:hAnsi="Times New Roman" w:cs="Times New Roman"/>
              </w:rPr>
              <w:t xml:space="preserve"> w standardach ETSI), oznaczające wyodrębnione zadanie podsłuchowe aktywowane w systemie wobec określonego </w:t>
            </w:r>
            <w:r w:rsidR="00EB7A72" w:rsidRPr="00F66DE0">
              <w:rPr>
                <w:rFonts w:ascii="Times New Roman" w:hAnsi="Times New Roman" w:cs="Times New Roman"/>
              </w:rPr>
              <w:t>obiektu monitorowanego,</w:t>
            </w:r>
            <w:r w:rsidRPr="00F66DE0">
              <w:rPr>
                <w:rFonts w:ascii="Times New Roman" w:hAnsi="Times New Roman" w:cs="Times New Roman"/>
              </w:rPr>
              <w:t xml:space="preserve"> na podstawie konkretnego postanowienia sądu/prokuratora. Jedna funkcja „monitorowania” w sieci może w danym momencie obsługiwać setki poszczególnych „obserwacji”</w:t>
            </w:r>
            <w:r w:rsidR="00EB7A72" w:rsidRPr="00F66DE0">
              <w:rPr>
                <w:rFonts w:ascii="Times New Roman" w:hAnsi="Times New Roman" w:cs="Times New Roman"/>
              </w:rPr>
              <w:t>.</w:t>
            </w:r>
          </w:p>
          <w:p w14:paraId="6D6DB84B" w14:textId="7DD722C1" w:rsidR="00863CFB" w:rsidRPr="00F66DE0" w:rsidRDefault="00863CFB" w:rsidP="00225F97">
            <w:pPr>
              <w:pStyle w:val="Bezodstpw"/>
              <w:spacing w:after="120"/>
              <w:jc w:val="both"/>
              <w:rPr>
                <w:rFonts w:ascii="Times New Roman" w:hAnsi="Times New Roman" w:cs="Times New Roman"/>
              </w:rPr>
            </w:pPr>
            <w:r w:rsidRPr="00F66DE0">
              <w:rPr>
                <w:rFonts w:ascii="Times New Roman" w:hAnsi="Times New Roman" w:cs="Times New Roman"/>
              </w:rPr>
              <w:t>Określenia takie jak „status obserwacji”, „zarządzanie obserwacjami” czy „stan obserwacji” odnoszą się do cyklu życia pojedynczego zlecenia (np. zlecenie zaplanowane, aktywne, zakończone), a nie do ogólnej funkcji monitorowania.</w:t>
            </w:r>
          </w:p>
        </w:tc>
      </w:tr>
      <w:tr w:rsidR="00B94322" w:rsidRPr="00B94B4E" w14:paraId="48D369DA" w14:textId="77777777" w:rsidTr="00F66DE0">
        <w:tc>
          <w:tcPr>
            <w:tcW w:w="597" w:type="dxa"/>
            <w:tcBorders>
              <w:bottom w:val="single" w:sz="4" w:space="0" w:color="auto"/>
            </w:tcBorders>
          </w:tcPr>
          <w:p w14:paraId="4ECEB658" w14:textId="77777777" w:rsidR="00B94322" w:rsidRPr="00F66DE0" w:rsidRDefault="00B94322" w:rsidP="00A71543">
            <w:pPr>
              <w:pStyle w:val="Bezodstpw"/>
              <w:numPr>
                <w:ilvl w:val="0"/>
                <w:numId w:val="2"/>
              </w:numPr>
              <w:ind w:left="171" w:hanging="171"/>
              <w:jc w:val="center"/>
              <w:rPr>
                <w:rFonts w:ascii="Times New Roman" w:hAnsi="Times New Roman" w:cs="Times New Roman"/>
              </w:rPr>
            </w:pPr>
          </w:p>
        </w:tc>
        <w:tc>
          <w:tcPr>
            <w:tcW w:w="1241" w:type="dxa"/>
            <w:tcBorders>
              <w:bottom w:val="single" w:sz="4" w:space="0" w:color="auto"/>
            </w:tcBorders>
          </w:tcPr>
          <w:p w14:paraId="5D8AC317" w14:textId="77777777" w:rsidR="00B94322" w:rsidRPr="00F66DE0" w:rsidRDefault="00225F97" w:rsidP="0088443B">
            <w:pPr>
              <w:pStyle w:val="Bezodstpw"/>
              <w:jc w:val="center"/>
              <w:rPr>
                <w:rFonts w:ascii="Times New Roman" w:hAnsi="Times New Roman" w:cs="Times New Roman"/>
              </w:rPr>
            </w:pPr>
            <w:r w:rsidRPr="00F66DE0">
              <w:rPr>
                <w:rFonts w:ascii="Times New Roman" w:hAnsi="Times New Roman" w:cs="Times New Roman"/>
              </w:rPr>
              <w:t>Załącznik</w:t>
            </w:r>
          </w:p>
          <w:p w14:paraId="2C00E04B" w14:textId="6DA9489D" w:rsidR="00763093" w:rsidRPr="00F66DE0" w:rsidRDefault="00EC790A" w:rsidP="0088443B">
            <w:pPr>
              <w:pStyle w:val="Bezodstpw"/>
              <w:jc w:val="center"/>
              <w:rPr>
                <w:rFonts w:ascii="Times New Roman" w:hAnsi="Times New Roman" w:cs="Times New Roman"/>
              </w:rPr>
            </w:pPr>
            <w:r w:rsidRPr="00F66DE0">
              <w:rPr>
                <w:rFonts w:ascii="Times New Roman" w:hAnsi="Times New Roman" w:cs="Times New Roman"/>
              </w:rPr>
              <w:t>p</w:t>
            </w:r>
            <w:r w:rsidR="00763093" w:rsidRPr="00F66DE0">
              <w:rPr>
                <w:rFonts w:ascii="Times New Roman" w:hAnsi="Times New Roman" w:cs="Times New Roman"/>
              </w:rPr>
              <w:t>kt 10.4.2</w:t>
            </w:r>
          </w:p>
          <w:p w14:paraId="2498561E" w14:textId="6509101C" w:rsidR="00EC790A" w:rsidRPr="00F66DE0" w:rsidRDefault="00EC790A" w:rsidP="0088443B">
            <w:pPr>
              <w:pStyle w:val="Bezodstpw"/>
              <w:jc w:val="center"/>
              <w:rPr>
                <w:rFonts w:ascii="Times New Roman" w:hAnsi="Times New Roman" w:cs="Times New Roman"/>
              </w:rPr>
            </w:pPr>
            <w:r w:rsidRPr="00F66DE0">
              <w:rPr>
                <w:rFonts w:ascii="Times New Roman" w:hAnsi="Times New Roman" w:cs="Times New Roman"/>
              </w:rPr>
              <w:t>pkt 10.5.2</w:t>
            </w:r>
          </w:p>
          <w:p w14:paraId="6B362F99" w14:textId="5C546057" w:rsidR="00225F97" w:rsidRPr="00F66DE0" w:rsidRDefault="00763093" w:rsidP="0088443B">
            <w:pPr>
              <w:pStyle w:val="Bezodstpw"/>
              <w:jc w:val="center"/>
              <w:rPr>
                <w:rFonts w:ascii="Times New Roman" w:hAnsi="Times New Roman" w:cs="Times New Roman"/>
              </w:rPr>
            </w:pPr>
            <w:r w:rsidRPr="00F66DE0">
              <w:rPr>
                <w:rFonts w:ascii="Times New Roman" w:hAnsi="Times New Roman" w:cs="Times New Roman"/>
              </w:rPr>
              <w:t>Rys. 6</w:t>
            </w:r>
          </w:p>
        </w:tc>
        <w:tc>
          <w:tcPr>
            <w:tcW w:w="1418" w:type="dxa"/>
            <w:tcBorders>
              <w:bottom w:val="single" w:sz="4" w:space="0" w:color="auto"/>
            </w:tcBorders>
          </w:tcPr>
          <w:p w14:paraId="18CCF46D" w14:textId="3C8777D8" w:rsidR="00B94322" w:rsidRPr="004C1E66" w:rsidRDefault="00B94322" w:rsidP="0088443B">
            <w:pPr>
              <w:pStyle w:val="Bezodstpw"/>
              <w:jc w:val="center"/>
              <w:rPr>
                <w:rFonts w:ascii="Times New Roman" w:hAnsi="Times New Roman" w:cs="Times New Roman"/>
                <w:b/>
                <w:bCs/>
              </w:rPr>
            </w:pPr>
            <w:r w:rsidRPr="004C1E66">
              <w:rPr>
                <w:rFonts w:ascii="Times New Roman" w:hAnsi="Times New Roman" w:cs="Times New Roman"/>
                <w:b/>
                <w:bCs/>
              </w:rPr>
              <w:t xml:space="preserve">Rada </w:t>
            </w:r>
            <w:r w:rsidR="00B94B4E" w:rsidRPr="004C1E66">
              <w:rPr>
                <w:rFonts w:ascii="Times New Roman" w:hAnsi="Times New Roman" w:cs="Times New Roman"/>
                <w:b/>
                <w:bCs/>
              </w:rPr>
              <w:t>do Spraw</w:t>
            </w:r>
            <w:r w:rsidR="00B94B4E" w:rsidRPr="004C1E66" w:rsidDel="00B94B4E">
              <w:rPr>
                <w:rFonts w:ascii="Times New Roman" w:hAnsi="Times New Roman" w:cs="Times New Roman"/>
                <w:b/>
                <w:bCs/>
              </w:rPr>
              <w:t xml:space="preserve"> </w:t>
            </w:r>
            <w:r w:rsidRPr="004C1E66">
              <w:rPr>
                <w:rFonts w:ascii="Times New Roman" w:hAnsi="Times New Roman" w:cs="Times New Roman"/>
                <w:b/>
                <w:bCs/>
              </w:rPr>
              <w:t xml:space="preserve"> Cyfryzacji</w:t>
            </w:r>
          </w:p>
        </w:tc>
        <w:tc>
          <w:tcPr>
            <w:tcW w:w="4536" w:type="dxa"/>
            <w:tcBorders>
              <w:bottom w:val="single" w:sz="4" w:space="0" w:color="auto"/>
            </w:tcBorders>
          </w:tcPr>
          <w:p w14:paraId="09C9A62F" w14:textId="00B4AA35" w:rsidR="00B94322" w:rsidRPr="00F66DE0" w:rsidRDefault="00B94322" w:rsidP="0088443B">
            <w:pPr>
              <w:pStyle w:val="Bezodstpw"/>
              <w:spacing w:after="120"/>
              <w:jc w:val="both"/>
              <w:rPr>
                <w:rFonts w:ascii="Times New Roman" w:hAnsi="Times New Roman" w:cs="Times New Roman"/>
              </w:rPr>
            </w:pPr>
            <w:r w:rsidRPr="00F66DE0">
              <w:rPr>
                <w:rFonts w:ascii="Times New Roman" w:hAnsi="Times New Roman" w:cs="Times New Roman"/>
              </w:rPr>
              <w:t xml:space="preserve">Błędy techniczno-redakcyjne:  </w:t>
            </w:r>
            <w:r w:rsidR="00934BDF">
              <w:rPr>
                <w:rFonts w:ascii="Times New Roman" w:hAnsi="Times New Roman" w:cs="Times New Roman"/>
              </w:rPr>
              <w:t>„</w:t>
            </w:r>
            <w:r w:rsidRPr="00F66DE0">
              <w:rPr>
                <w:rFonts w:ascii="Times New Roman" w:hAnsi="Times New Roman" w:cs="Times New Roman"/>
              </w:rPr>
              <w:t>stopTimestap</w:t>
            </w:r>
            <w:r w:rsidR="00934BDF">
              <w:rPr>
                <w:rFonts w:ascii="Times New Roman" w:hAnsi="Times New Roman" w:cs="Times New Roman"/>
              </w:rPr>
              <w:t>”</w:t>
            </w:r>
            <w:r w:rsidRPr="00F66DE0">
              <w:rPr>
                <w:rFonts w:ascii="Times New Roman" w:hAnsi="Times New Roman" w:cs="Times New Roman"/>
              </w:rPr>
              <w:t xml:space="preserve"> zamiast „stopTimestamp” + „LawfullInterceptionIdentifier” zamiast „LawfulInterceptionIdentifier</w:t>
            </w:r>
            <w:r w:rsidR="00934BDF">
              <w:rPr>
                <w:rFonts w:ascii="Times New Roman" w:hAnsi="Times New Roman" w:cs="Times New Roman"/>
              </w:rPr>
              <w:t>”</w:t>
            </w:r>
            <w:r w:rsidRPr="00F66DE0">
              <w:rPr>
                <w:rFonts w:ascii="Times New Roman" w:hAnsi="Times New Roman" w:cs="Times New Roman"/>
              </w:rPr>
              <w:t xml:space="preserve"> + „UFT8String” zamiast „UTF8String” oraz przy notification jest</w:t>
            </w:r>
            <w:r w:rsidR="00934BDF">
              <w:rPr>
                <w:rFonts w:ascii="Times New Roman" w:hAnsi="Times New Roman" w:cs="Times New Roman"/>
              </w:rPr>
              <w:t xml:space="preserve"> </w:t>
            </w:r>
            <w:r w:rsidRPr="00F66DE0">
              <w:rPr>
                <w:rFonts w:ascii="Times New Roman" w:hAnsi="Times New Roman" w:cs="Times New Roman"/>
              </w:rPr>
              <w:t>„target-modificated</w:t>
            </w:r>
            <w:r w:rsidR="00934BDF">
              <w:rPr>
                <w:rFonts w:ascii="Times New Roman" w:hAnsi="Times New Roman" w:cs="Times New Roman"/>
              </w:rPr>
              <w:t>”</w:t>
            </w:r>
            <w:r w:rsidRPr="00F66DE0">
              <w:rPr>
                <w:rFonts w:ascii="Times New Roman" w:hAnsi="Times New Roman" w:cs="Times New Roman"/>
              </w:rPr>
              <w:t xml:space="preserve"> a to nie jest poprawna forma angielska, powinno być np.: </w:t>
            </w:r>
            <w:r w:rsidR="00934BDF">
              <w:rPr>
                <w:rFonts w:ascii="Times New Roman" w:hAnsi="Times New Roman" w:cs="Times New Roman"/>
              </w:rPr>
              <w:t>„</w:t>
            </w:r>
            <w:r w:rsidRPr="00F66DE0">
              <w:rPr>
                <w:rFonts w:ascii="Times New Roman" w:hAnsi="Times New Roman" w:cs="Times New Roman"/>
              </w:rPr>
              <w:t>target-modified</w:t>
            </w:r>
            <w:r w:rsidR="00934BDF">
              <w:rPr>
                <w:rFonts w:ascii="Times New Roman" w:hAnsi="Times New Roman" w:cs="Times New Roman"/>
              </w:rPr>
              <w:t>”</w:t>
            </w:r>
            <w:r w:rsidRPr="00F66DE0">
              <w:rPr>
                <w:rFonts w:ascii="Times New Roman" w:hAnsi="Times New Roman" w:cs="Times New Roman"/>
              </w:rPr>
              <w:t>;</w:t>
            </w:r>
          </w:p>
        </w:tc>
        <w:tc>
          <w:tcPr>
            <w:tcW w:w="7371" w:type="dxa"/>
            <w:tcBorders>
              <w:bottom w:val="single" w:sz="4" w:space="0" w:color="auto"/>
            </w:tcBorders>
          </w:tcPr>
          <w:p w14:paraId="2C993AE8" w14:textId="72801A25" w:rsidR="00B94322" w:rsidRPr="00F66DE0" w:rsidRDefault="00196CBD" w:rsidP="00F66DE0">
            <w:pPr>
              <w:pStyle w:val="Bezodstpw"/>
              <w:jc w:val="both"/>
              <w:rPr>
                <w:rFonts w:ascii="Times New Roman" w:hAnsi="Times New Roman" w:cs="Times New Roman"/>
                <w:b/>
                <w:bCs/>
              </w:rPr>
            </w:pPr>
            <w:r w:rsidRPr="00F66DE0">
              <w:rPr>
                <w:rFonts w:ascii="Times New Roman" w:hAnsi="Times New Roman" w:cs="Times New Roman"/>
                <w:b/>
                <w:bCs/>
              </w:rPr>
              <w:t>Uwaga wyjaśniona</w:t>
            </w:r>
          </w:p>
          <w:p w14:paraId="3777EB83" w14:textId="4A536D81" w:rsidR="00196CBD" w:rsidRPr="00F66DE0" w:rsidRDefault="00196CBD" w:rsidP="00225F97">
            <w:pPr>
              <w:pStyle w:val="Bezodstpw"/>
              <w:spacing w:after="120"/>
              <w:jc w:val="both"/>
              <w:rPr>
                <w:rFonts w:ascii="Times New Roman" w:hAnsi="Times New Roman" w:cs="Times New Roman"/>
              </w:rPr>
            </w:pPr>
            <w:r w:rsidRPr="00F66DE0">
              <w:rPr>
                <w:rFonts w:ascii="Times New Roman" w:hAnsi="Times New Roman" w:cs="Times New Roman"/>
              </w:rPr>
              <w:t xml:space="preserve">Nie </w:t>
            </w:r>
            <w:r w:rsidR="00EB5F10" w:rsidRPr="00F66DE0">
              <w:rPr>
                <w:rFonts w:ascii="Times New Roman" w:hAnsi="Times New Roman" w:cs="Times New Roman"/>
              </w:rPr>
              <w:t>są</w:t>
            </w:r>
            <w:r w:rsidRPr="00F66DE0">
              <w:rPr>
                <w:rFonts w:ascii="Times New Roman" w:hAnsi="Times New Roman" w:cs="Times New Roman"/>
              </w:rPr>
              <w:t xml:space="preserve"> to bł</w:t>
            </w:r>
            <w:r w:rsidR="00EB5F10" w:rsidRPr="00F66DE0">
              <w:rPr>
                <w:rFonts w:ascii="Times New Roman" w:hAnsi="Times New Roman" w:cs="Times New Roman"/>
              </w:rPr>
              <w:t>ędy</w:t>
            </w:r>
            <w:r w:rsidRPr="00F66DE0">
              <w:rPr>
                <w:rFonts w:ascii="Times New Roman" w:hAnsi="Times New Roman" w:cs="Times New Roman"/>
              </w:rPr>
              <w:t xml:space="preserve"> w projekcie</w:t>
            </w:r>
            <w:r w:rsidR="00F17A45">
              <w:rPr>
                <w:rFonts w:ascii="Times New Roman" w:hAnsi="Times New Roman" w:cs="Times New Roman"/>
              </w:rPr>
              <w:t xml:space="preserve"> rozporządzenia</w:t>
            </w:r>
            <w:r w:rsidR="000B0DD1">
              <w:rPr>
                <w:rFonts w:ascii="Times New Roman" w:hAnsi="Times New Roman" w:cs="Times New Roman"/>
              </w:rPr>
              <w:t>,</w:t>
            </w:r>
            <w:r w:rsidRPr="00F66DE0">
              <w:rPr>
                <w:rFonts w:ascii="Times New Roman" w:hAnsi="Times New Roman" w:cs="Times New Roman"/>
              </w:rPr>
              <w:t xml:space="preserve"> lecz </w:t>
            </w:r>
            <w:r w:rsidR="00EB5F10" w:rsidRPr="00F66DE0">
              <w:rPr>
                <w:rFonts w:ascii="Times New Roman" w:hAnsi="Times New Roman" w:cs="Times New Roman"/>
              </w:rPr>
              <w:t xml:space="preserve">występujące </w:t>
            </w:r>
            <w:r w:rsidRPr="00F66DE0">
              <w:rPr>
                <w:rFonts w:ascii="Times New Roman" w:hAnsi="Times New Roman" w:cs="Times New Roman"/>
              </w:rPr>
              <w:t>w</w:t>
            </w:r>
            <w:r w:rsidR="00750142">
              <w:rPr>
                <w:rFonts w:ascii="Times New Roman" w:hAnsi="Times New Roman" w:cs="Times New Roman"/>
              </w:rPr>
              <w:t> </w:t>
            </w:r>
            <w:r w:rsidR="00AB5A0A" w:rsidRPr="00F66DE0">
              <w:rPr>
                <w:rFonts w:ascii="Times New Roman" w:hAnsi="Times New Roman" w:cs="Times New Roman"/>
              </w:rPr>
              <w:t>zaimplementowanym już</w:t>
            </w:r>
            <w:r w:rsidRPr="00F66DE0">
              <w:rPr>
                <w:rFonts w:ascii="Times New Roman" w:hAnsi="Times New Roman" w:cs="Times New Roman"/>
              </w:rPr>
              <w:t xml:space="preserve"> kodzie systemu. Wprowadzenie w rozporządzeniu </w:t>
            </w:r>
            <w:r w:rsidR="00EB5F10" w:rsidRPr="00F66DE0">
              <w:rPr>
                <w:rFonts w:ascii="Times New Roman" w:hAnsi="Times New Roman" w:cs="Times New Roman"/>
              </w:rPr>
              <w:t xml:space="preserve">poprawnych </w:t>
            </w:r>
            <w:r w:rsidRPr="00F66DE0">
              <w:rPr>
                <w:rFonts w:ascii="Times New Roman" w:hAnsi="Times New Roman" w:cs="Times New Roman"/>
              </w:rPr>
              <w:t>zapis</w:t>
            </w:r>
            <w:r w:rsidR="00EB5F10" w:rsidRPr="00F66DE0">
              <w:rPr>
                <w:rFonts w:ascii="Times New Roman" w:hAnsi="Times New Roman" w:cs="Times New Roman"/>
              </w:rPr>
              <w:t>ów</w:t>
            </w:r>
            <w:r w:rsidRPr="00F66DE0">
              <w:rPr>
                <w:rFonts w:ascii="Times New Roman" w:hAnsi="Times New Roman" w:cs="Times New Roman"/>
              </w:rPr>
              <w:t xml:space="preserve"> wygeneruje koszty po stronie przedsiębiorców ze względu na konieczność korekty kodów</w:t>
            </w:r>
            <w:r w:rsidR="00EB5F10" w:rsidRPr="00F66DE0">
              <w:rPr>
                <w:rFonts w:ascii="Times New Roman" w:hAnsi="Times New Roman" w:cs="Times New Roman"/>
              </w:rPr>
              <w:t>,</w:t>
            </w:r>
            <w:r w:rsidRPr="00F66DE0">
              <w:rPr>
                <w:rFonts w:ascii="Times New Roman" w:hAnsi="Times New Roman" w:cs="Times New Roman"/>
              </w:rPr>
              <w:t xml:space="preserve"> którymi operatorzy się posługują oraz może skomplikować stosowanie interfejsów.</w:t>
            </w:r>
          </w:p>
          <w:p w14:paraId="374CD1CF" w14:textId="400C341E" w:rsidR="00196CBD" w:rsidRPr="00F66DE0" w:rsidRDefault="00196CBD" w:rsidP="00225F97">
            <w:pPr>
              <w:pStyle w:val="Bezodstpw"/>
              <w:spacing w:after="120"/>
              <w:jc w:val="both"/>
              <w:rPr>
                <w:rFonts w:ascii="Times New Roman" w:hAnsi="Times New Roman" w:cs="Times New Roman"/>
              </w:rPr>
            </w:pPr>
            <w:r w:rsidRPr="00F66DE0">
              <w:rPr>
                <w:rFonts w:ascii="Times New Roman" w:hAnsi="Times New Roman" w:cs="Times New Roman"/>
              </w:rPr>
              <w:t>Te bł</w:t>
            </w:r>
            <w:r w:rsidR="00EB5F10" w:rsidRPr="00F66DE0">
              <w:rPr>
                <w:rFonts w:ascii="Times New Roman" w:hAnsi="Times New Roman" w:cs="Times New Roman"/>
              </w:rPr>
              <w:t>ędy</w:t>
            </w:r>
            <w:r w:rsidRPr="00F66DE0">
              <w:rPr>
                <w:rFonts w:ascii="Times New Roman" w:hAnsi="Times New Roman" w:cs="Times New Roman"/>
              </w:rPr>
              <w:t xml:space="preserve"> nie determinuj</w:t>
            </w:r>
            <w:r w:rsidR="00EB5F10" w:rsidRPr="00F66DE0">
              <w:rPr>
                <w:rFonts w:ascii="Times New Roman" w:hAnsi="Times New Roman" w:cs="Times New Roman"/>
              </w:rPr>
              <w:t>ą</w:t>
            </w:r>
            <w:r w:rsidRPr="00F66DE0">
              <w:rPr>
                <w:rFonts w:ascii="Times New Roman" w:hAnsi="Times New Roman" w:cs="Times New Roman"/>
              </w:rPr>
              <w:t xml:space="preserve"> funkcjonalności systemu</w:t>
            </w:r>
            <w:r w:rsidR="000B0DD1">
              <w:rPr>
                <w:rFonts w:ascii="Times New Roman" w:hAnsi="Times New Roman" w:cs="Times New Roman"/>
              </w:rPr>
              <w:t>,</w:t>
            </w:r>
            <w:r w:rsidRPr="00F66DE0">
              <w:rPr>
                <w:rFonts w:ascii="Times New Roman" w:hAnsi="Times New Roman" w:cs="Times New Roman"/>
              </w:rPr>
              <w:t xml:space="preserve"> i biorąc pod uwagę powyższe</w:t>
            </w:r>
            <w:r w:rsidR="000B0DD1">
              <w:rPr>
                <w:rFonts w:ascii="Times New Roman" w:hAnsi="Times New Roman" w:cs="Times New Roman"/>
              </w:rPr>
              <w:t>,</w:t>
            </w:r>
            <w:r w:rsidRPr="00F66DE0">
              <w:rPr>
                <w:rFonts w:ascii="Times New Roman" w:hAnsi="Times New Roman" w:cs="Times New Roman"/>
              </w:rPr>
              <w:t xml:space="preserve"> </w:t>
            </w:r>
            <w:r w:rsidR="00EB5F10" w:rsidRPr="00F66DE0">
              <w:rPr>
                <w:rFonts w:ascii="Times New Roman" w:hAnsi="Times New Roman" w:cs="Times New Roman"/>
              </w:rPr>
              <w:t>w rozporządzeniu powinny</w:t>
            </w:r>
            <w:r w:rsidRPr="00F66DE0">
              <w:rPr>
                <w:rFonts w:ascii="Times New Roman" w:hAnsi="Times New Roman" w:cs="Times New Roman"/>
              </w:rPr>
              <w:t xml:space="preserve"> pozostać zapis</w:t>
            </w:r>
            <w:r w:rsidR="00EB5F10" w:rsidRPr="00F66DE0">
              <w:rPr>
                <w:rFonts w:ascii="Times New Roman" w:hAnsi="Times New Roman" w:cs="Times New Roman"/>
              </w:rPr>
              <w:t>y</w:t>
            </w:r>
            <w:r w:rsidRPr="00F66DE0">
              <w:rPr>
                <w:rFonts w:ascii="Times New Roman" w:hAnsi="Times New Roman" w:cs="Times New Roman"/>
              </w:rPr>
              <w:t xml:space="preserve"> z błęd</w:t>
            </w:r>
            <w:r w:rsidR="00EB5F10" w:rsidRPr="00F66DE0">
              <w:rPr>
                <w:rFonts w:ascii="Times New Roman" w:hAnsi="Times New Roman" w:cs="Times New Roman"/>
              </w:rPr>
              <w:t>ami</w:t>
            </w:r>
            <w:r w:rsidR="00763093" w:rsidRPr="00F66DE0">
              <w:rPr>
                <w:rFonts w:ascii="Times New Roman" w:hAnsi="Times New Roman" w:cs="Times New Roman"/>
              </w:rPr>
              <w:t>.</w:t>
            </w:r>
          </w:p>
          <w:p w14:paraId="039A35E5" w14:textId="6AF69E77" w:rsidR="00763093" w:rsidRPr="00F66DE0" w:rsidRDefault="00763093" w:rsidP="00225F97">
            <w:pPr>
              <w:pStyle w:val="Bezodstpw"/>
              <w:spacing w:after="120"/>
              <w:jc w:val="both"/>
              <w:rPr>
                <w:rFonts w:ascii="Times New Roman" w:hAnsi="Times New Roman" w:cs="Times New Roman"/>
              </w:rPr>
            </w:pPr>
            <w:r w:rsidRPr="00F66DE0">
              <w:rPr>
                <w:rFonts w:ascii="Times New Roman" w:hAnsi="Times New Roman" w:cs="Times New Roman"/>
              </w:rPr>
              <w:lastRenderedPageBreak/>
              <w:t>W uwadze pojawiają się błędy: zgodnie z terminologią powinno być „stopTimestamp” oraz „UTF8String”, a uwaga wskazuje je jako błędne.</w:t>
            </w:r>
          </w:p>
          <w:p w14:paraId="17F90F7A" w14:textId="2F3837DE" w:rsidR="00763093" w:rsidRPr="00F66DE0" w:rsidRDefault="00763093" w:rsidP="00225F97">
            <w:pPr>
              <w:pStyle w:val="Bezodstpw"/>
              <w:spacing w:after="120"/>
              <w:jc w:val="both"/>
              <w:rPr>
                <w:rFonts w:ascii="Times New Roman" w:hAnsi="Times New Roman" w:cs="Times New Roman"/>
              </w:rPr>
            </w:pPr>
            <w:r w:rsidRPr="00F66DE0">
              <w:rPr>
                <w:rFonts w:ascii="Times New Roman" w:hAnsi="Times New Roman" w:cs="Times New Roman"/>
              </w:rPr>
              <w:t>Błąd w schemacie na rys. 6 dotyczący parametru „LawfulInterceptionIdentifier” (podwójne „ll”) poprawiono.</w:t>
            </w:r>
          </w:p>
        </w:tc>
      </w:tr>
      <w:tr w:rsidR="00B94322" w:rsidRPr="00B94B4E" w14:paraId="34514BD7" w14:textId="77777777" w:rsidTr="00F66DE0">
        <w:tc>
          <w:tcPr>
            <w:tcW w:w="597" w:type="dxa"/>
            <w:tcBorders>
              <w:bottom w:val="single" w:sz="4" w:space="0" w:color="auto"/>
            </w:tcBorders>
          </w:tcPr>
          <w:p w14:paraId="366192CF" w14:textId="77777777" w:rsidR="00B94322" w:rsidRPr="00F66DE0" w:rsidRDefault="00B94322" w:rsidP="00A71543">
            <w:pPr>
              <w:pStyle w:val="Bezodstpw"/>
              <w:numPr>
                <w:ilvl w:val="0"/>
                <w:numId w:val="2"/>
              </w:numPr>
              <w:ind w:left="171" w:hanging="171"/>
              <w:jc w:val="center"/>
              <w:rPr>
                <w:rFonts w:ascii="Times New Roman" w:hAnsi="Times New Roman" w:cs="Times New Roman"/>
              </w:rPr>
            </w:pPr>
          </w:p>
        </w:tc>
        <w:tc>
          <w:tcPr>
            <w:tcW w:w="1241" w:type="dxa"/>
            <w:tcBorders>
              <w:bottom w:val="single" w:sz="4" w:space="0" w:color="auto"/>
            </w:tcBorders>
          </w:tcPr>
          <w:p w14:paraId="053A977E" w14:textId="77777777" w:rsidR="00AC5A7D" w:rsidRPr="00F66DE0" w:rsidRDefault="00AC5A7D" w:rsidP="00AC5A7D">
            <w:pPr>
              <w:pStyle w:val="Bezodstpw"/>
              <w:jc w:val="center"/>
              <w:rPr>
                <w:rFonts w:ascii="Times New Roman" w:hAnsi="Times New Roman" w:cs="Times New Roman"/>
              </w:rPr>
            </w:pPr>
            <w:r w:rsidRPr="00F66DE0">
              <w:rPr>
                <w:rFonts w:ascii="Times New Roman" w:hAnsi="Times New Roman" w:cs="Times New Roman"/>
              </w:rPr>
              <w:t>Załącznik</w:t>
            </w:r>
          </w:p>
          <w:p w14:paraId="33D25E44" w14:textId="26191594" w:rsidR="00AC5A7D" w:rsidRPr="00F66DE0" w:rsidRDefault="00AC5A7D" w:rsidP="00AC5A7D">
            <w:pPr>
              <w:pStyle w:val="Bezodstpw"/>
              <w:jc w:val="center"/>
              <w:rPr>
                <w:rFonts w:ascii="Times New Roman" w:hAnsi="Times New Roman" w:cs="Times New Roman"/>
              </w:rPr>
            </w:pPr>
            <w:r w:rsidRPr="00F66DE0">
              <w:rPr>
                <w:rFonts w:ascii="Times New Roman" w:hAnsi="Times New Roman" w:cs="Times New Roman"/>
              </w:rPr>
              <w:t>pkt 11</w:t>
            </w:r>
          </w:p>
          <w:p w14:paraId="5849D82E" w14:textId="77777777" w:rsidR="00B94322" w:rsidRPr="00F66DE0" w:rsidRDefault="00B94322" w:rsidP="0088443B">
            <w:pPr>
              <w:pStyle w:val="Bezodstpw"/>
              <w:jc w:val="center"/>
              <w:rPr>
                <w:rFonts w:ascii="Times New Roman" w:hAnsi="Times New Roman" w:cs="Times New Roman"/>
              </w:rPr>
            </w:pPr>
          </w:p>
        </w:tc>
        <w:tc>
          <w:tcPr>
            <w:tcW w:w="1418" w:type="dxa"/>
            <w:tcBorders>
              <w:bottom w:val="single" w:sz="4" w:space="0" w:color="auto"/>
            </w:tcBorders>
          </w:tcPr>
          <w:p w14:paraId="23F73368" w14:textId="2DF251FA" w:rsidR="00B94322" w:rsidRPr="004C1E66" w:rsidRDefault="00B94322" w:rsidP="0088443B">
            <w:pPr>
              <w:pStyle w:val="Bezodstpw"/>
              <w:jc w:val="center"/>
              <w:rPr>
                <w:rFonts w:ascii="Times New Roman" w:hAnsi="Times New Roman" w:cs="Times New Roman"/>
                <w:b/>
                <w:bCs/>
              </w:rPr>
            </w:pPr>
            <w:r w:rsidRPr="004C1E66">
              <w:rPr>
                <w:rFonts w:ascii="Times New Roman" w:hAnsi="Times New Roman" w:cs="Times New Roman"/>
                <w:b/>
                <w:bCs/>
              </w:rPr>
              <w:t xml:space="preserve">Rada </w:t>
            </w:r>
            <w:r w:rsidR="00B94B4E" w:rsidRPr="004C1E66">
              <w:rPr>
                <w:rFonts w:ascii="Times New Roman" w:hAnsi="Times New Roman" w:cs="Times New Roman"/>
                <w:b/>
                <w:bCs/>
              </w:rPr>
              <w:t>do Spraw</w:t>
            </w:r>
            <w:r w:rsidR="00B94B4E" w:rsidRPr="004C1E66" w:rsidDel="00B94B4E">
              <w:rPr>
                <w:rFonts w:ascii="Times New Roman" w:hAnsi="Times New Roman" w:cs="Times New Roman"/>
                <w:b/>
                <w:bCs/>
              </w:rPr>
              <w:t xml:space="preserve"> </w:t>
            </w:r>
            <w:r w:rsidRPr="004C1E66">
              <w:rPr>
                <w:rFonts w:ascii="Times New Roman" w:hAnsi="Times New Roman" w:cs="Times New Roman"/>
                <w:b/>
                <w:bCs/>
              </w:rPr>
              <w:t xml:space="preserve"> Cyfryzacji</w:t>
            </w:r>
          </w:p>
        </w:tc>
        <w:tc>
          <w:tcPr>
            <w:tcW w:w="4536" w:type="dxa"/>
            <w:tcBorders>
              <w:bottom w:val="single" w:sz="4" w:space="0" w:color="auto"/>
            </w:tcBorders>
          </w:tcPr>
          <w:p w14:paraId="5D7BD653" w14:textId="18CAF011" w:rsidR="00B94322" w:rsidRPr="00F66DE0" w:rsidRDefault="00B94322" w:rsidP="0088443B">
            <w:pPr>
              <w:pStyle w:val="Bezodstpw"/>
              <w:spacing w:after="120"/>
              <w:jc w:val="both"/>
              <w:rPr>
                <w:rFonts w:ascii="Times New Roman" w:hAnsi="Times New Roman" w:cs="Times New Roman"/>
              </w:rPr>
            </w:pPr>
            <w:r w:rsidRPr="00F66DE0">
              <w:rPr>
                <w:rFonts w:ascii="Times New Roman" w:hAnsi="Times New Roman" w:cs="Times New Roman"/>
              </w:rPr>
              <w:t>Projekt przewiduje rozszerzenie standardowego zakresu informacji przekazywanych w ramach parametru ExtendedPartyIdentity o szczegółowe dane identyfikujące abonenta, w tym m.in. imię, nazwisko, PESEL, numer paszportu, adres zamieszkania oraz REGON. Z uwagi na fakt, że część tych danych stanowi dane identyfikacyjne o wysokim stopniu szczegółowości, zasadne wydaje się uzupełnienie uzasadnienia projektu o wyjaśnienie potrzeby ich przekazywania oraz wskazanie, w jaki sposób zakres ten pozostaje zgodny z zasadą minimalizacji danych określoną w art. 5 ust. 1 lit. c RODO. Zasada ta wymaga, aby dane osobowe były adekwatne, stosowne oraz ograniczone do tego, co jest niezbędne do realizacji celu przetwarzania. W mojej opinii PUODO najpewniej nie zakwestionowałby samej możliwości przekazywania tych danych, jeżeli wynika ona z ustawowego modelu realizacji kontroli operacyjnej. Bardziej prawdopodobne byłoby pytanie, dlaczego projekt przewiduje akurat taki zakres danych i czy każda wskazana kategoria jest rzeczywiście potrzebna do realizacji celu / pozostawiam do rozważenia czy projekt nie powinien jednoznacznie wskazywać podstawę prawną pozyskiwania i przekazywania poszczególnych kategorii danych oraz wyjaśniać, czy każda z nich jest niezbędna dla wszystkich rodzajów realizowanych czynności, czy jedynie dla określonych przypadków</w:t>
            </w:r>
          </w:p>
        </w:tc>
        <w:tc>
          <w:tcPr>
            <w:tcW w:w="7371" w:type="dxa"/>
            <w:tcBorders>
              <w:bottom w:val="single" w:sz="4" w:space="0" w:color="auto"/>
            </w:tcBorders>
          </w:tcPr>
          <w:p w14:paraId="330D4875" w14:textId="13A11F81" w:rsidR="00B94322" w:rsidRPr="00F66DE0" w:rsidRDefault="009C5F12" w:rsidP="00F66DE0">
            <w:pPr>
              <w:pStyle w:val="Bezodstpw"/>
              <w:jc w:val="both"/>
              <w:rPr>
                <w:rFonts w:ascii="Times New Roman" w:hAnsi="Times New Roman" w:cs="Times New Roman"/>
                <w:b/>
                <w:bCs/>
              </w:rPr>
            </w:pPr>
            <w:r w:rsidRPr="00F66DE0">
              <w:rPr>
                <w:rFonts w:ascii="Times New Roman" w:hAnsi="Times New Roman" w:cs="Times New Roman"/>
                <w:b/>
                <w:bCs/>
              </w:rPr>
              <w:t>Uwaga wyjaśniona</w:t>
            </w:r>
          </w:p>
          <w:p w14:paraId="486CF015" w14:textId="27C8DEDE" w:rsidR="009C5F12" w:rsidRPr="00F66DE0" w:rsidRDefault="00786462" w:rsidP="00786462">
            <w:pPr>
              <w:pStyle w:val="Bezodstpw"/>
              <w:spacing w:after="120"/>
              <w:jc w:val="both"/>
              <w:rPr>
                <w:rFonts w:ascii="Times New Roman" w:hAnsi="Times New Roman" w:cs="Times New Roman"/>
              </w:rPr>
            </w:pPr>
            <w:r w:rsidRPr="00F66DE0">
              <w:rPr>
                <w:rFonts w:ascii="Times New Roman" w:hAnsi="Times New Roman" w:cs="Times New Roman"/>
              </w:rPr>
              <w:t>Zakres informacji ujęty w parametrze ExtendedPartyIdentity stanowi bezpośrednią realizację dyspozycji art. 43 ust. 1 pkt 1 ustawy, który nakłada obowiązek zapewnienia warunków do identyfikacji abonenta. Rozporządzenie nie rozszerza zakresu danych zbieranych przez przedsiębiorców telekomunikacyjnych, a jedynie umożliwia ich przekazanie w zakresie, w jakim przedsiębiorca już je posiada na podstawie przepisów prawa.</w:t>
            </w:r>
          </w:p>
          <w:p w14:paraId="78621E72" w14:textId="054B05D4" w:rsidR="00786462" w:rsidRPr="00F66DE0" w:rsidRDefault="00786462" w:rsidP="00786462">
            <w:pPr>
              <w:pStyle w:val="Bezodstpw"/>
              <w:spacing w:after="120"/>
              <w:jc w:val="both"/>
              <w:rPr>
                <w:rFonts w:ascii="Times New Roman" w:hAnsi="Times New Roman" w:cs="Times New Roman"/>
              </w:rPr>
            </w:pPr>
            <w:r w:rsidRPr="00F66DE0">
              <w:rPr>
                <w:rFonts w:ascii="Times New Roman" w:hAnsi="Times New Roman" w:cs="Times New Roman"/>
              </w:rPr>
              <w:t>Projekt został poddany wcześniej opiniowaniu m. in. przez Prezesa Urzędu Ochrony Danych Osobowych. W zakresie parametru  ExtendedPartyIdentity zgłosił nasypującą uwagę:</w:t>
            </w:r>
          </w:p>
          <w:p w14:paraId="6F6902CB" w14:textId="3AE9F056" w:rsidR="00786462" w:rsidRPr="00F66DE0" w:rsidRDefault="00786462" w:rsidP="00786462">
            <w:pPr>
              <w:pStyle w:val="Bezodstpw"/>
              <w:ind w:left="322"/>
              <w:jc w:val="both"/>
              <w:rPr>
                <w:rFonts w:ascii="Times New Roman" w:hAnsi="Times New Roman" w:cs="Times New Roman"/>
                <w:i/>
                <w:iCs/>
              </w:rPr>
            </w:pPr>
            <w:r w:rsidRPr="00F66DE0">
              <w:rPr>
                <w:rFonts w:ascii="Times New Roman" w:hAnsi="Times New Roman" w:cs="Times New Roman"/>
              </w:rPr>
              <w:t>„</w:t>
            </w:r>
            <w:r w:rsidRPr="00F66DE0">
              <w:rPr>
                <w:rFonts w:ascii="Times New Roman" w:hAnsi="Times New Roman" w:cs="Times New Roman"/>
                <w:i/>
                <w:iCs/>
              </w:rPr>
              <w:t>W rozdziale 11 załącznika opisano format parametru ExtendedPartyIdentity. W opisie tego formatu znajdują się takie struktury danych jak:</w:t>
            </w:r>
          </w:p>
          <w:p w14:paraId="2A9D2A5F" w14:textId="6AAE84FA" w:rsidR="00786462" w:rsidRPr="00F66DE0" w:rsidRDefault="00786462" w:rsidP="00786462">
            <w:pPr>
              <w:pStyle w:val="Bezodstpw"/>
              <w:numPr>
                <w:ilvl w:val="0"/>
                <w:numId w:val="14"/>
              </w:numPr>
              <w:ind w:left="748" w:hanging="219"/>
              <w:jc w:val="both"/>
              <w:rPr>
                <w:rFonts w:ascii="Times New Roman" w:hAnsi="Times New Roman" w:cs="Times New Roman"/>
                <w:i/>
                <w:iCs/>
              </w:rPr>
            </w:pPr>
            <w:r w:rsidRPr="00F66DE0">
              <w:rPr>
                <w:rFonts w:ascii="Times New Roman" w:hAnsi="Times New Roman" w:cs="Times New Roman"/>
                <w:i/>
                <w:iCs/>
              </w:rPr>
              <w:t>Person z polami na takie dane jak imię, nazwisko, PESEL, nr paszportu,</w:t>
            </w:r>
          </w:p>
          <w:p w14:paraId="49C8E6F5" w14:textId="0E30B1C1" w:rsidR="00786462" w:rsidRPr="00F66DE0" w:rsidRDefault="00786462" w:rsidP="00786462">
            <w:pPr>
              <w:pStyle w:val="Bezodstpw"/>
              <w:numPr>
                <w:ilvl w:val="0"/>
                <w:numId w:val="14"/>
              </w:numPr>
              <w:ind w:left="748" w:hanging="219"/>
              <w:jc w:val="both"/>
              <w:rPr>
                <w:rFonts w:ascii="Times New Roman" w:hAnsi="Times New Roman" w:cs="Times New Roman"/>
                <w:i/>
                <w:iCs/>
              </w:rPr>
            </w:pPr>
            <w:r w:rsidRPr="00F66DE0">
              <w:rPr>
                <w:rFonts w:ascii="Times New Roman" w:hAnsi="Times New Roman" w:cs="Times New Roman"/>
                <w:i/>
                <w:iCs/>
              </w:rPr>
              <w:t>Postal Adres z polami na takie dane jak: ulica, nr domu, nr apartamentu, kod pocztowy, miasto, państwo.</w:t>
            </w:r>
          </w:p>
          <w:p w14:paraId="06CD3E5C" w14:textId="083C005A" w:rsidR="00786462" w:rsidRPr="00F66DE0" w:rsidRDefault="00786462" w:rsidP="00786462">
            <w:pPr>
              <w:pStyle w:val="Bezodstpw"/>
              <w:spacing w:after="120"/>
              <w:ind w:left="322"/>
              <w:jc w:val="both"/>
              <w:rPr>
                <w:rFonts w:ascii="Times New Roman" w:hAnsi="Times New Roman" w:cs="Times New Roman"/>
              </w:rPr>
            </w:pPr>
            <w:r w:rsidRPr="00F66DE0">
              <w:rPr>
                <w:rFonts w:ascii="Times New Roman" w:hAnsi="Times New Roman" w:cs="Times New Roman"/>
                <w:i/>
                <w:iCs/>
              </w:rPr>
              <w:t>Prezes UODO zwraca także uwagę, że w treści opisu przedmiotowego parametru nie podano informacji do jakiej kategorii osób zastosowanie będzie miała tak zdefiniowana struktura danych. W szczególności, czy dotyczy to zakresu informacji o abonentach sieci telekomunikacyjnych, o których informacje są pozyskiwane, czy zakresu informacji o osobach reprezentujących uprawnione podmioty, które przy użyciu przedmiotowych interfejsów informacje o abonentach pozyskują. Z uwagi na zasady: przejrzystości, a także zgodnie z zasadą minimalizacji danych (art. 5 ust. 1 lit. c), ograniczenia celu (art. 5 ust. 1 lit. b), integralności i poufności (art. 5 ust. 1 lit. f) oraz rozliczalności (art. 5 ust. 2 rozporządzenia 2016/679) - rozdział 11 załącznika powinien zostać doprecyzowany w ww. zakresie</w:t>
            </w:r>
            <w:r w:rsidRPr="00F66DE0">
              <w:rPr>
                <w:rFonts w:ascii="Times New Roman" w:hAnsi="Times New Roman" w:cs="Times New Roman"/>
              </w:rPr>
              <w:t>.”</w:t>
            </w:r>
          </w:p>
          <w:p w14:paraId="691CC152" w14:textId="5C44885F" w:rsidR="00786462" w:rsidRPr="00F66DE0" w:rsidRDefault="00786462" w:rsidP="00786462">
            <w:pPr>
              <w:pStyle w:val="Bezodstpw"/>
              <w:spacing w:after="120"/>
              <w:jc w:val="both"/>
              <w:rPr>
                <w:rFonts w:ascii="Times New Roman" w:hAnsi="Times New Roman" w:cs="Times New Roman"/>
              </w:rPr>
            </w:pPr>
            <w:r w:rsidRPr="00F66DE0">
              <w:rPr>
                <w:rFonts w:ascii="Times New Roman" w:hAnsi="Times New Roman" w:cs="Times New Roman"/>
              </w:rPr>
              <w:t>Stanowisko Ministra Cyfryzacji brzmiało:</w:t>
            </w:r>
          </w:p>
          <w:p w14:paraId="3C9BF40A" w14:textId="71658D84" w:rsidR="00786462" w:rsidRPr="00F66DE0" w:rsidRDefault="00786462" w:rsidP="00786462">
            <w:pPr>
              <w:pStyle w:val="Bezodstpw"/>
              <w:spacing w:after="120"/>
              <w:ind w:left="322"/>
              <w:jc w:val="both"/>
              <w:rPr>
                <w:rFonts w:ascii="Times New Roman" w:hAnsi="Times New Roman" w:cs="Times New Roman"/>
              </w:rPr>
            </w:pPr>
            <w:r w:rsidRPr="00F66DE0">
              <w:rPr>
                <w:rFonts w:ascii="Times New Roman" w:hAnsi="Times New Roman" w:cs="Times New Roman"/>
                <w:b/>
                <w:bCs/>
              </w:rPr>
              <w:t>„</w:t>
            </w:r>
            <w:r w:rsidRPr="00F66DE0">
              <w:rPr>
                <w:rFonts w:ascii="Times New Roman" w:hAnsi="Times New Roman" w:cs="Times New Roman"/>
                <w:i/>
                <w:iCs/>
              </w:rPr>
              <w:t>Kategoria osób, które opisuje parametr ExtendedPartyIdentity wynika z</w:t>
            </w:r>
            <w:r w:rsidR="00750142">
              <w:rPr>
                <w:rFonts w:ascii="Times New Roman" w:hAnsi="Times New Roman" w:cs="Times New Roman"/>
                <w:i/>
                <w:iCs/>
              </w:rPr>
              <w:t> </w:t>
            </w:r>
            <w:r w:rsidRPr="00F66DE0">
              <w:rPr>
                <w:rFonts w:ascii="Times New Roman" w:hAnsi="Times New Roman" w:cs="Times New Roman"/>
                <w:i/>
                <w:iCs/>
              </w:rPr>
              <w:t>treści załącznika. Parametr ten stanowi rozszerzenie specyfikacji interfejsu HI2, który umożliwia jednokierunkowe, w kierunku od ADMF do LEMF, przesyłanie informacji związanych z objętymi monitorowaniem komunikatów elektronicznych związanych ze świadczoną usługą telekomunikacyjną oraz treści krótkich wiadomości tekstowych SMS. Taka funkcja HI2 jednoznacznie wskazuje, że osobami tymi są obiekty monitorowane (definicja w słowniku).”</w:t>
            </w:r>
            <w:r w:rsidR="00750142">
              <w:rPr>
                <w:rFonts w:ascii="Times New Roman" w:hAnsi="Times New Roman" w:cs="Times New Roman"/>
                <w:i/>
                <w:iCs/>
              </w:rPr>
              <w:t>.</w:t>
            </w:r>
          </w:p>
          <w:p w14:paraId="72DA1B2C" w14:textId="6A67B4CC" w:rsidR="00786462" w:rsidRPr="00F66DE0" w:rsidRDefault="00786462" w:rsidP="00786462">
            <w:pPr>
              <w:pStyle w:val="Bezodstpw"/>
              <w:spacing w:after="120"/>
              <w:jc w:val="both"/>
              <w:rPr>
                <w:rFonts w:ascii="Times New Roman" w:hAnsi="Times New Roman" w:cs="Times New Roman"/>
              </w:rPr>
            </w:pPr>
            <w:r w:rsidRPr="00F66DE0">
              <w:rPr>
                <w:rFonts w:ascii="Times New Roman" w:hAnsi="Times New Roman" w:cs="Times New Roman"/>
              </w:rPr>
              <w:lastRenderedPageBreak/>
              <w:t xml:space="preserve">W </w:t>
            </w:r>
            <w:r w:rsidR="00934BDF">
              <w:rPr>
                <w:rFonts w:ascii="Times New Roman" w:hAnsi="Times New Roman" w:cs="Times New Roman"/>
              </w:rPr>
              <w:t>czasie ponownego</w:t>
            </w:r>
            <w:r w:rsidR="002E6494">
              <w:rPr>
                <w:rFonts w:ascii="Times New Roman" w:hAnsi="Times New Roman" w:cs="Times New Roman"/>
              </w:rPr>
              <w:t xml:space="preserve"> </w:t>
            </w:r>
            <w:r w:rsidRPr="00F66DE0">
              <w:rPr>
                <w:rFonts w:ascii="Times New Roman" w:hAnsi="Times New Roman" w:cs="Times New Roman"/>
              </w:rPr>
              <w:t xml:space="preserve">opiniowania projektu </w:t>
            </w:r>
            <w:r w:rsidR="00F17A45">
              <w:rPr>
                <w:rFonts w:ascii="Times New Roman" w:hAnsi="Times New Roman" w:cs="Times New Roman"/>
              </w:rPr>
              <w:t xml:space="preserve">rozporządzenia </w:t>
            </w:r>
            <w:r w:rsidRPr="00F66DE0">
              <w:rPr>
                <w:rFonts w:ascii="Times New Roman" w:hAnsi="Times New Roman" w:cs="Times New Roman"/>
              </w:rPr>
              <w:t xml:space="preserve">Prezes </w:t>
            </w:r>
            <w:r w:rsidR="00AB5A0A" w:rsidRPr="00F66DE0">
              <w:rPr>
                <w:rFonts w:ascii="Times New Roman" w:hAnsi="Times New Roman" w:cs="Times New Roman"/>
              </w:rPr>
              <w:t>Urzędu Ochrony Danych Osobowych</w:t>
            </w:r>
            <w:r w:rsidR="00AB5A0A" w:rsidRPr="00F66DE0" w:rsidDel="00AB5A0A">
              <w:rPr>
                <w:rFonts w:ascii="Times New Roman" w:hAnsi="Times New Roman" w:cs="Times New Roman"/>
              </w:rPr>
              <w:t xml:space="preserve"> </w:t>
            </w:r>
            <w:r w:rsidRPr="00F66DE0">
              <w:rPr>
                <w:rFonts w:ascii="Times New Roman" w:hAnsi="Times New Roman" w:cs="Times New Roman"/>
              </w:rPr>
              <w:t>nie zgłosił uwag do projektu</w:t>
            </w:r>
            <w:r w:rsidR="00AB5A0A" w:rsidRPr="00F66DE0">
              <w:rPr>
                <w:rFonts w:ascii="Times New Roman" w:hAnsi="Times New Roman" w:cs="Times New Roman"/>
              </w:rPr>
              <w:t xml:space="preserve"> rozporządzenia</w:t>
            </w:r>
            <w:r w:rsidRPr="00F66DE0">
              <w:rPr>
                <w:rFonts w:ascii="Times New Roman" w:hAnsi="Times New Roman" w:cs="Times New Roman"/>
              </w:rPr>
              <w:t>.</w:t>
            </w:r>
          </w:p>
        </w:tc>
      </w:tr>
    </w:tbl>
    <w:p w14:paraId="190C04C4" w14:textId="77777777" w:rsidR="00DF4527" w:rsidRPr="00F66DE0" w:rsidRDefault="00DF4527" w:rsidP="00D841A6">
      <w:pPr>
        <w:pStyle w:val="Bezodstpw"/>
        <w:spacing w:line="276" w:lineRule="auto"/>
        <w:rPr>
          <w:rFonts w:ascii="Times New Roman" w:hAnsi="Times New Roman" w:cs="Times New Roman"/>
          <w:b/>
          <w:bCs/>
        </w:rPr>
      </w:pPr>
    </w:p>
    <w:sectPr w:rsidR="00DF4527" w:rsidRPr="00F66DE0" w:rsidSect="00D841A6">
      <w:pgSz w:w="16838" w:h="11906" w:orient="landscape"/>
      <w:pgMar w:top="537" w:right="720" w:bottom="720" w:left="72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0DBF6" w14:textId="77777777" w:rsidR="00113678" w:rsidRDefault="00113678" w:rsidP="00D841A6">
      <w:r>
        <w:separator/>
      </w:r>
    </w:p>
  </w:endnote>
  <w:endnote w:type="continuationSeparator" w:id="0">
    <w:p w14:paraId="07648F4E" w14:textId="77777777" w:rsidR="00113678" w:rsidRDefault="00113678" w:rsidP="00D84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31D3B" w14:textId="77777777" w:rsidR="00113678" w:rsidRDefault="00113678" w:rsidP="00D841A6">
      <w:r>
        <w:separator/>
      </w:r>
    </w:p>
  </w:footnote>
  <w:footnote w:type="continuationSeparator" w:id="0">
    <w:p w14:paraId="41E46E9C" w14:textId="77777777" w:rsidR="00113678" w:rsidRDefault="00113678" w:rsidP="00D84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003"/>
    <w:multiLevelType w:val="multilevel"/>
    <w:tmpl w:val="EA7C4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F67F91"/>
    <w:multiLevelType w:val="hybridMultilevel"/>
    <w:tmpl w:val="46BAE420"/>
    <w:lvl w:ilvl="0" w:tplc="7DD4A444">
      <w:start w:val="1"/>
      <w:numFmt w:val="decimal"/>
      <w:lvlText w:val="%1)"/>
      <w:lvlJc w:val="left"/>
      <w:pPr>
        <w:ind w:left="720" w:hanging="360"/>
      </w:pPr>
      <w:rPr>
        <w:rFonts w:asciiTheme="minorHAnsi" w:hAnsiTheme="minorHAnsi" w:cstheme="minorBid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E5B32"/>
    <w:multiLevelType w:val="hybridMultilevel"/>
    <w:tmpl w:val="CE460B38"/>
    <w:lvl w:ilvl="0" w:tplc="D40EA03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2D3939"/>
    <w:multiLevelType w:val="hybridMultilevel"/>
    <w:tmpl w:val="212E3882"/>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0269A5"/>
    <w:multiLevelType w:val="multilevel"/>
    <w:tmpl w:val="54B4D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547F25"/>
    <w:multiLevelType w:val="hybridMultilevel"/>
    <w:tmpl w:val="25F69C56"/>
    <w:lvl w:ilvl="0" w:tplc="D40EA032">
      <w:start w:val="1"/>
      <w:numFmt w:val="bullet"/>
      <w:lvlText w:val="-"/>
      <w:lvlJc w:val="left"/>
      <w:pPr>
        <w:ind w:left="1080" w:hanging="360"/>
      </w:pPr>
      <w:rPr>
        <w:rFonts w:ascii="Calibri" w:hAnsi="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28C95904"/>
    <w:multiLevelType w:val="hybridMultilevel"/>
    <w:tmpl w:val="58EA8596"/>
    <w:lvl w:ilvl="0" w:tplc="D40EA03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35510F2"/>
    <w:multiLevelType w:val="hybridMultilevel"/>
    <w:tmpl w:val="E612FEB6"/>
    <w:lvl w:ilvl="0" w:tplc="D40EA032">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5A4672B"/>
    <w:multiLevelType w:val="multilevel"/>
    <w:tmpl w:val="347CC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FD4489C"/>
    <w:multiLevelType w:val="multilevel"/>
    <w:tmpl w:val="AD680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D86A0E"/>
    <w:multiLevelType w:val="hybridMultilevel"/>
    <w:tmpl w:val="BCD848A2"/>
    <w:lvl w:ilvl="0" w:tplc="D40EA032">
      <w:start w:val="1"/>
      <w:numFmt w:val="bullet"/>
      <w:lvlText w:val="-"/>
      <w:lvlJc w:val="left"/>
      <w:pPr>
        <w:ind w:left="1080" w:hanging="360"/>
      </w:pPr>
      <w:rPr>
        <w:rFonts w:ascii="Calibri" w:hAnsi="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6DDD0951"/>
    <w:multiLevelType w:val="hybridMultilevel"/>
    <w:tmpl w:val="36F4B34A"/>
    <w:lvl w:ilvl="0" w:tplc="D40EA032">
      <w:start w:val="1"/>
      <w:numFmt w:val="bullet"/>
      <w:lvlText w:val="-"/>
      <w:lvlJc w:val="left"/>
      <w:pPr>
        <w:ind w:left="759" w:hanging="360"/>
      </w:pPr>
      <w:rPr>
        <w:rFonts w:ascii="Calibri" w:hAnsi="Calibri" w:hint="default"/>
      </w:rPr>
    </w:lvl>
    <w:lvl w:ilvl="1" w:tplc="04150003" w:tentative="1">
      <w:start w:val="1"/>
      <w:numFmt w:val="bullet"/>
      <w:lvlText w:val="o"/>
      <w:lvlJc w:val="left"/>
      <w:pPr>
        <w:ind w:left="1479" w:hanging="360"/>
      </w:pPr>
      <w:rPr>
        <w:rFonts w:ascii="Courier New" w:hAnsi="Courier New" w:cs="Courier New" w:hint="default"/>
      </w:rPr>
    </w:lvl>
    <w:lvl w:ilvl="2" w:tplc="04150005" w:tentative="1">
      <w:start w:val="1"/>
      <w:numFmt w:val="bullet"/>
      <w:lvlText w:val=""/>
      <w:lvlJc w:val="left"/>
      <w:pPr>
        <w:ind w:left="2199" w:hanging="360"/>
      </w:pPr>
      <w:rPr>
        <w:rFonts w:ascii="Wingdings" w:hAnsi="Wingdings" w:hint="default"/>
      </w:rPr>
    </w:lvl>
    <w:lvl w:ilvl="3" w:tplc="04150001" w:tentative="1">
      <w:start w:val="1"/>
      <w:numFmt w:val="bullet"/>
      <w:lvlText w:val=""/>
      <w:lvlJc w:val="left"/>
      <w:pPr>
        <w:ind w:left="2919" w:hanging="360"/>
      </w:pPr>
      <w:rPr>
        <w:rFonts w:ascii="Symbol" w:hAnsi="Symbol" w:hint="default"/>
      </w:rPr>
    </w:lvl>
    <w:lvl w:ilvl="4" w:tplc="04150003" w:tentative="1">
      <w:start w:val="1"/>
      <w:numFmt w:val="bullet"/>
      <w:lvlText w:val="o"/>
      <w:lvlJc w:val="left"/>
      <w:pPr>
        <w:ind w:left="3639" w:hanging="360"/>
      </w:pPr>
      <w:rPr>
        <w:rFonts w:ascii="Courier New" w:hAnsi="Courier New" w:cs="Courier New" w:hint="default"/>
      </w:rPr>
    </w:lvl>
    <w:lvl w:ilvl="5" w:tplc="04150005" w:tentative="1">
      <w:start w:val="1"/>
      <w:numFmt w:val="bullet"/>
      <w:lvlText w:val=""/>
      <w:lvlJc w:val="left"/>
      <w:pPr>
        <w:ind w:left="4359" w:hanging="360"/>
      </w:pPr>
      <w:rPr>
        <w:rFonts w:ascii="Wingdings" w:hAnsi="Wingdings" w:hint="default"/>
      </w:rPr>
    </w:lvl>
    <w:lvl w:ilvl="6" w:tplc="04150001" w:tentative="1">
      <w:start w:val="1"/>
      <w:numFmt w:val="bullet"/>
      <w:lvlText w:val=""/>
      <w:lvlJc w:val="left"/>
      <w:pPr>
        <w:ind w:left="5079" w:hanging="360"/>
      </w:pPr>
      <w:rPr>
        <w:rFonts w:ascii="Symbol" w:hAnsi="Symbol" w:hint="default"/>
      </w:rPr>
    </w:lvl>
    <w:lvl w:ilvl="7" w:tplc="04150003" w:tentative="1">
      <w:start w:val="1"/>
      <w:numFmt w:val="bullet"/>
      <w:lvlText w:val="o"/>
      <w:lvlJc w:val="left"/>
      <w:pPr>
        <w:ind w:left="5799" w:hanging="360"/>
      </w:pPr>
      <w:rPr>
        <w:rFonts w:ascii="Courier New" w:hAnsi="Courier New" w:cs="Courier New" w:hint="default"/>
      </w:rPr>
    </w:lvl>
    <w:lvl w:ilvl="8" w:tplc="04150005" w:tentative="1">
      <w:start w:val="1"/>
      <w:numFmt w:val="bullet"/>
      <w:lvlText w:val=""/>
      <w:lvlJc w:val="left"/>
      <w:pPr>
        <w:ind w:left="6519" w:hanging="360"/>
      </w:pPr>
      <w:rPr>
        <w:rFonts w:ascii="Wingdings" w:hAnsi="Wingdings" w:hint="default"/>
      </w:rPr>
    </w:lvl>
  </w:abstractNum>
  <w:abstractNum w:abstractNumId="12" w15:restartNumberingAfterBreak="0">
    <w:nsid w:val="78536BFB"/>
    <w:multiLevelType w:val="hybridMultilevel"/>
    <w:tmpl w:val="804ED034"/>
    <w:lvl w:ilvl="0" w:tplc="04150001">
      <w:start w:val="1"/>
      <w:numFmt w:val="bullet"/>
      <w:lvlText w:val=""/>
      <w:lvlJc w:val="left"/>
      <w:pPr>
        <w:ind w:left="710" w:hanging="360"/>
      </w:pPr>
      <w:rPr>
        <w:rFonts w:ascii="Symbol" w:hAnsi="Symbol" w:hint="default"/>
      </w:rPr>
    </w:lvl>
    <w:lvl w:ilvl="1" w:tplc="04150003" w:tentative="1">
      <w:start w:val="1"/>
      <w:numFmt w:val="bullet"/>
      <w:lvlText w:val="o"/>
      <w:lvlJc w:val="left"/>
      <w:pPr>
        <w:ind w:left="1430" w:hanging="360"/>
      </w:pPr>
      <w:rPr>
        <w:rFonts w:ascii="Courier New" w:hAnsi="Courier New" w:cs="Courier New" w:hint="default"/>
      </w:rPr>
    </w:lvl>
    <w:lvl w:ilvl="2" w:tplc="04150005" w:tentative="1">
      <w:start w:val="1"/>
      <w:numFmt w:val="bullet"/>
      <w:lvlText w:val=""/>
      <w:lvlJc w:val="left"/>
      <w:pPr>
        <w:ind w:left="2150" w:hanging="360"/>
      </w:pPr>
      <w:rPr>
        <w:rFonts w:ascii="Wingdings" w:hAnsi="Wingdings" w:hint="default"/>
      </w:rPr>
    </w:lvl>
    <w:lvl w:ilvl="3" w:tplc="04150001" w:tentative="1">
      <w:start w:val="1"/>
      <w:numFmt w:val="bullet"/>
      <w:lvlText w:val=""/>
      <w:lvlJc w:val="left"/>
      <w:pPr>
        <w:ind w:left="2870" w:hanging="360"/>
      </w:pPr>
      <w:rPr>
        <w:rFonts w:ascii="Symbol" w:hAnsi="Symbol" w:hint="default"/>
      </w:rPr>
    </w:lvl>
    <w:lvl w:ilvl="4" w:tplc="04150003" w:tentative="1">
      <w:start w:val="1"/>
      <w:numFmt w:val="bullet"/>
      <w:lvlText w:val="o"/>
      <w:lvlJc w:val="left"/>
      <w:pPr>
        <w:ind w:left="3590" w:hanging="360"/>
      </w:pPr>
      <w:rPr>
        <w:rFonts w:ascii="Courier New" w:hAnsi="Courier New" w:cs="Courier New" w:hint="default"/>
      </w:rPr>
    </w:lvl>
    <w:lvl w:ilvl="5" w:tplc="04150005" w:tentative="1">
      <w:start w:val="1"/>
      <w:numFmt w:val="bullet"/>
      <w:lvlText w:val=""/>
      <w:lvlJc w:val="left"/>
      <w:pPr>
        <w:ind w:left="4310" w:hanging="360"/>
      </w:pPr>
      <w:rPr>
        <w:rFonts w:ascii="Wingdings" w:hAnsi="Wingdings" w:hint="default"/>
      </w:rPr>
    </w:lvl>
    <w:lvl w:ilvl="6" w:tplc="04150001" w:tentative="1">
      <w:start w:val="1"/>
      <w:numFmt w:val="bullet"/>
      <w:lvlText w:val=""/>
      <w:lvlJc w:val="left"/>
      <w:pPr>
        <w:ind w:left="5030" w:hanging="360"/>
      </w:pPr>
      <w:rPr>
        <w:rFonts w:ascii="Symbol" w:hAnsi="Symbol" w:hint="default"/>
      </w:rPr>
    </w:lvl>
    <w:lvl w:ilvl="7" w:tplc="04150003" w:tentative="1">
      <w:start w:val="1"/>
      <w:numFmt w:val="bullet"/>
      <w:lvlText w:val="o"/>
      <w:lvlJc w:val="left"/>
      <w:pPr>
        <w:ind w:left="5750" w:hanging="360"/>
      </w:pPr>
      <w:rPr>
        <w:rFonts w:ascii="Courier New" w:hAnsi="Courier New" w:cs="Courier New" w:hint="default"/>
      </w:rPr>
    </w:lvl>
    <w:lvl w:ilvl="8" w:tplc="04150005" w:tentative="1">
      <w:start w:val="1"/>
      <w:numFmt w:val="bullet"/>
      <w:lvlText w:val=""/>
      <w:lvlJc w:val="left"/>
      <w:pPr>
        <w:ind w:left="6470" w:hanging="360"/>
      </w:pPr>
      <w:rPr>
        <w:rFonts w:ascii="Wingdings" w:hAnsi="Wingdings" w:hint="default"/>
      </w:rPr>
    </w:lvl>
  </w:abstractNum>
  <w:abstractNum w:abstractNumId="13" w15:restartNumberingAfterBreak="0">
    <w:nsid w:val="7F43037D"/>
    <w:multiLevelType w:val="multilevel"/>
    <w:tmpl w:val="0E5E8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6359420">
    <w:abstractNumId w:val="1"/>
  </w:num>
  <w:num w:numId="2" w16cid:durableId="408967821">
    <w:abstractNumId w:val="3"/>
  </w:num>
  <w:num w:numId="3" w16cid:durableId="589582081">
    <w:abstractNumId w:val="6"/>
  </w:num>
  <w:num w:numId="4" w16cid:durableId="1833519782">
    <w:abstractNumId w:val="12"/>
  </w:num>
  <w:num w:numId="5" w16cid:durableId="1174032451">
    <w:abstractNumId w:val="7"/>
  </w:num>
  <w:num w:numId="6" w16cid:durableId="6905721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5312543">
    <w:abstractNumId w:val="9"/>
  </w:num>
  <w:num w:numId="8" w16cid:durableId="1011644812">
    <w:abstractNumId w:val="10"/>
  </w:num>
  <w:num w:numId="9" w16cid:durableId="1653677228">
    <w:abstractNumId w:val="0"/>
  </w:num>
  <w:num w:numId="10" w16cid:durableId="1086147951">
    <w:abstractNumId w:val="11"/>
  </w:num>
  <w:num w:numId="11" w16cid:durableId="371614466">
    <w:abstractNumId w:val="13"/>
  </w:num>
  <w:num w:numId="12" w16cid:durableId="143936020">
    <w:abstractNumId w:val="5"/>
  </w:num>
  <w:num w:numId="13" w16cid:durableId="504366466">
    <w:abstractNumId w:val="4"/>
  </w:num>
  <w:num w:numId="14" w16cid:durableId="973947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75"/>
    <w:rsid w:val="00021A18"/>
    <w:rsid w:val="00050B75"/>
    <w:rsid w:val="00075328"/>
    <w:rsid w:val="00087092"/>
    <w:rsid w:val="000A2410"/>
    <w:rsid w:val="000B0DD1"/>
    <w:rsid w:val="000B394D"/>
    <w:rsid w:val="000E3924"/>
    <w:rsid w:val="000F693C"/>
    <w:rsid w:val="00100B1C"/>
    <w:rsid w:val="00101E00"/>
    <w:rsid w:val="00103714"/>
    <w:rsid w:val="00105E79"/>
    <w:rsid w:val="00110686"/>
    <w:rsid w:val="00111205"/>
    <w:rsid w:val="00113678"/>
    <w:rsid w:val="0012268F"/>
    <w:rsid w:val="0014194E"/>
    <w:rsid w:val="001431F2"/>
    <w:rsid w:val="00151142"/>
    <w:rsid w:val="0015308B"/>
    <w:rsid w:val="00175898"/>
    <w:rsid w:val="00196CBD"/>
    <w:rsid w:val="001B167B"/>
    <w:rsid w:val="001B7942"/>
    <w:rsid w:val="001C2111"/>
    <w:rsid w:val="001D14B4"/>
    <w:rsid w:val="00204F17"/>
    <w:rsid w:val="00214AF9"/>
    <w:rsid w:val="00225F97"/>
    <w:rsid w:val="00251E0B"/>
    <w:rsid w:val="00260AE1"/>
    <w:rsid w:val="00263BF8"/>
    <w:rsid w:val="002730BB"/>
    <w:rsid w:val="00282E5D"/>
    <w:rsid w:val="0029361D"/>
    <w:rsid w:val="0029714B"/>
    <w:rsid w:val="002B7F97"/>
    <w:rsid w:val="002D3C07"/>
    <w:rsid w:val="002D523F"/>
    <w:rsid w:val="002E6494"/>
    <w:rsid w:val="002E67DA"/>
    <w:rsid w:val="002E7273"/>
    <w:rsid w:val="002F37B9"/>
    <w:rsid w:val="0031092F"/>
    <w:rsid w:val="0031626A"/>
    <w:rsid w:val="00323141"/>
    <w:rsid w:val="003559AF"/>
    <w:rsid w:val="003912B1"/>
    <w:rsid w:val="0039365C"/>
    <w:rsid w:val="00396DAE"/>
    <w:rsid w:val="00397CC1"/>
    <w:rsid w:val="003D4E47"/>
    <w:rsid w:val="003E0F79"/>
    <w:rsid w:val="003E72AA"/>
    <w:rsid w:val="003E7744"/>
    <w:rsid w:val="003F34F9"/>
    <w:rsid w:val="003F37CA"/>
    <w:rsid w:val="0041459A"/>
    <w:rsid w:val="004148E0"/>
    <w:rsid w:val="00417CEA"/>
    <w:rsid w:val="00423B83"/>
    <w:rsid w:val="0043165B"/>
    <w:rsid w:val="00431D75"/>
    <w:rsid w:val="00436EBB"/>
    <w:rsid w:val="00451185"/>
    <w:rsid w:val="00462D98"/>
    <w:rsid w:val="00471299"/>
    <w:rsid w:val="00486B7A"/>
    <w:rsid w:val="004A44A3"/>
    <w:rsid w:val="004C0B30"/>
    <w:rsid w:val="004C1E66"/>
    <w:rsid w:val="004D06A1"/>
    <w:rsid w:val="004F4084"/>
    <w:rsid w:val="004F4E2F"/>
    <w:rsid w:val="004F669B"/>
    <w:rsid w:val="0051425A"/>
    <w:rsid w:val="00525C4F"/>
    <w:rsid w:val="00526A76"/>
    <w:rsid w:val="005272CC"/>
    <w:rsid w:val="00533B14"/>
    <w:rsid w:val="005347E4"/>
    <w:rsid w:val="00552AE5"/>
    <w:rsid w:val="00566ACF"/>
    <w:rsid w:val="00574C11"/>
    <w:rsid w:val="0057644A"/>
    <w:rsid w:val="00577D87"/>
    <w:rsid w:val="00591560"/>
    <w:rsid w:val="00595AED"/>
    <w:rsid w:val="005B0477"/>
    <w:rsid w:val="005B123B"/>
    <w:rsid w:val="005D1E6F"/>
    <w:rsid w:val="005E4AEA"/>
    <w:rsid w:val="005F07A0"/>
    <w:rsid w:val="00600654"/>
    <w:rsid w:val="006138BB"/>
    <w:rsid w:val="0062103A"/>
    <w:rsid w:val="0064569A"/>
    <w:rsid w:val="00662CE9"/>
    <w:rsid w:val="00672076"/>
    <w:rsid w:val="0069195F"/>
    <w:rsid w:val="006972BE"/>
    <w:rsid w:val="006A5FD3"/>
    <w:rsid w:val="006B2DFB"/>
    <w:rsid w:val="006B4431"/>
    <w:rsid w:val="006C234B"/>
    <w:rsid w:val="006E5787"/>
    <w:rsid w:val="006E7421"/>
    <w:rsid w:val="006E7782"/>
    <w:rsid w:val="006F492C"/>
    <w:rsid w:val="00705AAB"/>
    <w:rsid w:val="00724868"/>
    <w:rsid w:val="00726567"/>
    <w:rsid w:val="007360E4"/>
    <w:rsid w:val="0074115F"/>
    <w:rsid w:val="0074319A"/>
    <w:rsid w:val="00750142"/>
    <w:rsid w:val="007575A6"/>
    <w:rsid w:val="00763093"/>
    <w:rsid w:val="00767CD4"/>
    <w:rsid w:val="00777F8A"/>
    <w:rsid w:val="00786462"/>
    <w:rsid w:val="007B5746"/>
    <w:rsid w:val="007C2209"/>
    <w:rsid w:val="007C53D0"/>
    <w:rsid w:val="007C6FA0"/>
    <w:rsid w:val="007D461C"/>
    <w:rsid w:val="007F1E4C"/>
    <w:rsid w:val="007F263B"/>
    <w:rsid w:val="00822E68"/>
    <w:rsid w:val="00840ACE"/>
    <w:rsid w:val="008430F4"/>
    <w:rsid w:val="0085186A"/>
    <w:rsid w:val="00863CFB"/>
    <w:rsid w:val="00881BBD"/>
    <w:rsid w:val="0088443B"/>
    <w:rsid w:val="0088536F"/>
    <w:rsid w:val="00887243"/>
    <w:rsid w:val="008B1BBB"/>
    <w:rsid w:val="008B2920"/>
    <w:rsid w:val="008D09F7"/>
    <w:rsid w:val="008D560C"/>
    <w:rsid w:val="008D6C95"/>
    <w:rsid w:val="008F585C"/>
    <w:rsid w:val="0090329F"/>
    <w:rsid w:val="009053CD"/>
    <w:rsid w:val="00921CF2"/>
    <w:rsid w:val="00921EA1"/>
    <w:rsid w:val="00934BDF"/>
    <w:rsid w:val="00951900"/>
    <w:rsid w:val="00972FE6"/>
    <w:rsid w:val="009753A3"/>
    <w:rsid w:val="0099183D"/>
    <w:rsid w:val="0099273F"/>
    <w:rsid w:val="009936E2"/>
    <w:rsid w:val="009A05B3"/>
    <w:rsid w:val="009A1137"/>
    <w:rsid w:val="009A2493"/>
    <w:rsid w:val="009A6E0D"/>
    <w:rsid w:val="009B0D83"/>
    <w:rsid w:val="009C5F12"/>
    <w:rsid w:val="009D0595"/>
    <w:rsid w:val="00A37947"/>
    <w:rsid w:val="00A410EF"/>
    <w:rsid w:val="00A6134D"/>
    <w:rsid w:val="00A620EC"/>
    <w:rsid w:val="00A63814"/>
    <w:rsid w:val="00A675BC"/>
    <w:rsid w:val="00A71543"/>
    <w:rsid w:val="00A7435A"/>
    <w:rsid w:val="00A90E9F"/>
    <w:rsid w:val="00A929B9"/>
    <w:rsid w:val="00A9454E"/>
    <w:rsid w:val="00AA001C"/>
    <w:rsid w:val="00AB16B4"/>
    <w:rsid w:val="00AB5A0A"/>
    <w:rsid w:val="00AC1AEC"/>
    <w:rsid w:val="00AC5A7D"/>
    <w:rsid w:val="00AF33C2"/>
    <w:rsid w:val="00AF7C1A"/>
    <w:rsid w:val="00B0199B"/>
    <w:rsid w:val="00B0728D"/>
    <w:rsid w:val="00B12136"/>
    <w:rsid w:val="00B135DF"/>
    <w:rsid w:val="00B142E2"/>
    <w:rsid w:val="00B20DFA"/>
    <w:rsid w:val="00B23985"/>
    <w:rsid w:val="00B37681"/>
    <w:rsid w:val="00B64B34"/>
    <w:rsid w:val="00B66BB2"/>
    <w:rsid w:val="00B82022"/>
    <w:rsid w:val="00B93EA5"/>
    <w:rsid w:val="00B94322"/>
    <w:rsid w:val="00B94B4E"/>
    <w:rsid w:val="00BC2179"/>
    <w:rsid w:val="00BC6CD0"/>
    <w:rsid w:val="00BD2374"/>
    <w:rsid w:val="00BD2641"/>
    <w:rsid w:val="00BD2BBF"/>
    <w:rsid w:val="00BE6066"/>
    <w:rsid w:val="00BF0B52"/>
    <w:rsid w:val="00C0320C"/>
    <w:rsid w:val="00C35730"/>
    <w:rsid w:val="00C44B11"/>
    <w:rsid w:val="00C61D85"/>
    <w:rsid w:val="00C660AD"/>
    <w:rsid w:val="00C733B2"/>
    <w:rsid w:val="00CB5944"/>
    <w:rsid w:val="00CB5E6E"/>
    <w:rsid w:val="00CB72F9"/>
    <w:rsid w:val="00CE21F8"/>
    <w:rsid w:val="00CF6ED4"/>
    <w:rsid w:val="00CF7A97"/>
    <w:rsid w:val="00D06704"/>
    <w:rsid w:val="00D17F79"/>
    <w:rsid w:val="00D25575"/>
    <w:rsid w:val="00D33B90"/>
    <w:rsid w:val="00D34D82"/>
    <w:rsid w:val="00D43C7C"/>
    <w:rsid w:val="00D80C9C"/>
    <w:rsid w:val="00D841A6"/>
    <w:rsid w:val="00DA04C3"/>
    <w:rsid w:val="00DA6AF0"/>
    <w:rsid w:val="00DF2ECD"/>
    <w:rsid w:val="00DF4527"/>
    <w:rsid w:val="00DF58E7"/>
    <w:rsid w:val="00E05E9F"/>
    <w:rsid w:val="00E56DEF"/>
    <w:rsid w:val="00E65C89"/>
    <w:rsid w:val="00E7153E"/>
    <w:rsid w:val="00E90F58"/>
    <w:rsid w:val="00EB0B5D"/>
    <w:rsid w:val="00EB5F10"/>
    <w:rsid w:val="00EB7A72"/>
    <w:rsid w:val="00EC0727"/>
    <w:rsid w:val="00EC790A"/>
    <w:rsid w:val="00EE7E41"/>
    <w:rsid w:val="00EF5063"/>
    <w:rsid w:val="00EF664D"/>
    <w:rsid w:val="00F15832"/>
    <w:rsid w:val="00F17A45"/>
    <w:rsid w:val="00F26242"/>
    <w:rsid w:val="00F26B11"/>
    <w:rsid w:val="00F3088A"/>
    <w:rsid w:val="00F40A4F"/>
    <w:rsid w:val="00F42A24"/>
    <w:rsid w:val="00F54180"/>
    <w:rsid w:val="00F65B1A"/>
    <w:rsid w:val="00F66DE0"/>
    <w:rsid w:val="00FA4410"/>
    <w:rsid w:val="00FC0280"/>
    <w:rsid w:val="00FD0D4C"/>
    <w:rsid w:val="00FD4283"/>
    <w:rsid w:val="00FF31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9F7"/>
  <w15:chartTrackingRefBased/>
  <w15:docId w15:val="{93B21FEE-3A9F-44A9-A3D0-188F8363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1A18"/>
    <w:pPr>
      <w:spacing w:after="0" w:line="240" w:lineRule="auto"/>
    </w:pPr>
    <w:rPr>
      <w:rFonts w:ascii="Times New Roman" w:eastAsia="Times New Roman" w:hAnsi="Times New Roman" w:cs="Times New Roman"/>
      <w:kern w:val="0"/>
      <w:sz w:val="28"/>
      <w:szCs w:val="20"/>
      <w:lang w:eastAsia="pl-PL"/>
      <w14:ligatures w14:val="none"/>
    </w:rPr>
  </w:style>
  <w:style w:type="paragraph" w:styleId="Nagwek1">
    <w:name w:val="heading 1"/>
    <w:basedOn w:val="Normalny"/>
    <w:next w:val="Normalny"/>
    <w:link w:val="Nagwek1Znak"/>
    <w:uiPriority w:val="9"/>
    <w:qFormat/>
    <w:rsid w:val="00050B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50B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50B75"/>
    <w:pPr>
      <w:keepNext/>
      <w:keepLines/>
      <w:spacing w:before="160" w:after="80"/>
      <w:outlineLvl w:val="2"/>
    </w:pPr>
    <w:rPr>
      <w:rFonts w:eastAsiaTheme="majorEastAsia" w:cstheme="majorBidi"/>
      <w:color w:val="0F4761" w:themeColor="accent1" w:themeShade="BF"/>
      <w:szCs w:val="28"/>
    </w:rPr>
  </w:style>
  <w:style w:type="paragraph" w:styleId="Nagwek4">
    <w:name w:val="heading 4"/>
    <w:basedOn w:val="Normalny"/>
    <w:next w:val="Normalny"/>
    <w:link w:val="Nagwek4Znak"/>
    <w:uiPriority w:val="9"/>
    <w:semiHidden/>
    <w:unhideWhenUsed/>
    <w:qFormat/>
    <w:rsid w:val="00050B7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50B7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50B75"/>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50B75"/>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50B75"/>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50B75"/>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50B7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50B7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50B7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50B7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50B7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50B7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50B7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50B7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50B75"/>
    <w:rPr>
      <w:rFonts w:eastAsiaTheme="majorEastAsia" w:cstheme="majorBidi"/>
      <w:color w:val="272727" w:themeColor="text1" w:themeTint="D8"/>
    </w:rPr>
  </w:style>
  <w:style w:type="paragraph" w:styleId="Tytu">
    <w:name w:val="Title"/>
    <w:basedOn w:val="Normalny"/>
    <w:next w:val="Normalny"/>
    <w:link w:val="TytuZnak"/>
    <w:uiPriority w:val="10"/>
    <w:qFormat/>
    <w:rsid w:val="00050B7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50B7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50B75"/>
    <w:pPr>
      <w:numPr>
        <w:ilvl w:val="1"/>
      </w:numPr>
    </w:pPr>
    <w:rPr>
      <w:rFonts w:eastAsiaTheme="majorEastAsia" w:cstheme="majorBidi"/>
      <w:color w:val="595959" w:themeColor="text1" w:themeTint="A6"/>
      <w:spacing w:val="15"/>
      <w:szCs w:val="28"/>
    </w:rPr>
  </w:style>
  <w:style w:type="character" w:customStyle="1" w:styleId="PodtytuZnak">
    <w:name w:val="Podtytuł Znak"/>
    <w:basedOn w:val="Domylnaczcionkaakapitu"/>
    <w:link w:val="Podtytu"/>
    <w:uiPriority w:val="11"/>
    <w:rsid w:val="00050B7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50B75"/>
    <w:pPr>
      <w:spacing w:before="160"/>
      <w:jc w:val="center"/>
    </w:pPr>
    <w:rPr>
      <w:i/>
      <w:iCs/>
      <w:color w:val="404040" w:themeColor="text1" w:themeTint="BF"/>
    </w:rPr>
  </w:style>
  <w:style w:type="character" w:customStyle="1" w:styleId="CytatZnak">
    <w:name w:val="Cytat Znak"/>
    <w:basedOn w:val="Domylnaczcionkaakapitu"/>
    <w:link w:val="Cytat"/>
    <w:uiPriority w:val="29"/>
    <w:rsid w:val="00050B75"/>
    <w:rPr>
      <w:i/>
      <w:iCs/>
      <w:color w:val="404040" w:themeColor="text1" w:themeTint="BF"/>
    </w:rPr>
  </w:style>
  <w:style w:type="paragraph" w:styleId="Akapitzlist">
    <w:name w:val="List Paragraph"/>
    <w:basedOn w:val="Normalny"/>
    <w:uiPriority w:val="34"/>
    <w:qFormat/>
    <w:rsid w:val="00050B75"/>
    <w:pPr>
      <w:ind w:left="720"/>
      <w:contextualSpacing/>
    </w:pPr>
  </w:style>
  <w:style w:type="character" w:styleId="Wyrnienieintensywne">
    <w:name w:val="Intense Emphasis"/>
    <w:basedOn w:val="Domylnaczcionkaakapitu"/>
    <w:uiPriority w:val="21"/>
    <w:qFormat/>
    <w:rsid w:val="00050B75"/>
    <w:rPr>
      <w:i/>
      <w:iCs/>
      <w:color w:val="0F4761" w:themeColor="accent1" w:themeShade="BF"/>
    </w:rPr>
  </w:style>
  <w:style w:type="paragraph" w:styleId="Cytatintensywny">
    <w:name w:val="Intense Quote"/>
    <w:basedOn w:val="Normalny"/>
    <w:next w:val="Normalny"/>
    <w:link w:val="CytatintensywnyZnak"/>
    <w:uiPriority w:val="30"/>
    <w:qFormat/>
    <w:rsid w:val="00050B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50B75"/>
    <w:rPr>
      <w:i/>
      <w:iCs/>
      <w:color w:val="0F4761" w:themeColor="accent1" w:themeShade="BF"/>
    </w:rPr>
  </w:style>
  <w:style w:type="character" w:styleId="Odwoanieintensywne">
    <w:name w:val="Intense Reference"/>
    <w:basedOn w:val="Domylnaczcionkaakapitu"/>
    <w:uiPriority w:val="32"/>
    <w:qFormat/>
    <w:rsid w:val="00050B75"/>
    <w:rPr>
      <w:b/>
      <w:bCs/>
      <w:smallCaps/>
      <w:color w:val="0F4761" w:themeColor="accent1" w:themeShade="BF"/>
      <w:spacing w:val="5"/>
    </w:rPr>
  </w:style>
  <w:style w:type="paragraph" w:styleId="Bezodstpw">
    <w:name w:val="No Spacing"/>
    <w:uiPriority w:val="1"/>
    <w:qFormat/>
    <w:rsid w:val="00DF4527"/>
    <w:pPr>
      <w:spacing w:after="0" w:line="240" w:lineRule="auto"/>
    </w:pPr>
  </w:style>
  <w:style w:type="table" w:styleId="Tabela-Siatka">
    <w:name w:val="Table Grid"/>
    <w:basedOn w:val="Standardowy"/>
    <w:uiPriority w:val="39"/>
    <w:rsid w:val="00DF4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rsid w:val="00021A18"/>
    <w:rPr>
      <w:sz w:val="20"/>
    </w:rPr>
  </w:style>
  <w:style w:type="character" w:customStyle="1" w:styleId="TekstkomentarzaZnak">
    <w:name w:val="Tekst komentarza Znak"/>
    <w:basedOn w:val="Domylnaczcionkaakapitu"/>
    <w:link w:val="Tekstkomentarza"/>
    <w:uiPriority w:val="99"/>
    <w:rsid w:val="00021A18"/>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rsid w:val="00021A18"/>
    <w:rPr>
      <w:b/>
      <w:bCs/>
    </w:rPr>
  </w:style>
  <w:style w:type="character" w:customStyle="1" w:styleId="TematkomentarzaZnak">
    <w:name w:val="Temat komentarza Znak"/>
    <w:basedOn w:val="TekstkomentarzaZnak"/>
    <w:link w:val="Tematkomentarza"/>
    <w:rsid w:val="00021A18"/>
    <w:rPr>
      <w:rFonts w:ascii="Times New Roman" w:eastAsia="Times New Roman" w:hAnsi="Times New Roman" w:cs="Times New Roman"/>
      <w:b/>
      <w:bCs/>
      <w:kern w:val="0"/>
      <w:sz w:val="20"/>
      <w:szCs w:val="20"/>
      <w:lang w:eastAsia="pl-PL"/>
      <w14:ligatures w14:val="none"/>
    </w:rPr>
  </w:style>
  <w:style w:type="paragraph" w:styleId="Poprawka">
    <w:name w:val="Revision"/>
    <w:hidden/>
    <w:uiPriority w:val="99"/>
    <w:semiHidden/>
    <w:rsid w:val="00A9454E"/>
    <w:pPr>
      <w:spacing w:after="0" w:line="240" w:lineRule="auto"/>
    </w:pPr>
    <w:rPr>
      <w:rFonts w:ascii="Times New Roman" w:eastAsia="Times New Roman" w:hAnsi="Times New Roman" w:cs="Times New Roman"/>
      <w:kern w:val="0"/>
      <w:sz w:val="28"/>
      <w:szCs w:val="20"/>
      <w:lang w:eastAsia="pl-PL"/>
      <w14:ligatures w14:val="none"/>
    </w:rPr>
  </w:style>
  <w:style w:type="character" w:styleId="Odwoaniedokomentarza">
    <w:name w:val="annotation reference"/>
    <w:basedOn w:val="Domylnaczcionkaakapitu"/>
    <w:uiPriority w:val="99"/>
    <w:semiHidden/>
    <w:unhideWhenUsed/>
    <w:rsid w:val="003559AF"/>
    <w:rPr>
      <w:sz w:val="16"/>
      <w:szCs w:val="16"/>
    </w:rPr>
  </w:style>
  <w:style w:type="paragraph" w:styleId="Nagwek">
    <w:name w:val="header"/>
    <w:basedOn w:val="Normalny"/>
    <w:link w:val="NagwekZnak"/>
    <w:uiPriority w:val="99"/>
    <w:unhideWhenUsed/>
    <w:rsid w:val="00D841A6"/>
    <w:pPr>
      <w:tabs>
        <w:tab w:val="center" w:pos="4536"/>
        <w:tab w:val="right" w:pos="9072"/>
      </w:tabs>
    </w:pPr>
  </w:style>
  <w:style w:type="character" w:customStyle="1" w:styleId="NagwekZnak">
    <w:name w:val="Nagłówek Znak"/>
    <w:basedOn w:val="Domylnaczcionkaakapitu"/>
    <w:link w:val="Nagwek"/>
    <w:uiPriority w:val="99"/>
    <w:rsid w:val="00D841A6"/>
    <w:rPr>
      <w:rFonts w:ascii="Times New Roman" w:eastAsia="Times New Roman" w:hAnsi="Times New Roman" w:cs="Times New Roman"/>
      <w:kern w:val="0"/>
      <w:sz w:val="28"/>
      <w:szCs w:val="20"/>
      <w:lang w:eastAsia="pl-PL"/>
      <w14:ligatures w14:val="none"/>
    </w:rPr>
  </w:style>
  <w:style w:type="paragraph" w:styleId="Stopka">
    <w:name w:val="footer"/>
    <w:basedOn w:val="Normalny"/>
    <w:link w:val="StopkaZnak"/>
    <w:uiPriority w:val="99"/>
    <w:unhideWhenUsed/>
    <w:rsid w:val="00D841A6"/>
    <w:pPr>
      <w:tabs>
        <w:tab w:val="center" w:pos="4536"/>
        <w:tab w:val="right" w:pos="9072"/>
      </w:tabs>
    </w:pPr>
  </w:style>
  <w:style w:type="character" w:customStyle="1" w:styleId="StopkaZnak">
    <w:name w:val="Stopka Znak"/>
    <w:basedOn w:val="Domylnaczcionkaakapitu"/>
    <w:link w:val="Stopka"/>
    <w:uiPriority w:val="99"/>
    <w:rsid w:val="00D841A6"/>
    <w:rPr>
      <w:rFonts w:ascii="Times New Roman" w:eastAsia="Times New Roman" w:hAnsi="Times New Roman" w:cs="Times New Roman"/>
      <w:kern w:val="0"/>
      <w:sz w:val="28"/>
      <w:szCs w:val="20"/>
      <w:lang w:eastAsia="pl-PL"/>
      <w14:ligatures w14:val="none"/>
    </w:rPr>
  </w:style>
  <w:style w:type="paragraph" w:styleId="Tekstprzypisudolnego">
    <w:name w:val="footnote text"/>
    <w:basedOn w:val="Normalny"/>
    <w:link w:val="TekstprzypisudolnegoZnak"/>
    <w:uiPriority w:val="99"/>
    <w:semiHidden/>
    <w:unhideWhenUsed/>
    <w:rsid w:val="00574C11"/>
    <w:rPr>
      <w:sz w:val="20"/>
    </w:rPr>
  </w:style>
  <w:style w:type="character" w:customStyle="1" w:styleId="TekstprzypisudolnegoZnak">
    <w:name w:val="Tekst przypisu dolnego Znak"/>
    <w:basedOn w:val="Domylnaczcionkaakapitu"/>
    <w:link w:val="Tekstprzypisudolnego"/>
    <w:uiPriority w:val="99"/>
    <w:semiHidden/>
    <w:rsid w:val="00574C11"/>
    <w:rPr>
      <w:rFonts w:ascii="Times New Roman" w:eastAsia="Times New Roman" w:hAnsi="Times New Roman" w:cs="Times New Roman"/>
      <w:kern w:val="0"/>
      <w:sz w:val="20"/>
      <w:szCs w:val="20"/>
      <w:lang w:eastAsia="pl-PL"/>
      <w14:ligatures w14:val="none"/>
    </w:rPr>
  </w:style>
  <w:style w:type="character" w:styleId="Odwoanieprzypisudolnego">
    <w:name w:val="footnote reference"/>
    <w:basedOn w:val="Domylnaczcionkaakapitu"/>
    <w:uiPriority w:val="99"/>
    <w:semiHidden/>
    <w:unhideWhenUsed/>
    <w:rsid w:val="00574C11"/>
    <w:rPr>
      <w:vertAlign w:val="superscript"/>
    </w:rPr>
  </w:style>
  <w:style w:type="paragraph" w:styleId="NormalnyWeb">
    <w:name w:val="Normal (Web)"/>
    <w:basedOn w:val="Normalny"/>
    <w:uiPriority w:val="99"/>
    <w:semiHidden/>
    <w:unhideWhenUsed/>
    <w:rsid w:val="00251E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808063">
      <w:bodyDiv w:val="1"/>
      <w:marLeft w:val="0"/>
      <w:marRight w:val="0"/>
      <w:marTop w:val="0"/>
      <w:marBottom w:val="0"/>
      <w:divBdr>
        <w:top w:val="none" w:sz="0" w:space="0" w:color="auto"/>
        <w:left w:val="none" w:sz="0" w:space="0" w:color="auto"/>
        <w:bottom w:val="none" w:sz="0" w:space="0" w:color="auto"/>
        <w:right w:val="none" w:sz="0" w:space="0" w:color="auto"/>
      </w:divBdr>
    </w:div>
    <w:div w:id="1414350697">
      <w:bodyDiv w:val="1"/>
      <w:marLeft w:val="0"/>
      <w:marRight w:val="0"/>
      <w:marTop w:val="0"/>
      <w:marBottom w:val="0"/>
      <w:divBdr>
        <w:top w:val="none" w:sz="0" w:space="0" w:color="auto"/>
        <w:left w:val="none" w:sz="0" w:space="0" w:color="auto"/>
        <w:bottom w:val="none" w:sz="0" w:space="0" w:color="auto"/>
        <w:right w:val="none" w:sz="0" w:space="0" w:color="auto"/>
      </w:divBdr>
    </w:div>
    <w:div w:id="1526137988">
      <w:bodyDiv w:val="1"/>
      <w:marLeft w:val="0"/>
      <w:marRight w:val="0"/>
      <w:marTop w:val="0"/>
      <w:marBottom w:val="0"/>
      <w:divBdr>
        <w:top w:val="none" w:sz="0" w:space="0" w:color="auto"/>
        <w:left w:val="none" w:sz="0" w:space="0" w:color="auto"/>
        <w:bottom w:val="none" w:sz="0" w:space="0" w:color="auto"/>
        <w:right w:val="none" w:sz="0" w:space="0" w:color="auto"/>
      </w:divBdr>
    </w:div>
    <w:div w:id="1654605761">
      <w:bodyDiv w:val="1"/>
      <w:marLeft w:val="0"/>
      <w:marRight w:val="0"/>
      <w:marTop w:val="0"/>
      <w:marBottom w:val="0"/>
      <w:divBdr>
        <w:top w:val="none" w:sz="0" w:space="0" w:color="auto"/>
        <w:left w:val="none" w:sz="0" w:space="0" w:color="auto"/>
        <w:bottom w:val="none" w:sz="0" w:space="0" w:color="auto"/>
        <w:right w:val="none" w:sz="0" w:space="0" w:color="auto"/>
      </w:divBdr>
    </w:div>
    <w:div w:id="1806506158">
      <w:bodyDiv w:val="1"/>
      <w:marLeft w:val="0"/>
      <w:marRight w:val="0"/>
      <w:marTop w:val="0"/>
      <w:marBottom w:val="0"/>
      <w:divBdr>
        <w:top w:val="none" w:sz="0" w:space="0" w:color="auto"/>
        <w:left w:val="none" w:sz="0" w:space="0" w:color="auto"/>
        <w:bottom w:val="none" w:sz="0" w:space="0" w:color="auto"/>
        <w:right w:val="none" w:sz="0" w:space="0" w:color="auto"/>
      </w:divBdr>
    </w:div>
    <w:div w:id="1819490615">
      <w:bodyDiv w:val="1"/>
      <w:marLeft w:val="0"/>
      <w:marRight w:val="0"/>
      <w:marTop w:val="0"/>
      <w:marBottom w:val="0"/>
      <w:divBdr>
        <w:top w:val="none" w:sz="0" w:space="0" w:color="auto"/>
        <w:left w:val="none" w:sz="0" w:space="0" w:color="auto"/>
        <w:bottom w:val="none" w:sz="0" w:space="0" w:color="auto"/>
        <w:right w:val="none" w:sz="0" w:space="0" w:color="auto"/>
      </w:divBdr>
    </w:div>
    <w:div w:id="2029139036">
      <w:bodyDiv w:val="1"/>
      <w:marLeft w:val="0"/>
      <w:marRight w:val="0"/>
      <w:marTop w:val="0"/>
      <w:marBottom w:val="0"/>
      <w:divBdr>
        <w:top w:val="none" w:sz="0" w:space="0" w:color="auto"/>
        <w:left w:val="none" w:sz="0" w:space="0" w:color="auto"/>
        <w:bottom w:val="none" w:sz="0" w:space="0" w:color="auto"/>
        <w:right w:val="none" w:sz="0" w:space="0" w:color="auto"/>
      </w:divBdr>
    </w:div>
    <w:div w:id="212769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79E0C-216C-4DB3-B615-09A73CE3C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2386</Words>
  <Characters>14317</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Muszyński Marcin</dc:creator>
  <cp:keywords/>
  <dc:description/>
  <cp:lastModifiedBy>Markowska Anna</cp:lastModifiedBy>
  <cp:revision>16</cp:revision>
  <dcterms:created xsi:type="dcterms:W3CDTF">2026-08-12T08:09:00Z</dcterms:created>
  <dcterms:modified xsi:type="dcterms:W3CDTF">2026-08-27T09:25:00Z</dcterms:modified>
</cp:coreProperties>
</file>