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8FD87" w14:textId="263AB1AC" w:rsidR="001F45C1" w:rsidRPr="00BD2E59" w:rsidRDefault="00E81F33" w:rsidP="00D60F52">
      <w:pPr>
        <w:pStyle w:val="Nagwek1"/>
        <w:rPr>
          <w:b w:val="0"/>
          <w:sz w:val="40"/>
          <w:szCs w:val="40"/>
        </w:rPr>
      </w:pPr>
      <w:bookmarkStart w:id="0" w:name="_GoBack"/>
      <w:bookmarkEnd w:id="0"/>
      <w:r w:rsidRPr="00E81F33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6450DF1" wp14:editId="1CCA04E2">
            <wp:simplePos x="0" y="0"/>
            <wp:positionH relativeFrom="margin">
              <wp:align>right</wp:align>
            </wp:positionH>
            <wp:positionV relativeFrom="paragraph">
              <wp:posOffset>66</wp:posOffset>
            </wp:positionV>
            <wp:extent cx="1734185" cy="677545"/>
            <wp:effectExtent l="0" t="0" r="0" b="0"/>
            <wp:wrapThrough wrapText="bothSides">
              <wp:wrapPolygon edited="0">
                <wp:start x="4034" y="3644"/>
                <wp:lineTo x="2373" y="5466"/>
                <wp:lineTo x="2135" y="12754"/>
                <wp:lineTo x="2610" y="14575"/>
                <wp:lineTo x="4034" y="17005"/>
                <wp:lineTo x="4271" y="18219"/>
                <wp:lineTo x="5220" y="18219"/>
                <wp:lineTo x="19219" y="16397"/>
                <wp:lineTo x="19457" y="7288"/>
                <wp:lineTo x="17084" y="6073"/>
                <wp:lineTo x="5220" y="3644"/>
                <wp:lineTo x="4034" y="3644"/>
              </wp:wrapPolygon>
            </wp:wrapThrough>
            <wp:docPr id="1" name="Obraz 1" descr="Logo Centrum GovTech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debski\Desktop\logo GovTech\govtech_Polska_white_background_1.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DFB">
        <w:t xml:space="preserve">Stan </w:t>
      </w:r>
      <w:r w:rsidR="001F45C1" w:rsidRPr="00D60F52">
        <w:t>dostępności</w:t>
      </w:r>
      <w:r w:rsidR="001F45C1">
        <w:t xml:space="preserve"> cyfrowej stron internetowych podmiotów publicznych </w:t>
      </w:r>
      <w:r w:rsidR="00BD2E59">
        <w:br/>
      </w:r>
      <w:r w:rsidR="001F45C1">
        <w:t>w 2020r.</w:t>
      </w:r>
      <w:r w:rsidR="00C57DFB">
        <w:t xml:space="preserve"> </w:t>
      </w:r>
      <w:r w:rsidR="00D60F52">
        <w:br/>
      </w:r>
      <w:r w:rsidR="00BD2E59" w:rsidRPr="00BD2E59">
        <w:rPr>
          <w:b w:val="0"/>
          <w:sz w:val="40"/>
          <w:szCs w:val="40"/>
        </w:rPr>
        <w:t>R</w:t>
      </w:r>
      <w:r w:rsidR="00C57DFB" w:rsidRPr="00BD2E59">
        <w:rPr>
          <w:b w:val="0"/>
          <w:sz w:val="40"/>
          <w:szCs w:val="40"/>
        </w:rPr>
        <w:t xml:space="preserve">aport z pierwszej części </w:t>
      </w:r>
      <w:r w:rsidR="00BD2E59" w:rsidRPr="00BD2E59">
        <w:rPr>
          <w:b w:val="0"/>
          <w:sz w:val="40"/>
          <w:szCs w:val="40"/>
        </w:rPr>
        <w:t>monitoringu rocznego</w:t>
      </w:r>
    </w:p>
    <w:p w14:paraId="5DC30D04" w14:textId="391EF658" w:rsidR="001F45C1" w:rsidRDefault="001F45C1" w:rsidP="001F45C1"/>
    <w:p w14:paraId="70B8FB0D" w14:textId="34C93673" w:rsidR="005D017F" w:rsidRDefault="005D017F">
      <w:pPr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1ED73EA7" w14:textId="7851AF24" w:rsidR="001F45C1" w:rsidRDefault="001F45C1" w:rsidP="001F45C1">
      <w:pPr>
        <w:pStyle w:val="Nagwek2"/>
      </w:pPr>
      <w:r>
        <w:lastRenderedPageBreak/>
        <w:t>Streszczenie</w:t>
      </w:r>
    </w:p>
    <w:p w14:paraId="449E73F3" w14:textId="77777777" w:rsidR="00D24723" w:rsidRDefault="00F56095" w:rsidP="001F45C1">
      <w:r>
        <w:t xml:space="preserve">Dostępność cyfrowa umożliwia korzystanie ze stron internetowych i aplikacji mobilnych osobom z niepełnosprawnościami. </w:t>
      </w:r>
    </w:p>
    <w:p w14:paraId="3774EC35" w14:textId="05D42FCD" w:rsidR="005D017F" w:rsidRDefault="00F56095" w:rsidP="005D017F">
      <w:r>
        <w:t xml:space="preserve">Zapewnienie takiej dostępności jest obowiązkiem prawnym dla podmiotów publicznych w całej Unii Europejskiej. W Polsce ten obowiązek </w:t>
      </w:r>
      <w:r w:rsidR="00D63C1A">
        <w:t>określa</w:t>
      </w:r>
      <w:r>
        <w:t xml:space="preserve"> Ustawa z 4 kwietnia 2019 o dostępności cyfrowej stron internetowych i aplikacji mobilnych podmiotów publicznych (Dz. U. 2019 poz. 848).</w:t>
      </w:r>
      <w:r w:rsidR="00D24723">
        <w:t xml:space="preserve"> </w:t>
      </w:r>
      <w:r w:rsidR="005D017F">
        <w:t xml:space="preserve">Ustawa nakłada na Ministra właściwego ds. </w:t>
      </w:r>
      <w:r w:rsidR="00D60F52">
        <w:t>informatyz</w:t>
      </w:r>
      <w:r w:rsidR="005D017F">
        <w:t xml:space="preserve">acji obowiązek corocznego monitoringu stanu dostępności cyfrowej. W 2020 r. badanie to wykonane było po raz pierwszy. </w:t>
      </w:r>
    </w:p>
    <w:p w14:paraId="72AAC334" w14:textId="4F3AA111" w:rsidR="00F56095" w:rsidRDefault="00F56095" w:rsidP="00F56095">
      <w:r>
        <w:t xml:space="preserve">Celem badania była ocena stanu dostępności cyfrowej wybranych </w:t>
      </w:r>
      <w:r w:rsidR="005D017F">
        <w:t xml:space="preserve">835 </w:t>
      </w:r>
      <w:r>
        <w:t xml:space="preserve">stron internetowych polskich podmiotów publicznych. </w:t>
      </w:r>
    </w:p>
    <w:p w14:paraId="70692750" w14:textId="1F0FF43B" w:rsidR="00F56095" w:rsidRDefault="00C57DFB" w:rsidP="001F45C1">
      <w:r>
        <w:t xml:space="preserve">Szczegółowa metodologia badania określona jest w decyzji wykonawczej Komisji (UE) 2018/1524 z dnia 11 października 2018 r. </w:t>
      </w:r>
      <w:r w:rsidR="005D017F">
        <w:t xml:space="preserve">Pierwsza część badania (opisana w tym raporcie) bazowała na </w:t>
      </w:r>
      <w:r>
        <w:t xml:space="preserve">testach automatycznych. </w:t>
      </w:r>
      <w:r w:rsidR="005D017F">
        <w:t xml:space="preserve">Jednocześnie prowadzony jest </w:t>
      </w:r>
      <w:r w:rsidR="00D60F52">
        <w:t xml:space="preserve">(stan na 31 marca 2021r.) </w:t>
      </w:r>
      <w:r w:rsidR="00AA566F">
        <w:t xml:space="preserve">szczegółowy </w:t>
      </w:r>
      <w:r w:rsidR="005D017F">
        <w:t xml:space="preserve">monitoring 52 stron internetowych poprzez testy eksperckie. Planowany jest także monitoring aplikacji mobilnych. Całościowy raport z trzech części badania opublikowany będzie do 23 grudnia 2021 r.  </w:t>
      </w:r>
    </w:p>
    <w:p w14:paraId="5FBF429F" w14:textId="77777777" w:rsidR="006E458C" w:rsidRDefault="006E458C" w:rsidP="006E458C">
      <w:r w:rsidRPr="00DF2BE8">
        <w:t xml:space="preserve">Żadna z badanych stron internetowych podmiotów publicznych nie była w 100% zgodna z badanymi kryteriami </w:t>
      </w:r>
      <w:hyperlink r:id="rId9" w:history="1">
        <w:r w:rsidRPr="00DF2BE8">
          <w:rPr>
            <w:rStyle w:val="Hipercze"/>
          </w:rPr>
          <w:t>Wytycznych dla dostępności treści internetowych (WCAG) 2.1</w:t>
        </w:r>
      </w:hyperlink>
      <w:r>
        <w:t xml:space="preserve">. Średnio na każdej stronie zidentyfikowano 35 błędów. Jedynie 22,2% badanych stron posiadało poprawną deklarację dostępności. </w:t>
      </w:r>
    </w:p>
    <w:p w14:paraId="59A5779D" w14:textId="36B1A086" w:rsidR="000A6702" w:rsidRDefault="000A6702" w:rsidP="001F45C1">
      <w:r>
        <w:t>Pełna analiza danych za rok 2020 będzie możliwa dopiero po zakończeniu badań szczegółowych wybranych 52 stron internetowych podmiotów publicznych. Niemniej już badania szczątkowe pozwalają określać działania niezbędne do wykonania w najbliższym czasie. Są to między innymi:</w:t>
      </w:r>
    </w:p>
    <w:p w14:paraId="576809B9" w14:textId="16EF17F3" w:rsidR="000A6702" w:rsidRDefault="000A6702" w:rsidP="000A6702">
      <w:pPr>
        <w:pStyle w:val="Akapitzlist"/>
        <w:numPr>
          <w:ilvl w:val="0"/>
          <w:numId w:val="11"/>
        </w:numPr>
      </w:pPr>
      <w:r>
        <w:t>Promocja dostępności cyfrowej wśród podmiotów publicznych,</w:t>
      </w:r>
    </w:p>
    <w:p w14:paraId="222C020C" w14:textId="26CF5E18" w:rsidR="000A6702" w:rsidRDefault="000A6702" w:rsidP="000A6702">
      <w:pPr>
        <w:pStyle w:val="Akapitzlist"/>
        <w:numPr>
          <w:ilvl w:val="0"/>
          <w:numId w:val="11"/>
        </w:numPr>
      </w:pPr>
      <w:r>
        <w:t>Realizacja szkoleń poświęconych dostępności cyfrowej wśród pracowników podmiotów publicznych,</w:t>
      </w:r>
    </w:p>
    <w:p w14:paraId="493D7C7F" w14:textId="24B4AF12" w:rsidR="00DB492F" w:rsidRDefault="00DB492F" w:rsidP="000A6702">
      <w:pPr>
        <w:pStyle w:val="Akapitzlist"/>
        <w:numPr>
          <w:ilvl w:val="0"/>
          <w:numId w:val="11"/>
        </w:numPr>
      </w:pPr>
      <w:r>
        <w:t>Poszerzanie wykazu wszystkich stron internetowych podmiotów publicznych,</w:t>
      </w:r>
    </w:p>
    <w:p w14:paraId="5B79EEB2" w14:textId="77777777" w:rsidR="00C3434A" w:rsidRDefault="000A6702" w:rsidP="001F45C1">
      <w:pPr>
        <w:pStyle w:val="Akapitzlist"/>
        <w:numPr>
          <w:ilvl w:val="0"/>
          <w:numId w:val="11"/>
        </w:numPr>
      </w:pPr>
      <w:r>
        <w:t>Stałe monitorowanie postępów wdrażania dostępności cyf</w:t>
      </w:r>
      <w:r w:rsidR="00DB492F">
        <w:t>rowej</w:t>
      </w:r>
      <w:r w:rsidR="00C3434A">
        <w:t>,</w:t>
      </w:r>
    </w:p>
    <w:p w14:paraId="38D572BE" w14:textId="4A8663E0" w:rsidR="00C57DFB" w:rsidRDefault="00C3434A" w:rsidP="001F45C1">
      <w:pPr>
        <w:pStyle w:val="Akapitzlist"/>
        <w:numPr>
          <w:ilvl w:val="0"/>
          <w:numId w:val="11"/>
        </w:numPr>
      </w:pPr>
      <w:r>
        <w:t>Udostępnienie poszczególnym podmiotom informacji zwrotnych o zdiagnozowanym stanie dostępności cyfrowej ich stron</w:t>
      </w:r>
      <w:r w:rsidR="00DB492F">
        <w:t>.</w:t>
      </w:r>
    </w:p>
    <w:p w14:paraId="77DDE03E" w14:textId="77777777" w:rsidR="00DB492F" w:rsidRDefault="00DB492F" w:rsidP="00DB492F">
      <w:pPr>
        <w:pStyle w:val="Akapitzlist"/>
      </w:pPr>
    </w:p>
    <w:p w14:paraId="007DE1F2" w14:textId="77777777" w:rsidR="005D017F" w:rsidRDefault="005D017F">
      <w:pPr>
        <w:rPr>
          <w:rFonts w:eastAsiaTheme="majorEastAsia" w:cstheme="majorBidi"/>
          <w:b/>
          <w:sz w:val="32"/>
          <w:szCs w:val="26"/>
        </w:rPr>
      </w:pPr>
      <w:r>
        <w:br w:type="page"/>
      </w:r>
    </w:p>
    <w:p w14:paraId="6F9FC268" w14:textId="6E3EF65B" w:rsidR="001F45C1" w:rsidRDefault="001F45C1" w:rsidP="001F45C1">
      <w:pPr>
        <w:pStyle w:val="Nagwek2"/>
      </w:pPr>
      <w:r>
        <w:lastRenderedPageBreak/>
        <w:t>Informacje ogólne</w:t>
      </w:r>
    </w:p>
    <w:p w14:paraId="4E41EFF5" w14:textId="67330BDD" w:rsidR="0087737A" w:rsidRDefault="00D63C1A" w:rsidP="005D017F">
      <w:r>
        <w:t>Od 2020r. każdy kraj Unii Europejskiej ma obowiązek monitorować stan dostępności cyfrowej stron internetowych i aplikacji mobilnych podmiotów publicznych</w:t>
      </w:r>
      <w:r w:rsidR="00C57DFB">
        <w:t xml:space="preserve">. </w:t>
      </w:r>
      <w:r w:rsidR="000954FB">
        <w:t>Monitoring ten jest elementem system</w:t>
      </w:r>
      <w:r w:rsidR="00DF2DEC">
        <w:t>u</w:t>
      </w:r>
      <w:r w:rsidR="000954FB">
        <w:t xml:space="preserve"> wdrażania dostępności cyfrowej w UE.</w:t>
      </w:r>
    </w:p>
    <w:p w14:paraId="66355338" w14:textId="1F001EEC" w:rsidR="0087737A" w:rsidRDefault="0087737A" w:rsidP="0087737A">
      <w:r w:rsidRPr="0087737A">
        <w:t>Za</w:t>
      </w:r>
      <w:r>
        <w:t>sady monitoringu</w:t>
      </w:r>
      <w:r w:rsidRPr="0087737A">
        <w:t xml:space="preserve"> określa </w:t>
      </w:r>
      <w:r>
        <w:t>Decyzja Wykonawcza Komisji</w:t>
      </w:r>
      <w:r w:rsidRPr="0087737A">
        <w:t xml:space="preserve"> (UE) 2018/1524</w:t>
      </w:r>
      <w:r>
        <w:t xml:space="preserve"> </w:t>
      </w:r>
      <w:r w:rsidRPr="0087737A">
        <w:t>z dnia 11 października 2018 r.</w:t>
      </w:r>
      <w:r>
        <w:t xml:space="preserve"> </w:t>
      </w:r>
      <w:r w:rsidRPr="0087737A">
        <w:t>ustanawiająca metodykę monitorowania i zasady przekazywania przez państwa członkowskie sprawozdań zgodnie z dyrektywą Parlamentu Europejskiego i Rady (UE) 2016/2102 w sprawie dostępności stron internetowych i mobilnych aplikacji organów sektora publicznego</w:t>
      </w:r>
      <w:r>
        <w:t>.</w:t>
      </w:r>
    </w:p>
    <w:p w14:paraId="467B4EA7" w14:textId="6570F557" w:rsidR="0087737A" w:rsidRPr="0087737A" w:rsidRDefault="0087737A" w:rsidP="0087737A">
      <w:r>
        <w:t>Dodatkowo, część aspektów tego monitoringu (np. jego coroczny charakter) określa Ustawa z dnia 4 kwietnia 2019 r. o dostępności cyfrowej stron internetowych i aplikacji mobilnych podmiotów publicznych (Dz. U. 2019 poz. 848).</w:t>
      </w:r>
    </w:p>
    <w:p w14:paraId="53CB6521" w14:textId="1828CCA4" w:rsidR="00217745" w:rsidRDefault="00217745" w:rsidP="00217745">
      <w:pPr>
        <w:pStyle w:val="Nagwek3"/>
      </w:pPr>
      <w:r>
        <w:t>Próba badawcza</w:t>
      </w:r>
    </w:p>
    <w:p w14:paraId="4C392DA2" w14:textId="0A3A252F" w:rsidR="004D33A8" w:rsidRDefault="001F45C1" w:rsidP="001F45C1">
      <w:r>
        <w:t xml:space="preserve">Monitoring dotyczył </w:t>
      </w:r>
      <w:r w:rsidRPr="00B71A1B">
        <w:rPr>
          <w:b/>
        </w:rPr>
        <w:t>835 stron internetowych podmiotów publicznych</w:t>
      </w:r>
      <w:r w:rsidR="004D33A8">
        <w:t xml:space="preserve"> (</w:t>
      </w:r>
      <w:hyperlink r:id="rId10" w:history="1">
        <w:r w:rsidR="004D33A8" w:rsidRPr="0087737A">
          <w:rPr>
            <w:rStyle w:val="Hipercze"/>
          </w:rPr>
          <w:t>pełna lista podmiotów objętych monitoringiem</w:t>
        </w:r>
      </w:hyperlink>
      <w:r w:rsidR="004D33A8">
        <w:t xml:space="preserve">). </w:t>
      </w:r>
    </w:p>
    <w:p w14:paraId="195A8908" w14:textId="6F9FFF4C" w:rsidR="002B549B" w:rsidRDefault="004D33A8" w:rsidP="001F45C1">
      <w:r>
        <w:t xml:space="preserve">Strony zostały wybrane </w:t>
      </w:r>
      <w:r w:rsidR="001F45C1">
        <w:t>zgodnie z metodą wskazaną w Dyrektywie 2016/2102 w sprawie dostępności stron internetowych i mobilnych aplika</w:t>
      </w:r>
      <w:r>
        <w:t xml:space="preserve">cji organów sektora publicznego. </w:t>
      </w:r>
    </w:p>
    <w:p w14:paraId="52C7413B" w14:textId="6811F1C1" w:rsidR="002B549B" w:rsidRDefault="002B549B" w:rsidP="001F45C1">
      <w:r>
        <w:t>M</w:t>
      </w:r>
      <w:r w:rsidR="004D33A8">
        <w:t>etoda określa</w:t>
      </w:r>
      <w:r>
        <w:t>:</w:t>
      </w:r>
    </w:p>
    <w:p w14:paraId="44753A44" w14:textId="09FDC31C" w:rsidR="002B549B" w:rsidRDefault="004D1EED" w:rsidP="002B549B">
      <w:pPr>
        <w:pStyle w:val="Akapitzlist"/>
        <w:numPr>
          <w:ilvl w:val="0"/>
          <w:numId w:val="6"/>
        </w:numPr>
      </w:pPr>
      <w:r>
        <w:t xml:space="preserve">całkowitą </w:t>
      </w:r>
      <w:r w:rsidR="004D33A8">
        <w:t>liczbę stron do monitoringu</w:t>
      </w:r>
      <w:r w:rsidR="00D63C1A">
        <w:t xml:space="preserve"> </w:t>
      </w:r>
      <w:r w:rsidR="00D63C1A" w:rsidRPr="00D63C1A">
        <w:t>(dwie strony internetowe na 100 000 mieszkańców plus 75 stron internetowych)</w:t>
      </w:r>
      <w:r w:rsidR="004D33A8">
        <w:t xml:space="preserve">, </w:t>
      </w:r>
    </w:p>
    <w:p w14:paraId="6D2CB0F2" w14:textId="1567E407" w:rsidR="002B549B" w:rsidRDefault="00D03E20" w:rsidP="002B549B">
      <w:pPr>
        <w:pStyle w:val="Akapitzlist"/>
        <w:numPr>
          <w:ilvl w:val="0"/>
          <w:numId w:val="6"/>
        </w:numPr>
      </w:pPr>
      <w:r>
        <w:t>4 kategorie tych stron: strony instytucji państwowych, instytucji regionalnych, instytucji lokalnych oraz pozostałych instytucji,</w:t>
      </w:r>
    </w:p>
    <w:p w14:paraId="4BC8E5DB" w14:textId="2D503DEA" w:rsidR="000D6D17" w:rsidRDefault="004D33A8" w:rsidP="000D6D17">
      <w:r>
        <w:t xml:space="preserve">Konkretne strony </w:t>
      </w:r>
      <w:r w:rsidR="000D6D17">
        <w:t>do monitoringu</w:t>
      </w:r>
      <w:r>
        <w:t xml:space="preserve"> zostały wybrane</w:t>
      </w:r>
      <w:r w:rsidR="00E604E7">
        <w:t xml:space="preserve"> metodą </w:t>
      </w:r>
      <w:r w:rsidR="00C3176D">
        <w:t>kwotowo</w:t>
      </w:r>
      <w:r w:rsidR="00C3176D">
        <w:noBreakHyphen/>
        <w:t>celową</w:t>
      </w:r>
      <w:r>
        <w:t xml:space="preserve"> przez Wydział Dostępności Cyfrowej w Centrum GovTech w Kancelarii Prezesa Rady Ministrów. </w:t>
      </w:r>
    </w:p>
    <w:p w14:paraId="7ED38F7D" w14:textId="13746FBA" w:rsidR="000D6D17" w:rsidRDefault="000D6D17" w:rsidP="000D6D17">
      <w:r>
        <w:t xml:space="preserve">Uwaga! Na koniec marca 2021 r. prowadzony przez Wydział Dostępności Cyfrowej </w:t>
      </w:r>
      <w:hyperlink r:id="rId11" w:history="1">
        <w:r w:rsidRPr="000D6D17">
          <w:rPr>
            <w:rStyle w:val="Hipercze"/>
          </w:rPr>
          <w:t>wykaz stron internetowych należących do podmiotów publicznych</w:t>
        </w:r>
      </w:hyperlink>
      <w:r>
        <w:t xml:space="preserve"> zawierał 69527 unikatowych pozycji. To z tego wykazu wyselekcjonowane zostały strony internetowe do monitoringu. Wykaz ten nie jest jednak kompletny (cały czas trwa jego rozbudowa) i stąd dane uzyskane w badaniu można odnosić jedynie do przebadanej próby, a nie do cał</w:t>
      </w:r>
      <w:r w:rsidR="008F28D3">
        <w:t>ej populacji</w:t>
      </w:r>
      <w:r>
        <w:t xml:space="preserve"> stron internetowych podmiotów publicznych w Polsce. </w:t>
      </w:r>
    </w:p>
    <w:p w14:paraId="3358AB6F" w14:textId="3C6E3280" w:rsidR="001F45C1" w:rsidRDefault="000D6D17" w:rsidP="002B549B">
      <w:r>
        <w:t>Liczba stron wyselekcjonowanych do monitoringu w 2020r. w podziale na kategorie:</w:t>
      </w:r>
    </w:p>
    <w:p w14:paraId="73EC330F" w14:textId="468C940B" w:rsidR="001F45C1" w:rsidRPr="004D1EED" w:rsidRDefault="001F45C1" w:rsidP="004D33A8">
      <w:pPr>
        <w:pStyle w:val="Akapitzlist"/>
        <w:numPr>
          <w:ilvl w:val="0"/>
          <w:numId w:val="5"/>
        </w:numPr>
        <w:rPr>
          <w:b/>
        </w:rPr>
      </w:pPr>
      <w:r w:rsidRPr="004D1EED">
        <w:rPr>
          <w:b/>
        </w:rPr>
        <w:t>Strony instytucji państwowych (</w:t>
      </w:r>
      <w:r w:rsidR="004D33A8" w:rsidRPr="004D1EED">
        <w:rPr>
          <w:b/>
        </w:rPr>
        <w:t xml:space="preserve">łącznie </w:t>
      </w:r>
      <w:r w:rsidRPr="004D1EED">
        <w:rPr>
          <w:b/>
        </w:rPr>
        <w:t>143)</w:t>
      </w:r>
    </w:p>
    <w:p w14:paraId="5E44D063" w14:textId="3A409978" w:rsidR="004D1EED" w:rsidRDefault="004D1EED" w:rsidP="001F45C1">
      <w:pPr>
        <w:pStyle w:val="Akapitzlist"/>
        <w:numPr>
          <w:ilvl w:val="1"/>
          <w:numId w:val="2"/>
        </w:numPr>
      </w:pPr>
      <w:r>
        <w:t>Biblioteka – 1</w:t>
      </w:r>
    </w:p>
    <w:p w14:paraId="51AD9AA9" w14:textId="77777777" w:rsidR="004D1EED" w:rsidRDefault="001F45C1" w:rsidP="003A6E0A">
      <w:pPr>
        <w:pStyle w:val="Akapitzlist"/>
        <w:numPr>
          <w:ilvl w:val="1"/>
          <w:numId w:val="2"/>
        </w:numPr>
      </w:pPr>
      <w:r>
        <w:t xml:space="preserve">Fundusz Ochrony Środowiska </w:t>
      </w:r>
      <w:r w:rsidR="004D1EED">
        <w:t>–</w:t>
      </w:r>
      <w:r>
        <w:t xml:space="preserve"> 1</w:t>
      </w:r>
    </w:p>
    <w:p w14:paraId="25477073" w14:textId="3EAEA12D" w:rsidR="001F45C1" w:rsidRDefault="001F45C1" w:rsidP="003A6E0A">
      <w:pPr>
        <w:pStyle w:val="Akapitzlist"/>
        <w:numPr>
          <w:ilvl w:val="1"/>
          <w:numId w:val="2"/>
        </w:numPr>
      </w:pPr>
      <w:r>
        <w:t xml:space="preserve">Instytucja </w:t>
      </w:r>
      <w:r w:rsidR="004D1EED">
        <w:t>ry</w:t>
      </w:r>
      <w:r>
        <w:t xml:space="preserve">nku pracy </w:t>
      </w:r>
      <w:r w:rsidR="004D1EED">
        <w:t xml:space="preserve">– </w:t>
      </w:r>
      <w:r>
        <w:t>1</w:t>
      </w:r>
      <w:r w:rsidR="004D1EED">
        <w:t xml:space="preserve"> </w:t>
      </w:r>
    </w:p>
    <w:p w14:paraId="40B1B728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Instytut państwowy – 7</w:t>
      </w:r>
    </w:p>
    <w:p w14:paraId="7CCC4907" w14:textId="194C0BB0" w:rsidR="001F45C1" w:rsidRDefault="001F45C1" w:rsidP="001F45C1">
      <w:pPr>
        <w:pStyle w:val="Akapitzlist"/>
        <w:numPr>
          <w:ilvl w:val="1"/>
          <w:numId w:val="2"/>
        </w:numPr>
      </w:pPr>
      <w:r>
        <w:t>Ministerstw</w:t>
      </w:r>
      <w:r w:rsidR="004D1EED">
        <w:t>o</w:t>
      </w:r>
      <w:r>
        <w:t xml:space="preserve"> – 26 </w:t>
      </w:r>
    </w:p>
    <w:p w14:paraId="441A8708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Muzeum – 11</w:t>
      </w:r>
    </w:p>
    <w:p w14:paraId="48BB108D" w14:textId="77777777" w:rsidR="001F45C1" w:rsidRDefault="001F45C1" w:rsidP="001F45C1">
      <w:pPr>
        <w:pStyle w:val="Akapitzlist"/>
        <w:numPr>
          <w:ilvl w:val="1"/>
          <w:numId w:val="2"/>
        </w:numPr>
      </w:pPr>
      <w:r>
        <w:lastRenderedPageBreak/>
        <w:t>Park narodowy – 23</w:t>
      </w:r>
    </w:p>
    <w:p w14:paraId="4B76D879" w14:textId="0F84D926" w:rsidR="001F45C1" w:rsidRDefault="004D1EED" w:rsidP="001F45C1">
      <w:pPr>
        <w:pStyle w:val="Akapitzlist"/>
        <w:numPr>
          <w:ilvl w:val="1"/>
          <w:numId w:val="2"/>
        </w:numPr>
      </w:pPr>
      <w:r>
        <w:t>Służba mundurowa</w:t>
      </w:r>
      <w:r w:rsidR="001F45C1">
        <w:t xml:space="preserve"> – 14</w:t>
      </w:r>
    </w:p>
    <w:p w14:paraId="295B7F56" w14:textId="7D2DD796" w:rsidR="001F45C1" w:rsidRDefault="001F45C1" w:rsidP="001F45C1">
      <w:pPr>
        <w:pStyle w:val="Akapitzlist"/>
        <w:numPr>
          <w:ilvl w:val="1"/>
          <w:numId w:val="2"/>
        </w:numPr>
      </w:pPr>
      <w:r>
        <w:t>Urz</w:t>
      </w:r>
      <w:r w:rsidR="004D1EED">
        <w:t>ąd</w:t>
      </w:r>
      <w:r>
        <w:t xml:space="preserve"> </w:t>
      </w:r>
      <w:r w:rsidR="004D1EED">
        <w:t xml:space="preserve">/ </w:t>
      </w:r>
      <w:r>
        <w:t>instytucj</w:t>
      </w:r>
      <w:r w:rsidR="004D1EED">
        <w:t>a</w:t>
      </w:r>
      <w:r>
        <w:t xml:space="preserve"> państwow</w:t>
      </w:r>
      <w:r w:rsidR="004D1EED">
        <w:t>a</w:t>
      </w:r>
      <w:r>
        <w:t xml:space="preserve"> – 56</w:t>
      </w:r>
    </w:p>
    <w:p w14:paraId="0AAFC736" w14:textId="76C71703" w:rsidR="001F45C1" w:rsidRDefault="001F45C1" w:rsidP="004D1EED">
      <w:pPr>
        <w:pStyle w:val="Akapitzlist"/>
        <w:numPr>
          <w:ilvl w:val="1"/>
          <w:numId w:val="2"/>
        </w:numPr>
      </w:pPr>
      <w:r>
        <w:t xml:space="preserve">Wymiar sprawiedliwości </w:t>
      </w:r>
      <w:r w:rsidR="004D1EED">
        <w:t>–</w:t>
      </w:r>
      <w:r>
        <w:t xml:space="preserve"> 3</w:t>
      </w:r>
    </w:p>
    <w:p w14:paraId="147A1DD0" w14:textId="211AB012" w:rsidR="001F45C1" w:rsidRPr="004D1EED" w:rsidRDefault="001F45C1" w:rsidP="001F45C1">
      <w:pPr>
        <w:pStyle w:val="Akapitzlist"/>
        <w:numPr>
          <w:ilvl w:val="0"/>
          <w:numId w:val="2"/>
        </w:numPr>
        <w:rPr>
          <w:b/>
        </w:rPr>
      </w:pPr>
      <w:r w:rsidRPr="004D1EED">
        <w:rPr>
          <w:b/>
        </w:rPr>
        <w:t>Strony instytucji regionalnych (</w:t>
      </w:r>
      <w:r w:rsidR="004D33A8" w:rsidRPr="004D1EED">
        <w:rPr>
          <w:b/>
        </w:rPr>
        <w:t xml:space="preserve">łącznie </w:t>
      </w:r>
      <w:r w:rsidRPr="004D1EED">
        <w:rPr>
          <w:b/>
        </w:rPr>
        <w:t>274)</w:t>
      </w:r>
    </w:p>
    <w:p w14:paraId="2BD67B12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Biblioteka – 43</w:t>
      </w:r>
    </w:p>
    <w:p w14:paraId="5E3C3874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Dom kultury – 2</w:t>
      </w:r>
    </w:p>
    <w:p w14:paraId="474EAEF4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Fundusz Ochrony środowiska 6</w:t>
      </w:r>
    </w:p>
    <w:p w14:paraId="309AA74D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Inspektorat weterynarii – 10</w:t>
      </w:r>
    </w:p>
    <w:p w14:paraId="3810F496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Instytucja edukacyjna – 4</w:t>
      </w:r>
    </w:p>
    <w:p w14:paraId="7D84007F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Instytucja ochrony i konserwacji zabytków – 8</w:t>
      </w:r>
    </w:p>
    <w:p w14:paraId="4C13F874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Instytucja rynku pracy – 20</w:t>
      </w:r>
    </w:p>
    <w:p w14:paraId="352F5EC5" w14:textId="77777777" w:rsidR="001F45C1" w:rsidRDefault="001F45C1" w:rsidP="001F45C1">
      <w:pPr>
        <w:pStyle w:val="Akapitzlist"/>
        <w:numPr>
          <w:ilvl w:val="1"/>
          <w:numId w:val="2"/>
        </w:numPr>
      </w:pPr>
      <w:r w:rsidRPr="00D10699">
        <w:t>Ośrodek dokumentacji geodezyjnej i kartograficznej</w:t>
      </w:r>
      <w:r>
        <w:t xml:space="preserve"> – 3</w:t>
      </w:r>
    </w:p>
    <w:p w14:paraId="7553833B" w14:textId="77777777" w:rsidR="001F45C1" w:rsidRDefault="001F45C1" w:rsidP="001F45C1">
      <w:pPr>
        <w:pStyle w:val="Akapitzlist"/>
        <w:numPr>
          <w:ilvl w:val="1"/>
          <w:numId w:val="2"/>
        </w:numPr>
      </w:pPr>
      <w:r w:rsidRPr="00D10699">
        <w:t>Ośrodek ruchu drogowego</w:t>
      </w:r>
      <w:r>
        <w:t xml:space="preserve"> – 3</w:t>
      </w:r>
    </w:p>
    <w:p w14:paraId="1FDE5C35" w14:textId="77777777" w:rsidR="001F45C1" w:rsidRDefault="001F45C1" w:rsidP="001F45C1">
      <w:pPr>
        <w:pStyle w:val="Akapitzlist"/>
        <w:numPr>
          <w:ilvl w:val="1"/>
          <w:numId w:val="2"/>
        </w:numPr>
      </w:pPr>
      <w:r w:rsidRPr="00D10699">
        <w:t>Podmioty opieki zdrowotnej</w:t>
      </w:r>
      <w:r>
        <w:t xml:space="preserve"> – 28</w:t>
      </w:r>
    </w:p>
    <w:p w14:paraId="308414C7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Samorząd gminny – 19</w:t>
      </w:r>
    </w:p>
    <w:p w14:paraId="561DE09F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Samorząd powiatowy – 45</w:t>
      </w:r>
    </w:p>
    <w:p w14:paraId="533F14CB" w14:textId="77777777" w:rsidR="001F45C1" w:rsidRDefault="001F45C1" w:rsidP="001F45C1">
      <w:pPr>
        <w:pStyle w:val="Akapitzlist"/>
        <w:numPr>
          <w:ilvl w:val="1"/>
          <w:numId w:val="2"/>
        </w:numPr>
      </w:pPr>
      <w:r>
        <w:t>Samorząd wojewódzki – 32</w:t>
      </w:r>
    </w:p>
    <w:p w14:paraId="360D9234" w14:textId="778C574A" w:rsidR="001F45C1" w:rsidRDefault="001F45C1" w:rsidP="001F45C1">
      <w:pPr>
        <w:pStyle w:val="Akapitzlist"/>
        <w:numPr>
          <w:ilvl w:val="1"/>
          <w:numId w:val="2"/>
        </w:numPr>
      </w:pPr>
      <w:r w:rsidRPr="00D10699">
        <w:t>Służb</w:t>
      </w:r>
      <w:r w:rsidR="004D1EED">
        <w:t>a</w:t>
      </w:r>
      <w:r w:rsidRPr="00D10699">
        <w:t xml:space="preserve"> mundurow</w:t>
      </w:r>
      <w:r w:rsidR="004D1EED">
        <w:t>a</w:t>
      </w:r>
      <w:r>
        <w:t xml:space="preserve"> – 26</w:t>
      </w:r>
    </w:p>
    <w:p w14:paraId="41AEA24B" w14:textId="77777777" w:rsidR="001F45C1" w:rsidRDefault="001F45C1" w:rsidP="001F45C1">
      <w:pPr>
        <w:pStyle w:val="Akapitzlist"/>
        <w:numPr>
          <w:ilvl w:val="1"/>
          <w:numId w:val="2"/>
        </w:numPr>
      </w:pPr>
      <w:r w:rsidRPr="00D10699">
        <w:t>Stacja sanitarno-epidemiologiczna</w:t>
      </w:r>
      <w:r>
        <w:t xml:space="preserve"> – 15</w:t>
      </w:r>
    </w:p>
    <w:p w14:paraId="6394E312" w14:textId="77777777" w:rsidR="001F45C1" w:rsidRDefault="001F45C1" w:rsidP="001F45C1">
      <w:pPr>
        <w:pStyle w:val="Akapitzlist"/>
        <w:numPr>
          <w:ilvl w:val="1"/>
          <w:numId w:val="2"/>
        </w:numPr>
      </w:pPr>
      <w:r w:rsidRPr="00D10699">
        <w:t>Wymiar sprawiedliwości</w:t>
      </w:r>
      <w:r>
        <w:t xml:space="preserve"> – 6</w:t>
      </w:r>
    </w:p>
    <w:p w14:paraId="61D822D9" w14:textId="77777777" w:rsidR="001F45C1" w:rsidRDefault="001F45C1" w:rsidP="001F45C1">
      <w:pPr>
        <w:pStyle w:val="Akapitzlist"/>
        <w:numPr>
          <w:ilvl w:val="1"/>
          <w:numId w:val="2"/>
        </w:numPr>
      </w:pPr>
      <w:r w:rsidRPr="00D10699">
        <w:t>Zarząd dróg</w:t>
      </w:r>
      <w:r>
        <w:t xml:space="preserve"> – 4</w:t>
      </w:r>
    </w:p>
    <w:p w14:paraId="3BBDBB98" w14:textId="126E8E79" w:rsidR="001F45C1" w:rsidRPr="004D1EED" w:rsidRDefault="001F45C1" w:rsidP="001F45C1">
      <w:pPr>
        <w:pStyle w:val="Akapitzlist"/>
        <w:numPr>
          <w:ilvl w:val="0"/>
          <w:numId w:val="2"/>
        </w:numPr>
        <w:rPr>
          <w:b/>
        </w:rPr>
      </w:pPr>
      <w:r w:rsidRPr="004D1EED">
        <w:rPr>
          <w:b/>
        </w:rPr>
        <w:t>Strony instytucji lokalnych (</w:t>
      </w:r>
      <w:r w:rsidR="004D33A8" w:rsidRPr="004D1EED">
        <w:rPr>
          <w:b/>
        </w:rPr>
        <w:t xml:space="preserve">łącznie </w:t>
      </w:r>
      <w:r w:rsidRPr="004D1EED">
        <w:rPr>
          <w:b/>
        </w:rPr>
        <w:t>211)</w:t>
      </w:r>
    </w:p>
    <w:p w14:paraId="78D28B1C" w14:textId="6C3AE790" w:rsidR="001F45C1" w:rsidRDefault="004D33A8" w:rsidP="001F45C1">
      <w:pPr>
        <w:pStyle w:val="Akapitzlist"/>
        <w:numPr>
          <w:ilvl w:val="1"/>
          <w:numId w:val="2"/>
        </w:numPr>
      </w:pPr>
      <w:r>
        <w:t>Biblioteka – 35</w:t>
      </w:r>
    </w:p>
    <w:p w14:paraId="05146F7B" w14:textId="41EF607D" w:rsidR="004D33A8" w:rsidRDefault="004D33A8" w:rsidP="001F45C1">
      <w:pPr>
        <w:pStyle w:val="Akapitzlist"/>
        <w:numPr>
          <w:ilvl w:val="1"/>
          <w:numId w:val="2"/>
        </w:numPr>
      </w:pPr>
      <w:r>
        <w:t xml:space="preserve">Dom kultury </w:t>
      </w:r>
      <w:r w:rsidR="004D1EED">
        <w:t xml:space="preserve">– </w:t>
      </w:r>
      <w:r>
        <w:t>92</w:t>
      </w:r>
    </w:p>
    <w:p w14:paraId="762A51D7" w14:textId="139AB6F4" w:rsidR="004D33A8" w:rsidRDefault="004D33A8" w:rsidP="004D33A8">
      <w:pPr>
        <w:pStyle w:val="Akapitzlist"/>
        <w:numPr>
          <w:ilvl w:val="1"/>
          <w:numId w:val="2"/>
        </w:numPr>
      </w:pPr>
      <w:r>
        <w:t>Instytucja edukacyjna – 5</w:t>
      </w:r>
    </w:p>
    <w:p w14:paraId="23007D21" w14:textId="28505E71" w:rsidR="004D33A8" w:rsidRDefault="004D33A8" w:rsidP="004D33A8">
      <w:pPr>
        <w:pStyle w:val="Akapitzlist"/>
        <w:numPr>
          <w:ilvl w:val="1"/>
          <w:numId w:val="2"/>
        </w:numPr>
      </w:pPr>
      <w:r>
        <w:t>Ośrodek sportu i rekreacji – 78</w:t>
      </w:r>
    </w:p>
    <w:p w14:paraId="46C6C5DF" w14:textId="3C177676" w:rsidR="004D33A8" w:rsidRDefault="004D33A8" w:rsidP="004D33A8">
      <w:pPr>
        <w:pStyle w:val="Akapitzlist"/>
        <w:numPr>
          <w:ilvl w:val="1"/>
          <w:numId w:val="2"/>
        </w:numPr>
      </w:pPr>
      <w:r>
        <w:t xml:space="preserve">Spółka skarbu państwa </w:t>
      </w:r>
      <w:r w:rsidR="004D1EED">
        <w:t>–</w:t>
      </w:r>
      <w:r>
        <w:t xml:space="preserve"> 1</w:t>
      </w:r>
    </w:p>
    <w:p w14:paraId="402FA9A8" w14:textId="49B99D86" w:rsidR="001F45C1" w:rsidRPr="004D1EED" w:rsidRDefault="001F45C1" w:rsidP="001F45C1">
      <w:pPr>
        <w:pStyle w:val="Akapitzlist"/>
        <w:numPr>
          <w:ilvl w:val="0"/>
          <w:numId w:val="2"/>
        </w:numPr>
        <w:rPr>
          <w:b/>
        </w:rPr>
      </w:pPr>
      <w:r w:rsidRPr="004D1EED">
        <w:rPr>
          <w:b/>
        </w:rPr>
        <w:t>Pozostałe instytucje (</w:t>
      </w:r>
      <w:r w:rsidR="004D33A8" w:rsidRPr="004D1EED">
        <w:rPr>
          <w:b/>
        </w:rPr>
        <w:t xml:space="preserve">łącznie </w:t>
      </w:r>
      <w:r w:rsidRPr="004D1EED">
        <w:rPr>
          <w:b/>
        </w:rPr>
        <w:t>207)</w:t>
      </w:r>
    </w:p>
    <w:p w14:paraId="5D0AF6CA" w14:textId="70549CF5" w:rsidR="004D33A8" w:rsidRDefault="004D1EED" w:rsidP="004D33A8">
      <w:pPr>
        <w:pStyle w:val="Akapitzlist"/>
        <w:numPr>
          <w:ilvl w:val="1"/>
          <w:numId w:val="2"/>
        </w:numPr>
      </w:pPr>
      <w:r>
        <w:t>Biblioteka – 1</w:t>
      </w:r>
    </w:p>
    <w:p w14:paraId="044749FA" w14:textId="5434218C" w:rsidR="004D1EED" w:rsidRDefault="004D1EED" w:rsidP="004D33A8">
      <w:pPr>
        <w:pStyle w:val="Akapitzlist"/>
        <w:numPr>
          <w:ilvl w:val="1"/>
          <w:numId w:val="2"/>
        </w:numPr>
      </w:pPr>
      <w:r>
        <w:t>Instytucja edukacyjna – 174</w:t>
      </w:r>
    </w:p>
    <w:p w14:paraId="44B93C46" w14:textId="02FE5500" w:rsidR="004D1EED" w:rsidRDefault="004D1EED" w:rsidP="004D33A8">
      <w:pPr>
        <w:pStyle w:val="Akapitzlist"/>
        <w:numPr>
          <w:ilvl w:val="1"/>
          <w:numId w:val="2"/>
        </w:numPr>
      </w:pPr>
      <w:r>
        <w:t>Muzeum – 1</w:t>
      </w:r>
    </w:p>
    <w:p w14:paraId="5373E2E0" w14:textId="5FF9249A" w:rsidR="004D1EED" w:rsidRDefault="004D1EED" w:rsidP="004D33A8">
      <w:pPr>
        <w:pStyle w:val="Akapitzlist"/>
        <w:numPr>
          <w:ilvl w:val="1"/>
          <w:numId w:val="2"/>
        </w:numPr>
      </w:pPr>
      <w:r>
        <w:t>Ośrodek sportu i rekreacji – 1</w:t>
      </w:r>
    </w:p>
    <w:p w14:paraId="0244449B" w14:textId="5DFD98D5" w:rsidR="004D1EED" w:rsidRDefault="004D1EED" w:rsidP="004D33A8">
      <w:pPr>
        <w:pStyle w:val="Akapitzlist"/>
        <w:numPr>
          <w:ilvl w:val="1"/>
          <w:numId w:val="2"/>
        </w:numPr>
      </w:pPr>
      <w:r>
        <w:t>Podmiot gospodarki mieszkaniowej i komunalnej – 22</w:t>
      </w:r>
    </w:p>
    <w:p w14:paraId="773D5826" w14:textId="103DF8BD" w:rsidR="004D1EED" w:rsidRDefault="004D1EED" w:rsidP="004D33A8">
      <w:pPr>
        <w:pStyle w:val="Akapitzlist"/>
        <w:numPr>
          <w:ilvl w:val="1"/>
          <w:numId w:val="2"/>
        </w:numPr>
      </w:pPr>
      <w:r>
        <w:t>Przedsiębiorstwo komunikacyjne – 5</w:t>
      </w:r>
    </w:p>
    <w:p w14:paraId="21A85F7E" w14:textId="51CF4A38" w:rsidR="004D1EED" w:rsidRDefault="004D1EED" w:rsidP="004D1EED">
      <w:pPr>
        <w:pStyle w:val="Akapitzlist"/>
        <w:numPr>
          <w:ilvl w:val="1"/>
          <w:numId w:val="2"/>
        </w:numPr>
      </w:pPr>
      <w:r>
        <w:t>Związek zawodowy – 3</w:t>
      </w:r>
    </w:p>
    <w:p w14:paraId="553CF58A" w14:textId="77777777" w:rsidR="002745B2" w:rsidRDefault="002745B2" w:rsidP="002745B2">
      <w:pPr>
        <w:pStyle w:val="Nagwek3"/>
      </w:pPr>
      <w:r>
        <w:t>Etapy i sposoby badania</w:t>
      </w:r>
    </w:p>
    <w:p w14:paraId="2866F2CC" w14:textId="2306412A" w:rsidR="002745B2" w:rsidRDefault="002745B2" w:rsidP="002745B2">
      <w:r>
        <w:t>Badanie składało się z dwóch etapów:</w:t>
      </w:r>
    </w:p>
    <w:p w14:paraId="01BB1579" w14:textId="36F9D340" w:rsidR="002B549B" w:rsidRPr="000954FB" w:rsidRDefault="000954FB" w:rsidP="005F189B">
      <w:pPr>
        <w:pStyle w:val="Akapitzlist"/>
        <w:numPr>
          <w:ilvl w:val="0"/>
          <w:numId w:val="1"/>
        </w:numPr>
        <w:rPr>
          <w:b/>
        </w:rPr>
      </w:pPr>
      <w:r w:rsidRPr="000954FB">
        <w:rPr>
          <w:b/>
        </w:rPr>
        <w:t>Automatyczne</w:t>
      </w:r>
      <w:r w:rsidR="00DF2DEC">
        <w:rPr>
          <w:b/>
        </w:rPr>
        <w:t>go</w:t>
      </w:r>
      <w:r w:rsidRPr="000954FB">
        <w:rPr>
          <w:b/>
        </w:rPr>
        <w:t xml:space="preserve"> badania stron internetowyc</w:t>
      </w:r>
      <w:r w:rsidR="00DF2DEC">
        <w:rPr>
          <w:b/>
        </w:rPr>
        <w:t>h pod kątem zgodności z Wytycznymi</w:t>
      </w:r>
      <w:r w:rsidRPr="000954FB">
        <w:rPr>
          <w:b/>
        </w:rPr>
        <w:t xml:space="preserve"> dla dostępności treści internetowych (WCAG) 2.</w:t>
      </w:r>
      <w:r w:rsidRPr="004A54CE">
        <w:rPr>
          <w:b/>
        </w:rPr>
        <w:t>1</w:t>
      </w:r>
      <w:r>
        <w:t xml:space="preserve"> </w:t>
      </w:r>
    </w:p>
    <w:p w14:paraId="2D731C16" w14:textId="74EEFAA6" w:rsidR="002B549B" w:rsidRDefault="00691CB0" w:rsidP="002B549B">
      <w:pPr>
        <w:pStyle w:val="Akapitzlist"/>
        <w:numPr>
          <w:ilvl w:val="1"/>
          <w:numId w:val="1"/>
        </w:numPr>
      </w:pPr>
      <w:r>
        <w:t>B</w:t>
      </w:r>
      <w:r w:rsidR="002745B2">
        <w:t xml:space="preserve">adanie wykonano </w:t>
      </w:r>
      <w:r w:rsidR="0087737A">
        <w:t xml:space="preserve">automatycznie </w:t>
      </w:r>
      <w:r w:rsidR="002745B2">
        <w:t xml:space="preserve">za pomocą programu </w:t>
      </w:r>
      <w:hyperlink r:id="rId12" w:history="1">
        <w:r w:rsidR="002745B2" w:rsidRPr="00B71A1B">
          <w:rPr>
            <w:rStyle w:val="Hipercze"/>
          </w:rPr>
          <w:t>SortSite</w:t>
        </w:r>
      </w:hyperlink>
      <w:r w:rsidR="00D856F6">
        <w:t>.</w:t>
      </w:r>
    </w:p>
    <w:p w14:paraId="5D8E3E5D" w14:textId="48B217BB" w:rsidR="0033372D" w:rsidRDefault="00E36A14" w:rsidP="003A6E0A">
      <w:pPr>
        <w:pStyle w:val="Akapitzlist"/>
        <w:numPr>
          <w:ilvl w:val="1"/>
          <w:numId w:val="1"/>
        </w:numPr>
      </w:pPr>
      <w:r>
        <w:lastRenderedPageBreak/>
        <w:t>Program analizował 28</w:t>
      </w:r>
      <w:r w:rsidR="00691CB0">
        <w:t xml:space="preserve"> z 49 </w:t>
      </w:r>
      <w:r>
        <w:t>kryteriów WCAG 2.1 wska</w:t>
      </w:r>
      <w:r w:rsidR="00D856F6">
        <w:t>zanych w załączniku 1 do ustawy</w:t>
      </w:r>
      <w:r w:rsidR="0033372D">
        <w:t xml:space="preserve">. Analizowane były te elementy 28 kryteriów, które możliwe są do analizy automatycznej. Pozostałe 21 kryteriów nie było </w:t>
      </w:r>
      <w:r w:rsidR="002B549B">
        <w:t>analizowa</w:t>
      </w:r>
      <w:r w:rsidR="0033372D">
        <w:t>ne ze względu na brak możliwości ich automatycznej analizy pod kątem dostępności cyfrowej w programie SortSite.</w:t>
      </w:r>
    </w:p>
    <w:p w14:paraId="734532E7" w14:textId="758BA555" w:rsidR="004A54CE" w:rsidRDefault="004A54CE" w:rsidP="003A6E0A">
      <w:pPr>
        <w:pStyle w:val="Akapitzlist"/>
        <w:numPr>
          <w:ilvl w:val="1"/>
          <w:numId w:val="1"/>
        </w:numPr>
      </w:pPr>
      <w:r>
        <w:t>Analizowane kryteria WCAG 2.1:</w:t>
      </w:r>
    </w:p>
    <w:p w14:paraId="1E178279" w14:textId="5031635C" w:rsidR="00AB6E3F" w:rsidRPr="0090388F" w:rsidRDefault="00AB6E3F" w:rsidP="00AB6E3F">
      <w:pPr>
        <w:pStyle w:val="Akapitzlist"/>
        <w:numPr>
          <w:ilvl w:val="2"/>
          <w:numId w:val="1"/>
        </w:numPr>
      </w:pPr>
      <w:r>
        <w:t xml:space="preserve">1.1.1 </w:t>
      </w:r>
      <w:r w:rsidRPr="0090388F">
        <w:t>Treść nietekstowa</w:t>
      </w:r>
    </w:p>
    <w:p w14:paraId="06F513B5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1.2.1 Tylko audio lub tylko wideo (nagranie)</w:t>
      </w:r>
    </w:p>
    <w:p w14:paraId="0301BFA1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1.3.1 Informacje i relacje</w:t>
      </w:r>
    </w:p>
    <w:p w14:paraId="752131CB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1.3.2 Zrozumiała kolejność</w:t>
      </w:r>
    </w:p>
    <w:p w14:paraId="15801C55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1.3.5 Określenie pożądanej wartości</w:t>
      </w:r>
    </w:p>
    <w:p w14:paraId="6ECB9C5A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1.4.1 Użycie koloru</w:t>
      </w:r>
    </w:p>
    <w:p w14:paraId="143A20BC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1.4.3 Kontrast (minimum)</w:t>
      </w:r>
    </w:p>
    <w:p w14:paraId="15067F7A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1.4.4 Zmiana rozmiaru tekstu</w:t>
      </w:r>
    </w:p>
    <w:p w14:paraId="3555211F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1.4.11 Kontrast elementów nietekstowych</w:t>
      </w:r>
    </w:p>
    <w:p w14:paraId="1DE465C6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2.1.1 Klawiatura</w:t>
      </w:r>
    </w:p>
    <w:p w14:paraId="5E2129A8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2.2.1 Dostosowanie czasu</w:t>
      </w:r>
    </w:p>
    <w:p w14:paraId="3947EBDF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2.2.2 Pauza, zatrzymanie, ukrycie</w:t>
      </w:r>
    </w:p>
    <w:p w14:paraId="17309BB0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2.3.1 Trzy błyski lub wartość poniżej progu</w:t>
      </w:r>
    </w:p>
    <w:p w14:paraId="3ED161F7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2.4.1 Możliwość pominięcia bloków</w:t>
      </w:r>
    </w:p>
    <w:p w14:paraId="01A80EF6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2.4.2 Tytuły stron</w:t>
      </w:r>
    </w:p>
    <w:p w14:paraId="275298C2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2.4.3 Kolejność fokusu</w:t>
      </w:r>
    </w:p>
    <w:p w14:paraId="26BB1675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2.4.4 Cel łącza (w kontekście)</w:t>
      </w:r>
    </w:p>
    <w:p w14:paraId="72594C86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2.4.5 Wiele dróg</w:t>
      </w:r>
    </w:p>
    <w:p w14:paraId="66D993D8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2.4.6 Nagłówki i etykiety</w:t>
      </w:r>
    </w:p>
    <w:p w14:paraId="4409C1ED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2.4.7 Widoczny fokus</w:t>
      </w:r>
    </w:p>
    <w:p w14:paraId="45616F9F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2.5.3 Etykieta w nazwie</w:t>
      </w:r>
    </w:p>
    <w:p w14:paraId="46040E63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3.1.1 Język strony</w:t>
      </w:r>
    </w:p>
    <w:p w14:paraId="24A8CDD3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3.1.2 Język części</w:t>
      </w:r>
    </w:p>
    <w:p w14:paraId="7AECD3AB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3.2.1 Po otrzymaniu fokusu</w:t>
      </w:r>
    </w:p>
    <w:p w14:paraId="6A8133EA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3.2.2 Podczas wprowadzania danych</w:t>
      </w:r>
    </w:p>
    <w:p w14:paraId="79B18E51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3.3.2 Etykiety i instrukcje</w:t>
      </w:r>
    </w:p>
    <w:p w14:paraId="2BADB25D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4.1.1 Poprawność kodu</w:t>
      </w:r>
    </w:p>
    <w:p w14:paraId="41A053DB" w14:textId="77777777" w:rsidR="00AB6E3F" w:rsidRPr="0090388F" w:rsidRDefault="00AB6E3F" w:rsidP="00AB6E3F">
      <w:pPr>
        <w:pStyle w:val="Akapitzlist"/>
        <w:numPr>
          <w:ilvl w:val="2"/>
          <w:numId w:val="1"/>
        </w:numPr>
      </w:pPr>
      <w:r w:rsidRPr="0090388F">
        <w:t>4.1.2 Nazwa, rola, wartość</w:t>
      </w:r>
    </w:p>
    <w:p w14:paraId="413DEF5D" w14:textId="34FB4FED" w:rsidR="002B549B" w:rsidRDefault="00D856F6" w:rsidP="003A6E0A">
      <w:pPr>
        <w:pStyle w:val="Akapitzlist"/>
        <w:numPr>
          <w:ilvl w:val="1"/>
          <w:numId w:val="1"/>
        </w:numPr>
      </w:pPr>
      <w:r>
        <w:t>Analizie poddanych było maksymalnie 100 podstron w każdej z 835 stron internetowych. Badana liczba podstron na danej stronie mogła być mniejsza, jeśli dana strona posiadała mnie niż 100 podstron.</w:t>
      </w:r>
    </w:p>
    <w:p w14:paraId="7D3958A7" w14:textId="60947D9C" w:rsidR="00D856F6" w:rsidRDefault="0048453A" w:rsidP="00D856F6">
      <w:pPr>
        <w:pStyle w:val="Akapitzlist"/>
        <w:numPr>
          <w:ilvl w:val="1"/>
          <w:numId w:val="1"/>
        </w:numPr>
      </w:pPr>
      <w:r>
        <w:t xml:space="preserve">Dla każdej strony </w:t>
      </w:r>
      <w:r w:rsidR="00D856F6">
        <w:t>został wygenerowany oddzielny raport</w:t>
      </w:r>
      <w:r>
        <w:t xml:space="preserve"> z liczbą zidentyfikowanych błędów dla każdego z 28 kryteriów WCAG. Dane</w:t>
      </w:r>
      <w:r w:rsidR="00D856F6">
        <w:t xml:space="preserve"> z wszystkich raportów zostały zebrane w raporcie zbiorczym.</w:t>
      </w:r>
    </w:p>
    <w:p w14:paraId="3BA3A4DC" w14:textId="0384F46A" w:rsidR="0048453A" w:rsidRDefault="0048453A" w:rsidP="00D856F6">
      <w:pPr>
        <w:pStyle w:val="Akapitzlist"/>
        <w:numPr>
          <w:ilvl w:val="1"/>
          <w:numId w:val="1"/>
        </w:numPr>
      </w:pPr>
      <w:r>
        <w:t xml:space="preserve">Podczas analizy automatycznej zbierane były wyłącznie informacje o błędach w poszczególnych stronach. Informacje o poprawnie wdrożonych elementach czy treściach oraz o braku możliwości oceny zgodności kryterium, ze względu na brak materiału do analizy, nie były zbierane </w:t>
      </w:r>
    </w:p>
    <w:p w14:paraId="2194FEC2" w14:textId="77777777" w:rsidR="00D856F6" w:rsidRPr="00D856F6" w:rsidRDefault="00D856F6" w:rsidP="003A6E0A">
      <w:pPr>
        <w:pStyle w:val="Akapitzlist"/>
        <w:numPr>
          <w:ilvl w:val="0"/>
          <w:numId w:val="1"/>
        </w:numPr>
      </w:pPr>
      <w:r w:rsidRPr="00D856F6">
        <w:rPr>
          <w:b/>
        </w:rPr>
        <w:lastRenderedPageBreak/>
        <w:t>Analiza</w:t>
      </w:r>
      <w:r w:rsidR="002745B2" w:rsidRPr="00D856F6">
        <w:rPr>
          <w:b/>
        </w:rPr>
        <w:t xml:space="preserve"> deklaracji dostępności na badanych stronach internetowych</w:t>
      </w:r>
    </w:p>
    <w:p w14:paraId="328311B7" w14:textId="043B6123" w:rsidR="00D856F6" w:rsidRDefault="008F28D3" w:rsidP="00D856F6">
      <w:pPr>
        <w:pStyle w:val="Akapitzlist"/>
        <w:numPr>
          <w:ilvl w:val="1"/>
          <w:numId w:val="1"/>
        </w:numPr>
      </w:pPr>
      <w:r>
        <w:t>Szczegółowe b</w:t>
      </w:r>
      <w:r w:rsidR="002745B2" w:rsidRPr="00D856F6">
        <w:t>a</w:t>
      </w:r>
      <w:r w:rsidR="00D856F6">
        <w:t xml:space="preserve">danie </w:t>
      </w:r>
      <w:r>
        <w:t xml:space="preserve">zostało </w:t>
      </w:r>
      <w:r w:rsidR="00D856F6">
        <w:t>wykonan</w:t>
      </w:r>
      <w:r>
        <w:t>e</w:t>
      </w:r>
      <w:r w:rsidR="0087737A">
        <w:t xml:space="preserve"> </w:t>
      </w:r>
      <w:r>
        <w:t>–</w:t>
      </w:r>
      <w:r w:rsidR="00C3434A">
        <w:t xml:space="preserve"> </w:t>
      </w:r>
      <w:r w:rsidR="00D856F6">
        <w:t>ręcznie</w:t>
      </w:r>
      <w:r>
        <w:t xml:space="preserve"> przez ekspertów</w:t>
      </w:r>
      <w:r w:rsidR="00D856F6">
        <w:t>.</w:t>
      </w:r>
    </w:p>
    <w:p w14:paraId="366FFB4D" w14:textId="70A421CC" w:rsidR="002745B2" w:rsidRDefault="00DF2DEC" w:rsidP="00D856F6">
      <w:pPr>
        <w:pStyle w:val="Akapitzlist"/>
        <w:numPr>
          <w:ilvl w:val="1"/>
          <w:numId w:val="1"/>
        </w:numPr>
      </w:pPr>
      <w:r>
        <w:t>Na każdej</w:t>
      </w:r>
      <w:r w:rsidR="00D856F6">
        <w:t xml:space="preserve"> </w:t>
      </w:r>
      <w:r w:rsidR="0048453A">
        <w:t>z 835 stron internetowych</w:t>
      </w:r>
      <w:r w:rsidR="00D856F6">
        <w:t xml:space="preserve"> zbadano</w:t>
      </w:r>
      <w:r w:rsidR="002745B2">
        <w:t xml:space="preserve"> obecność deklaracji dostępności oraz zgodność </w:t>
      </w:r>
      <w:r w:rsidR="00D856F6">
        <w:t xml:space="preserve">struktury i identyfikatorów </w:t>
      </w:r>
      <w:r w:rsidR="00AB6E3F">
        <w:t>HTML opisanych</w:t>
      </w:r>
      <w:r w:rsidR="00D856F6">
        <w:t xml:space="preserve"> w</w:t>
      </w:r>
      <w:r w:rsidR="002745B2" w:rsidRPr="00691CB0">
        <w:t xml:space="preserve"> </w:t>
      </w:r>
      <w:hyperlink r:id="rId13" w:history="1">
        <w:r w:rsidR="002745B2" w:rsidRPr="00691CB0">
          <w:rPr>
            <w:rStyle w:val="Hipercze"/>
          </w:rPr>
          <w:t>Warunka</w:t>
        </w:r>
        <w:r w:rsidR="00D856F6">
          <w:rPr>
            <w:rStyle w:val="Hipercze"/>
          </w:rPr>
          <w:t>ch</w:t>
        </w:r>
        <w:r w:rsidR="002745B2" w:rsidRPr="00691CB0">
          <w:rPr>
            <w:rStyle w:val="Hipercze"/>
          </w:rPr>
          <w:t xml:space="preserve"> techniczny</w:t>
        </w:r>
        <w:r w:rsidR="00D856F6">
          <w:rPr>
            <w:rStyle w:val="Hipercze"/>
          </w:rPr>
          <w:t>ch</w:t>
        </w:r>
        <w:r w:rsidR="002745B2" w:rsidRPr="00691CB0">
          <w:rPr>
            <w:rStyle w:val="Hipercze"/>
          </w:rPr>
          <w:t xml:space="preserve"> publikacji oraz struktury dokumentu elektronicznego deklaracji dostępności</w:t>
        </w:r>
      </w:hyperlink>
    </w:p>
    <w:p w14:paraId="4A6DEE01" w14:textId="64F2278A" w:rsidR="00D856F6" w:rsidRPr="0090388F" w:rsidRDefault="0048453A" w:rsidP="00D856F6">
      <w:pPr>
        <w:pStyle w:val="Akapitzlist"/>
        <w:numPr>
          <w:ilvl w:val="1"/>
          <w:numId w:val="1"/>
        </w:numPr>
      </w:pPr>
      <w:r>
        <w:t>Informacje te zostały zebrane w raporcie zbiorczym w dwóch kategoriach: obecność deklaracji dostępności oraz zgodność deklaracji dostępności z warunkami technicznymi.</w:t>
      </w:r>
    </w:p>
    <w:p w14:paraId="00E81720" w14:textId="77777777" w:rsidR="00370948" w:rsidRDefault="00370948" w:rsidP="00370948">
      <w:pPr>
        <w:pStyle w:val="Nagwek3"/>
      </w:pPr>
      <w:r>
        <w:t>Termin realizacji monitoringu</w:t>
      </w:r>
    </w:p>
    <w:p w14:paraId="62CBC8CA" w14:textId="750A2F0A" w:rsidR="00370948" w:rsidRDefault="00370948" w:rsidP="00370948">
      <w:r>
        <w:t xml:space="preserve">Monitoring </w:t>
      </w:r>
      <w:r w:rsidR="00C14A0E">
        <w:t xml:space="preserve">był </w:t>
      </w:r>
      <w:r>
        <w:t>wykon</w:t>
      </w:r>
      <w:r w:rsidR="00C14A0E">
        <w:t>yw</w:t>
      </w:r>
      <w:r>
        <w:t>any od 5 do 30 listopada 2020 r. Oba etapy monitoringu prowadzone były jednocześnie.</w:t>
      </w:r>
    </w:p>
    <w:p w14:paraId="3EE2E6FE" w14:textId="77777777" w:rsidR="00370948" w:rsidRDefault="00370948" w:rsidP="00370948">
      <w:pPr>
        <w:pStyle w:val="Nagwek3"/>
      </w:pPr>
      <w:r>
        <w:t>Wykonawca monitoringu</w:t>
      </w:r>
    </w:p>
    <w:p w14:paraId="21C47C03" w14:textId="63B18C50" w:rsidR="00370948" w:rsidRPr="0090388F" w:rsidRDefault="00370948" w:rsidP="00370948">
      <w:r w:rsidRPr="0090388F">
        <w:t xml:space="preserve">Monitoring wykonał Departament Społeczeństwa Informacyjnego </w:t>
      </w:r>
      <w:r>
        <w:t>w</w:t>
      </w:r>
      <w:r w:rsidRPr="0090388F">
        <w:t xml:space="preserve"> Kancelarii Prezesa Rady Ministrów.</w:t>
      </w:r>
    </w:p>
    <w:p w14:paraId="7F8C6EDD" w14:textId="4C703CB9" w:rsidR="001F45C1" w:rsidRDefault="001F45C1" w:rsidP="001F45C1">
      <w:pPr>
        <w:pStyle w:val="Nagwek2"/>
      </w:pPr>
      <w:r>
        <w:t>Wyniki automatycznego badania dostępności cyfrowej stron internetowych</w:t>
      </w:r>
    </w:p>
    <w:p w14:paraId="53846AEA" w14:textId="74BE76ED" w:rsidR="000D7319" w:rsidRDefault="001C7585" w:rsidP="00C50784">
      <w:r>
        <w:t>Łącznie w badane</w:t>
      </w:r>
      <w:r w:rsidR="006B2159">
        <w:t>j</w:t>
      </w:r>
      <w:r>
        <w:t xml:space="preserve"> próbie 835 stron internetowych zidentyfikowano 29285 błędów wynikających z niezgo</w:t>
      </w:r>
      <w:r w:rsidR="00DF2DEC">
        <w:t xml:space="preserve">dności z testowanymi kryteriami </w:t>
      </w:r>
      <w:r>
        <w:t>WCAG.</w:t>
      </w:r>
    </w:p>
    <w:p w14:paraId="7D4BF8BE" w14:textId="70C1793F" w:rsidR="000668B3" w:rsidRDefault="000668B3" w:rsidP="000668B3">
      <w:pPr>
        <w:pStyle w:val="Nagwek3"/>
      </w:pPr>
      <w:r>
        <w:t>Liczba stron z danym przedziałem liczbowym błędów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2"/>
        <w:gridCol w:w="2977"/>
      </w:tblGrid>
      <w:tr w:rsidR="000D7319" w:rsidRPr="005F189B" w14:paraId="75ACF48E" w14:textId="77777777" w:rsidTr="005F189B">
        <w:trPr>
          <w:tblHeader/>
        </w:trPr>
        <w:tc>
          <w:tcPr>
            <w:tcW w:w="2952" w:type="dxa"/>
            <w:shd w:val="clear" w:color="auto" w:fill="E7E6E6" w:themeFill="background2"/>
          </w:tcPr>
          <w:p w14:paraId="176B7E54" w14:textId="459E5979" w:rsidR="000D7319" w:rsidRPr="005F189B" w:rsidRDefault="005F189B" w:rsidP="005F189B">
            <w:pPr>
              <w:rPr>
                <w:b/>
              </w:rPr>
            </w:pPr>
            <w:r>
              <w:rPr>
                <w:b/>
              </w:rPr>
              <w:t>Przedział liczbowy</w:t>
            </w:r>
            <w:r w:rsidRPr="005F189B">
              <w:rPr>
                <w:b/>
              </w:rPr>
              <w:t xml:space="preserve"> błędów</w:t>
            </w:r>
          </w:p>
        </w:tc>
        <w:tc>
          <w:tcPr>
            <w:tcW w:w="2977" w:type="dxa"/>
            <w:shd w:val="clear" w:color="auto" w:fill="E7E6E6" w:themeFill="background2"/>
          </w:tcPr>
          <w:p w14:paraId="11DA1038" w14:textId="5C428E18" w:rsidR="000D7319" w:rsidRPr="005F189B" w:rsidRDefault="005F189B" w:rsidP="00C50784">
            <w:pPr>
              <w:rPr>
                <w:b/>
              </w:rPr>
            </w:pPr>
            <w:r w:rsidRPr="005F189B">
              <w:rPr>
                <w:b/>
              </w:rPr>
              <w:t xml:space="preserve">Liczba badanych stron </w:t>
            </w:r>
          </w:p>
        </w:tc>
      </w:tr>
      <w:tr w:rsidR="000D7319" w14:paraId="526D152C" w14:textId="77777777" w:rsidTr="005F189B">
        <w:tc>
          <w:tcPr>
            <w:tcW w:w="2952" w:type="dxa"/>
          </w:tcPr>
          <w:p w14:paraId="072EDEFB" w14:textId="382A01FA" w:rsidR="000D7319" w:rsidRDefault="005F189B" w:rsidP="00C50784">
            <w:r>
              <w:t>1-9</w:t>
            </w:r>
          </w:p>
        </w:tc>
        <w:tc>
          <w:tcPr>
            <w:tcW w:w="2977" w:type="dxa"/>
          </w:tcPr>
          <w:p w14:paraId="2C2CEC2C" w14:textId="38F48B0F" w:rsidR="000D7319" w:rsidRDefault="005F189B" w:rsidP="00C50784">
            <w:r>
              <w:t>33</w:t>
            </w:r>
          </w:p>
        </w:tc>
      </w:tr>
      <w:tr w:rsidR="000D7319" w14:paraId="29F1E603" w14:textId="77777777" w:rsidTr="005F189B">
        <w:tc>
          <w:tcPr>
            <w:tcW w:w="2952" w:type="dxa"/>
          </w:tcPr>
          <w:p w14:paraId="3DD213DF" w14:textId="3E9AA4BE" w:rsidR="000D7319" w:rsidRDefault="005F189B" w:rsidP="00C50784">
            <w:r>
              <w:t>10-19</w:t>
            </w:r>
          </w:p>
        </w:tc>
        <w:tc>
          <w:tcPr>
            <w:tcW w:w="2977" w:type="dxa"/>
          </w:tcPr>
          <w:p w14:paraId="3F513884" w14:textId="1887930C" w:rsidR="000D7319" w:rsidRDefault="005F189B" w:rsidP="00C50784">
            <w:r>
              <w:t>88</w:t>
            </w:r>
          </w:p>
        </w:tc>
      </w:tr>
      <w:tr w:rsidR="000D7319" w14:paraId="32ABFF09" w14:textId="77777777" w:rsidTr="005F189B">
        <w:tc>
          <w:tcPr>
            <w:tcW w:w="2952" w:type="dxa"/>
          </w:tcPr>
          <w:p w14:paraId="4011D48F" w14:textId="4DAEED75" w:rsidR="000D7319" w:rsidRDefault="005F189B" w:rsidP="00C50784">
            <w:r>
              <w:t>20-29</w:t>
            </w:r>
          </w:p>
        </w:tc>
        <w:tc>
          <w:tcPr>
            <w:tcW w:w="2977" w:type="dxa"/>
          </w:tcPr>
          <w:p w14:paraId="07145921" w14:textId="2420E99C" w:rsidR="000D7319" w:rsidRDefault="005F189B" w:rsidP="00C50784">
            <w:r>
              <w:t>194</w:t>
            </w:r>
          </w:p>
        </w:tc>
      </w:tr>
      <w:tr w:rsidR="000D7319" w14:paraId="7C7A344A" w14:textId="77777777" w:rsidTr="005F189B">
        <w:tc>
          <w:tcPr>
            <w:tcW w:w="2952" w:type="dxa"/>
          </w:tcPr>
          <w:p w14:paraId="0B63D104" w14:textId="4AD87293" w:rsidR="000D7319" w:rsidRDefault="005F189B" w:rsidP="00C50784">
            <w:r>
              <w:t>30-39</w:t>
            </w:r>
          </w:p>
        </w:tc>
        <w:tc>
          <w:tcPr>
            <w:tcW w:w="2977" w:type="dxa"/>
          </w:tcPr>
          <w:p w14:paraId="0F564AA4" w14:textId="1DAECCA2" w:rsidR="000D7319" w:rsidRDefault="005F189B" w:rsidP="00C50784">
            <w:r>
              <w:t>231</w:t>
            </w:r>
          </w:p>
        </w:tc>
      </w:tr>
      <w:tr w:rsidR="000D7319" w14:paraId="21E3F75E" w14:textId="77777777" w:rsidTr="005F189B">
        <w:tc>
          <w:tcPr>
            <w:tcW w:w="2952" w:type="dxa"/>
          </w:tcPr>
          <w:p w14:paraId="7734FC5B" w14:textId="6CB05FC5" w:rsidR="000D7319" w:rsidRDefault="005F189B" w:rsidP="00C50784">
            <w:r>
              <w:t>40-49</w:t>
            </w:r>
          </w:p>
        </w:tc>
        <w:tc>
          <w:tcPr>
            <w:tcW w:w="2977" w:type="dxa"/>
          </w:tcPr>
          <w:p w14:paraId="46C22A77" w14:textId="55ED16DA" w:rsidR="000D7319" w:rsidRDefault="005F189B" w:rsidP="00C50784">
            <w:r>
              <w:t>153</w:t>
            </w:r>
          </w:p>
        </w:tc>
      </w:tr>
      <w:tr w:rsidR="000D7319" w14:paraId="32D751FC" w14:textId="77777777" w:rsidTr="005F189B">
        <w:tc>
          <w:tcPr>
            <w:tcW w:w="2952" w:type="dxa"/>
          </w:tcPr>
          <w:p w14:paraId="41958659" w14:textId="4556F7C3" w:rsidR="000D7319" w:rsidRDefault="005F189B" w:rsidP="00C50784">
            <w:r>
              <w:t>50-59</w:t>
            </w:r>
          </w:p>
        </w:tc>
        <w:tc>
          <w:tcPr>
            <w:tcW w:w="2977" w:type="dxa"/>
          </w:tcPr>
          <w:p w14:paraId="204FDCD3" w14:textId="03928549" w:rsidR="000D7319" w:rsidRDefault="005F189B" w:rsidP="00C50784">
            <w:r>
              <w:t>85</w:t>
            </w:r>
          </w:p>
        </w:tc>
      </w:tr>
      <w:tr w:rsidR="000D7319" w14:paraId="281D3FFB" w14:textId="77777777" w:rsidTr="005F189B">
        <w:tc>
          <w:tcPr>
            <w:tcW w:w="2952" w:type="dxa"/>
          </w:tcPr>
          <w:p w14:paraId="09710764" w14:textId="346BBC99" w:rsidR="000D7319" w:rsidRDefault="005F189B" w:rsidP="00C50784">
            <w:r>
              <w:t>60-69</w:t>
            </w:r>
          </w:p>
        </w:tc>
        <w:tc>
          <w:tcPr>
            <w:tcW w:w="2977" w:type="dxa"/>
          </w:tcPr>
          <w:p w14:paraId="50354ECF" w14:textId="270FFE10" w:rsidR="000D7319" w:rsidRDefault="005F189B" w:rsidP="00C50784">
            <w:r>
              <w:t>31</w:t>
            </w:r>
          </w:p>
        </w:tc>
      </w:tr>
      <w:tr w:rsidR="005F189B" w14:paraId="0F65906D" w14:textId="77777777" w:rsidTr="005F189B">
        <w:tc>
          <w:tcPr>
            <w:tcW w:w="2952" w:type="dxa"/>
          </w:tcPr>
          <w:p w14:paraId="536AC1C4" w14:textId="3892E858" w:rsidR="005F189B" w:rsidRDefault="005F189B" w:rsidP="005F189B">
            <w:r>
              <w:t>70-79</w:t>
            </w:r>
          </w:p>
        </w:tc>
        <w:tc>
          <w:tcPr>
            <w:tcW w:w="2977" w:type="dxa"/>
          </w:tcPr>
          <w:p w14:paraId="41986B9F" w14:textId="2B927CA9" w:rsidR="005F189B" w:rsidRDefault="005F189B" w:rsidP="00C50784">
            <w:r>
              <w:t>13</w:t>
            </w:r>
          </w:p>
        </w:tc>
      </w:tr>
      <w:tr w:rsidR="005F189B" w14:paraId="3C2344F3" w14:textId="77777777" w:rsidTr="005F189B">
        <w:tc>
          <w:tcPr>
            <w:tcW w:w="2952" w:type="dxa"/>
          </w:tcPr>
          <w:p w14:paraId="46625B05" w14:textId="76E85D0B" w:rsidR="005F189B" w:rsidRDefault="005F189B" w:rsidP="00C50784">
            <w:r>
              <w:t>80-89</w:t>
            </w:r>
          </w:p>
        </w:tc>
        <w:tc>
          <w:tcPr>
            <w:tcW w:w="2977" w:type="dxa"/>
          </w:tcPr>
          <w:p w14:paraId="464ABC36" w14:textId="2DC538DC" w:rsidR="005F189B" w:rsidRDefault="005F189B" w:rsidP="00C50784">
            <w:r>
              <w:t>4</w:t>
            </w:r>
          </w:p>
        </w:tc>
      </w:tr>
      <w:tr w:rsidR="005F189B" w14:paraId="781F2B29" w14:textId="77777777" w:rsidTr="005F189B">
        <w:tc>
          <w:tcPr>
            <w:tcW w:w="2952" w:type="dxa"/>
          </w:tcPr>
          <w:p w14:paraId="3018F63F" w14:textId="4B467079" w:rsidR="005F189B" w:rsidRDefault="005F189B" w:rsidP="00C50784">
            <w:r>
              <w:t>90-99</w:t>
            </w:r>
          </w:p>
        </w:tc>
        <w:tc>
          <w:tcPr>
            <w:tcW w:w="2977" w:type="dxa"/>
          </w:tcPr>
          <w:p w14:paraId="48AB8BCE" w14:textId="0223251F" w:rsidR="005F189B" w:rsidRDefault="005F189B" w:rsidP="00C50784">
            <w:r>
              <w:t>2</w:t>
            </w:r>
          </w:p>
        </w:tc>
      </w:tr>
      <w:tr w:rsidR="005F189B" w14:paraId="6B1A07FC" w14:textId="77777777" w:rsidTr="005F189B">
        <w:tc>
          <w:tcPr>
            <w:tcW w:w="2952" w:type="dxa"/>
          </w:tcPr>
          <w:p w14:paraId="5EC7AF1E" w14:textId="6855A700" w:rsidR="005F189B" w:rsidRDefault="005F189B" w:rsidP="00C50784">
            <w:r>
              <w:t>100-109</w:t>
            </w:r>
          </w:p>
        </w:tc>
        <w:tc>
          <w:tcPr>
            <w:tcW w:w="2977" w:type="dxa"/>
          </w:tcPr>
          <w:p w14:paraId="2D95E90B" w14:textId="1953B788" w:rsidR="005F189B" w:rsidRDefault="005F189B" w:rsidP="00C50784">
            <w:r>
              <w:t>1</w:t>
            </w:r>
          </w:p>
        </w:tc>
      </w:tr>
    </w:tbl>
    <w:p w14:paraId="486E96C0" w14:textId="0A430BFC" w:rsidR="000D7319" w:rsidRDefault="005F189B" w:rsidP="00C50784">
      <w:r>
        <w:lastRenderedPageBreak/>
        <w:t>Wszystkie badane strony posiadały co najmniej jeden błąd. Średnio na jednej badanej stronie zidentyfikowano 35 błędów (mediana 30).</w:t>
      </w:r>
    </w:p>
    <w:p w14:paraId="49555E85" w14:textId="2E8D9D26" w:rsidR="000668B3" w:rsidRDefault="000668B3" w:rsidP="000668B3">
      <w:pPr>
        <w:pStyle w:val="Nagwek3"/>
      </w:pPr>
      <w:r>
        <w:t>Średnia liczba błędów w podziale na rodzaje badanych stron</w:t>
      </w:r>
      <w:r w:rsidR="00063BEE">
        <w:t xml:space="preserve"> (próba 835)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510"/>
      </w:tblGrid>
      <w:tr w:rsidR="000668B3" w14:paraId="375351AC" w14:textId="77777777" w:rsidTr="000668B3">
        <w:trPr>
          <w:tblHeader/>
        </w:trPr>
        <w:tc>
          <w:tcPr>
            <w:tcW w:w="3020" w:type="dxa"/>
            <w:shd w:val="clear" w:color="auto" w:fill="E7E6E6" w:themeFill="background2"/>
          </w:tcPr>
          <w:p w14:paraId="0E96DE8B" w14:textId="0830FADB" w:rsidR="000668B3" w:rsidRDefault="000668B3" w:rsidP="004C6047">
            <w:pPr>
              <w:rPr>
                <w:b/>
              </w:rPr>
            </w:pPr>
            <w:r>
              <w:rPr>
                <w:b/>
              </w:rPr>
              <w:t>Rodzaj strony</w:t>
            </w:r>
          </w:p>
        </w:tc>
        <w:tc>
          <w:tcPr>
            <w:tcW w:w="2510" w:type="dxa"/>
            <w:shd w:val="clear" w:color="auto" w:fill="E7E6E6" w:themeFill="background2"/>
          </w:tcPr>
          <w:p w14:paraId="4CE4279A" w14:textId="567445BE" w:rsidR="000668B3" w:rsidRDefault="000668B3" w:rsidP="004C6047">
            <w:pPr>
              <w:rPr>
                <w:b/>
              </w:rPr>
            </w:pPr>
            <w:r>
              <w:rPr>
                <w:b/>
              </w:rPr>
              <w:t>Średnia liczba błędów</w:t>
            </w:r>
          </w:p>
        </w:tc>
      </w:tr>
      <w:tr w:rsidR="000668B3" w14:paraId="03EF0870" w14:textId="77777777" w:rsidTr="000668B3">
        <w:tc>
          <w:tcPr>
            <w:tcW w:w="3020" w:type="dxa"/>
          </w:tcPr>
          <w:p w14:paraId="1271083B" w14:textId="31403B55" w:rsidR="000668B3" w:rsidRPr="00F5250A" w:rsidRDefault="000668B3" w:rsidP="000668B3">
            <w:r>
              <w:t>Strona instytucji państwowej</w:t>
            </w:r>
          </w:p>
        </w:tc>
        <w:tc>
          <w:tcPr>
            <w:tcW w:w="2510" w:type="dxa"/>
          </w:tcPr>
          <w:p w14:paraId="1555839F" w14:textId="33FF136C" w:rsidR="000668B3" w:rsidRPr="008C73B0" w:rsidRDefault="000668B3" w:rsidP="004C6047">
            <w:r>
              <w:t>32,4</w:t>
            </w:r>
          </w:p>
        </w:tc>
      </w:tr>
      <w:tr w:rsidR="000668B3" w14:paraId="44A8F372" w14:textId="77777777" w:rsidTr="000668B3">
        <w:tc>
          <w:tcPr>
            <w:tcW w:w="3020" w:type="dxa"/>
          </w:tcPr>
          <w:p w14:paraId="04235F5F" w14:textId="01B109AE" w:rsidR="000668B3" w:rsidRPr="00F5250A" w:rsidRDefault="000668B3" w:rsidP="000668B3">
            <w:r w:rsidRPr="00273736">
              <w:t xml:space="preserve">Strona instytucji </w:t>
            </w:r>
            <w:r>
              <w:t>regionalnej</w:t>
            </w:r>
          </w:p>
        </w:tc>
        <w:tc>
          <w:tcPr>
            <w:tcW w:w="2510" w:type="dxa"/>
          </w:tcPr>
          <w:p w14:paraId="5C0E7935" w14:textId="48E05AF2" w:rsidR="000668B3" w:rsidRPr="008C73B0" w:rsidRDefault="000668B3" w:rsidP="000668B3">
            <w:r>
              <w:t>36,2</w:t>
            </w:r>
          </w:p>
        </w:tc>
      </w:tr>
      <w:tr w:rsidR="000668B3" w14:paraId="27D51FC6" w14:textId="77777777" w:rsidTr="000668B3">
        <w:tc>
          <w:tcPr>
            <w:tcW w:w="3020" w:type="dxa"/>
          </w:tcPr>
          <w:p w14:paraId="20902360" w14:textId="4408AACB" w:rsidR="000668B3" w:rsidRPr="00F5250A" w:rsidRDefault="000668B3" w:rsidP="000668B3">
            <w:r>
              <w:t>Strona instytucji lokalnej</w:t>
            </w:r>
          </w:p>
        </w:tc>
        <w:tc>
          <w:tcPr>
            <w:tcW w:w="2510" w:type="dxa"/>
          </w:tcPr>
          <w:p w14:paraId="54A9CDE0" w14:textId="3AFC3C26" w:rsidR="000668B3" w:rsidRPr="008C73B0" w:rsidRDefault="000668B3" w:rsidP="000668B3">
            <w:r>
              <w:t>34,5</w:t>
            </w:r>
          </w:p>
        </w:tc>
      </w:tr>
      <w:tr w:rsidR="000668B3" w14:paraId="2C94771E" w14:textId="77777777" w:rsidTr="000668B3">
        <w:tc>
          <w:tcPr>
            <w:tcW w:w="3020" w:type="dxa"/>
          </w:tcPr>
          <w:p w14:paraId="3630BFC7" w14:textId="4E9F53DF" w:rsidR="000668B3" w:rsidRPr="00F5250A" w:rsidRDefault="000668B3" w:rsidP="000668B3">
            <w:r w:rsidRPr="00273736">
              <w:t xml:space="preserve">Strona </w:t>
            </w:r>
            <w:r>
              <w:t>pozostałej instytucji</w:t>
            </w:r>
          </w:p>
        </w:tc>
        <w:tc>
          <w:tcPr>
            <w:tcW w:w="2510" w:type="dxa"/>
          </w:tcPr>
          <w:p w14:paraId="073A0EC3" w14:textId="399AAC35" w:rsidR="000668B3" w:rsidRPr="008C73B0" w:rsidRDefault="000668B3" w:rsidP="000668B3">
            <w:r>
              <w:t>35,9</w:t>
            </w:r>
          </w:p>
        </w:tc>
      </w:tr>
    </w:tbl>
    <w:p w14:paraId="7A6D934B" w14:textId="560CA578" w:rsidR="001F45C1" w:rsidRDefault="00C50784" w:rsidP="00CA418D">
      <w:pPr>
        <w:pStyle w:val="Nagwek3"/>
      </w:pPr>
      <w:r>
        <w:t>Błędy</w:t>
      </w:r>
      <w:r w:rsidR="001F45C1" w:rsidRPr="003D3B0B">
        <w:t xml:space="preserve"> </w:t>
      </w:r>
      <w:r w:rsidR="001F45C1">
        <w:t xml:space="preserve">w podziale na zasady </w:t>
      </w:r>
      <w:r w:rsidR="00F5250A">
        <w:t>WCAG</w:t>
      </w:r>
      <w:r w:rsidR="00874CEE">
        <w:t xml:space="preserve"> na badanych stronach łącznie</w:t>
      </w:r>
      <w:r w:rsidR="00063BEE">
        <w:t xml:space="preserve"> (próba 835)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250A" w14:paraId="522D2038" w14:textId="77777777" w:rsidTr="006643E7">
        <w:trPr>
          <w:tblHeader/>
        </w:trPr>
        <w:tc>
          <w:tcPr>
            <w:tcW w:w="3020" w:type="dxa"/>
            <w:shd w:val="clear" w:color="auto" w:fill="E7E6E6" w:themeFill="background2"/>
          </w:tcPr>
          <w:p w14:paraId="1F89609E" w14:textId="322AE622" w:rsidR="00F5250A" w:rsidRDefault="00F5250A" w:rsidP="001F45C1">
            <w:pPr>
              <w:rPr>
                <w:b/>
              </w:rPr>
            </w:pPr>
            <w:r>
              <w:rPr>
                <w:b/>
              </w:rPr>
              <w:t>Zasada WCAG</w:t>
            </w:r>
          </w:p>
        </w:tc>
        <w:tc>
          <w:tcPr>
            <w:tcW w:w="3021" w:type="dxa"/>
            <w:shd w:val="clear" w:color="auto" w:fill="E7E6E6" w:themeFill="background2"/>
          </w:tcPr>
          <w:p w14:paraId="744C46B7" w14:textId="6741D1F4" w:rsidR="00F5250A" w:rsidRDefault="00F5250A" w:rsidP="001F45C1">
            <w:pPr>
              <w:rPr>
                <w:b/>
              </w:rPr>
            </w:pPr>
            <w:r>
              <w:rPr>
                <w:b/>
              </w:rPr>
              <w:t>Liczba odpowiedzi</w:t>
            </w:r>
          </w:p>
        </w:tc>
        <w:tc>
          <w:tcPr>
            <w:tcW w:w="3021" w:type="dxa"/>
            <w:shd w:val="clear" w:color="auto" w:fill="E7E6E6" w:themeFill="background2"/>
          </w:tcPr>
          <w:p w14:paraId="2D41D8F6" w14:textId="0A6D2999" w:rsidR="00F5250A" w:rsidRDefault="00F5250A" w:rsidP="001F45C1">
            <w:pPr>
              <w:rPr>
                <w:b/>
              </w:rPr>
            </w:pPr>
            <w:r>
              <w:rPr>
                <w:b/>
              </w:rPr>
              <w:t>Procent odpowiedzi</w:t>
            </w:r>
          </w:p>
        </w:tc>
      </w:tr>
      <w:tr w:rsidR="00F5250A" w14:paraId="30ADEA2B" w14:textId="77777777" w:rsidTr="00F5250A">
        <w:tc>
          <w:tcPr>
            <w:tcW w:w="3020" w:type="dxa"/>
          </w:tcPr>
          <w:p w14:paraId="2839EFCB" w14:textId="3E6DD57B" w:rsidR="00F5250A" w:rsidRPr="00F5250A" w:rsidRDefault="00F5250A" w:rsidP="001F45C1">
            <w:r>
              <w:t>Postrzegalność</w:t>
            </w:r>
          </w:p>
        </w:tc>
        <w:tc>
          <w:tcPr>
            <w:tcW w:w="3021" w:type="dxa"/>
          </w:tcPr>
          <w:p w14:paraId="51B1045B" w14:textId="34254BBA" w:rsidR="00F5250A" w:rsidRPr="008C73B0" w:rsidRDefault="00F5250A" w:rsidP="001F45C1">
            <w:r w:rsidRPr="008C73B0">
              <w:t>9581</w:t>
            </w:r>
          </w:p>
        </w:tc>
        <w:tc>
          <w:tcPr>
            <w:tcW w:w="3021" w:type="dxa"/>
          </w:tcPr>
          <w:p w14:paraId="0F00E716" w14:textId="37872A83" w:rsidR="00F5250A" w:rsidRPr="008C73B0" w:rsidRDefault="008C73B0" w:rsidP="001F45C1">
            <w:r w:rsidRPr="008C73B0">
              <w:t>32,7</w:t>
            </w:r>
            <w:r>
              <w:t>%</w:t>
            </w:r>
          </w:p>
        </w:tc>
      </w:tr>
      <w:tr w:rsidR="00F5250A" w14:paraId="0823A532" w14:textId="77777777" w:rsidTr="00F5250A">
        <w:tc>
          <w:tcPr>
            <w:tcW w:w="3020" w:type="dxa"/>
          </w:tcPr>
          <w:p w14:paraId="1AFD4FC9" w14:textId="68CF606A" w:rsidR="00F5250A" w:rsidRPr="00F5250A" w:rsidRDefault="00F5250A" w:rsidP="001F45C1">
            <w:r w:rsidRPr="00F5250A">
              <w:t>Funkcjonalność</w:t>
            </w:r>
          </w:p>
        </w:tc>
        <w:tc>
          <w:tcPr>
            <w:tcW w:w="3021" w:type="dxa"/>
          </w:tcPr>
          <w:p w14:paraId="02EA9589" w14:textId="15D6F9FC" w:rsidR="00F5250A" w:rsidRPr="008C73B0" w:rsidRDefault="00F5250A" w:rsidP="001F45C1">
            <w:r w:rsidRPr="008C73B0">
              <w:t>9773</w:t>
            </w:r>
          </w:p>
        </w:tc>
        <w:tc>
          <w:tcPr>
            <w:tcW w:w="3021" w:type="dxa"/>
          </w:tcPr>
          <w:p w14:paraId="7C774F21" w14:textId="5776BB7B" w:rsidR="00F5250A" w:rsidRPr="008C73B0" w:rsidRDefault="008C73B0" w:rsidP="001F45C1">
            <w:r w:rsidRPr="008C73B0">
              <w:t>33,4</w:t>
            </w:r>
            <w:r>
              <w:t>%</w:t>
            </w:r>
          </w:p>
        </w:tc>
      </w:tr>
      <w:tr w:rsidR="00F5250A" w14:paraId="680910F3" w14:textId="77777777" w:rsidTr="00F5250A">
        <w:tc>
          <w:tcPr>
            <w:tcW w:w="3020" w:type="dxa"/>
          </w:tcPr>
          <w:p w14:paraId="5A853179" w14:textId="0CF4093D" w:rsidR="00F5250A" w:rsidRPr="00F5250A" w:rsidRDefault="00F5250A" w:rsidP="001F45C1">
            <w:r w:rsidRPr="00F5250A">
              <w:t>Zrozumiałość</w:t>
            </w:r>
          </w:p>
        </w:tc>
        <w:tc>
          <w:tcPr>
            <w:tcW w:w="3021" w:type="dxa"/>
          </w:tcPr>
          <w:p w14:paraId="42C7E5A5" w14:textId="73410319" w:rsidR="00F5250A" w:rsidRPr="008C73B0" w:rsidRDefault="00F5250A" w:rsidP="001F45C1">
            <w:r w:rsidRPr="008C73B0">
              <w:t>1497</w:t>
            </w:r>
          </w:p>
        </w:tc>
        <w:tc>
          <w:tcPr>
            <w:tcW w:w="3021" w:type="dxa"/>
          </w:tcPr>
          <w:p w14:paraId="09C1B9FF" w14:textId="01033A00" w:rsidR="00F5250A" w:rsidRPr="008C73B0" w:rsidRDefault="008C73B0" w:rsidP="001F45C1">
            <w:r w:rsidRPr="008C73B0">
              <w:t>5,1</w:t>
            </w:r>
            <w:r>
              <w:t>%</w:t>
            </w:r>
          </w:p>
        </w:tc>
      </w:tr>
      <w:tr w:rsidR="00F5250A" w14:paraId="00AC5FA3" w14:textId="77777777" w:rsidTr="00F5250A">
        <w:tc>
          <w:tcPr>
            <w:tcW w:w="3020" w:type="dxa"/>
          </w:tcPr>
          <w:p w14:paraId="3EDC25A6" w14:textId="315A59F0" w:rsidR="00F5250A" w:rsidRPr="00F5250A" w:rsidRDefault="00F5250A" w:rsidP="001F45C1">
            <w:r w:rsidRPr="00F5250A">
              <w:t>Kompatybilność</w:t>
            </w:r>
          </w:p>
        </w:tc>
        <w:tc>
          <w:tcPr>
            <w:tcW w:w="3021" w:type="dxa"/>
          </w:tcPr>
          <w:p w14:paraId="1E9D364F" w14:textId="2020CC05" w:rsidR="00F5250A" w:rsidRPr="008C73B0" w:rsidRDefault="00F5250A" w:rsidP="001F45C1">
            <w:r w:rsidRPr="008C73B0">
              <w:t>8434</w:t>
            </w:r>
          </w:p>
        </w:tc>
        <w:tc>
          <w:tcPr>
            <w:tcW w:w="3021" w:type="dxa"/>
          </w:tcPr>
          <w:p w14:paraId="103948D9" w14:textId="73D4BD15" w:rsidR="00F5250A" w:rsidRPr="008C73B0" w:rsidRDefault="008C73B0" w:rsidP="001F45C1">
            <w:r w:rsidRPr="008C73B0">
              <w:t>28,8</w:t>
            </w:r>
            <w:r>
              <w:t>%</w:t>
            </w:r>
          </w:p>
        </w:tc>
      </w:tr>
    </w:tbl>
    <w:p w14:paraId="69968632" w14:textId="37BF6A15" w:rsidR="00AC19CB" w:rsidRDefault="006B2159" w:rsidP="00AC19CB">
      <w:r w:rsidRPr="006B2159">
        <w:t>Mniej więcej po równo rozłożyły się błędy dotyczące dwóch pierwszych zasad WCAG –</w:t>
      </w:r>
      <w:r w:rsidR="00AC19CB">
        <w:t xml:space="preserve"> odpowiednio: „Postrzegalność” - </w:t>
      </w:r>
      <w:r w:rsidRPr="006B2159">
        <w:t xml:space="preserve">32,7% oraz </w:t>
      </w:r>
      <w:r w:rsidR="00AC19CB">
        <w:t xml:space="preserve">„Funkcjonalność” - </w:t>
      </w:r>
      <w:r w:rsidRPr="006B2159">
        <w:t xml:space="preserve">33,4%. </w:t>
      </w:r>
      <w:r w:rsidR="006643E7">
        <w:t>Błędy te stanowią łącznie 2/3 wszystkich zidentyfikowanych problemów.</w:t>
      </w:r>
    </w:p>
    <w:p w14:paraId="08599ED1" w14:textId="4EA717E9" w:rsidR="006B2159" w:rsidRDefault="00AC19CB" w:rsidP="00AC19CB">
      <w:r>
        <w:t xml:space="preserve">Zdecydowanie najmniej błędów zidentyfikowano w odniesieniu do zasady „Zrozumiałości” ale co ważne, w ramach tej zasady badane było jedynie 5 z 17 kryteriów WCAG – pozostałe 12 wymaga testów eksperckich, a nie automatycznych. </w:t>
      </w:r>
    </w:p>
    <w:p w14:paraId="348C8155" w14:textId="7562348E" w:rsidR="00AC19CB" w:rsidRPr="006B2159" w:rsidRDefault="00AC19CB" w:rsidP="00AC19CB">
      <w:r>
        <w:t xml:space="preserve">W ramach zasady „Kompatybilność” badany były 2 (z 3) kryteriów dotyczące jakości kodu.  </w:t>
      </w:r>
    </w:p>
    <w:p w14:paraId="100E0A29" w14:textId="4F134766" w:rsidR="00874CEE" w:rsidRDefault="00C50784" w:rsidP="00CA418D">
      <w:pPr>
        <w:pStyle w:val="Nagwek3"/>
      </w:pPr>
      <w:r>
        <w:t xml:space="preserve">Błędy </w:t>
      </w:r>
      <w:r w:rsidR="00874CEE">
        <w:t>w podziale na zasady WCAG na badanych stronach instytucji państwowych</w:t>
      </w:r>
      <w:r w:rsidR="00063BEE">
        <w:t xml:space="preserve"> (próba 143)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4CEE" w14:paraId="52F3D093" w14:textId="77777777" w:rsidTr="006643E7">
        <w:trPr>
          <w:tblHeader/>
        </w:trPr>
        <w:tc>
          <w:tcPr>
            <w:tcW w:w="3020" w:type="dxa"/>
            <w:shd w:val="clear" w:color="auto" w:fill="E7E6E6" w:themeFill="background2"/>
          </w:tcPr>
          <w:p w14:paraId="617FA9DF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Zasada WCAG</w:t>
            </w:r>
          </w:p>
        </w:tc>
        <w:tc>
          <w:tcPr>
            <w:tcW w:w="3021" w:type="dxa"/>
            <w:shd w:val="clear" w:color="auto" w:fill="E7E6E6" w:themeFill="background2"/>
          </w:tcPr>
          <w:p w14:paraId="79A4BD67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Liczba odpowiedzi</w:t>
            </w:r>
          </w:p>
        </w:tc>
        <w:tc>
          <w:tcPr>
            <w:tcW w:w="3021" w:type="dxa"/>
            <w:shd w:val="clear" w:color="auto" w:fill="E7E6E6" w:themeFill="background2"/>
          </w:tcPr>
          <w:p w14:paraId="4003201D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Procent odpowiedzi</w:t>
            </w:r>
          </w:p>
        </w:tc>
      </w:tr>
      <w:tr w:rsidR="00874CEE" w14:paraId="4FF65E29" w14:textId="77777777" w:rsidTr="005F189B">
        <w:tc>
          <w:tcPr>
            <w:tcW w:w="3020" w:type="dxa"/>
          </w:tcPr>
          <w:p w14:paraId="6E9581A6" w14:textId="77777777" w:rsidR="00874CEE" w:rsidRPr="00F5250A" w:rsidRDefault="00874CEE" w:rsidP="005F189B">
            <w:r>
              <w:t>Postrzegalność</w:t>
            </w:r>
          </w:p>
        </w:tc>
        <w:tc>
          <w:tcPr>
            <w:tcW w:w="3021" w:type="dxa"/>
          </w:tcPr>
          <w:p w14:paraId="789BACDF" w14:textId="156854EB" w:rsidR="00874CEE" w:rsidRPr="008C73B0" w:rsidRDefault="00874CEE" w:rsidP="005F189B">
            <w:r>
              <w:t>1472</w:t>
            </w:r>
          </w:p>
        </w:tc>
        <w:tc>
          <w:tcPr>
            <w:tcW w:w="3021" w:type="dxa"/>
          </w:tcPr>
          <w:p w14:paraId="0743D2B0" w14:textId="1D2F8E9E" w:rsidR="00874CEE" w:rsidRPr="008C73B0" w:rsidRDefault="00D50480" w:rsidP="005F189B">
            <w:r>
              <w:t>31,8%</w:t>
            </w:r>
          </w:p>
        </w:tc>
      </w:tr>
      <w:tr w:rsidR="00874CEE" w14:paraId="1C94A1EE" w14:textId="77777777" w:rsidTr="005F189B">
        <w:tc>
          <w:tcPr>
            <w:tcW w:w="3020" w:type="dxa"/>
          </w:tcPr>
          <w:p w14:paraId="39873BE3" w14:textId="77777777" w:rsidR="00874CEE" w:rsidRPr="00F5250A" w:rsidRDefault="00874CEE" w:rsidP="005F189B">
            <w:r w:rsidRPr="00F5250A">
              <w:t>Funkcjonalność</w:t>
            </w:r>
          </w:p>
        </w:tc>
        <w:tc>
          <w:tcPr>
            <w:tcW w:w="3021" w:type="dxa"/>
          </w:tcPr>
          <w:p w14:paraId="14114A03" w14:textId="5E8E7C2F" w:rsidR="00874CEE" w:rsidRPr="008C73B0" w:rsidRDefault="00874CEE" w:rsidP="005F189B">
            <w:r>
              <w:t>1502</w:t>
            </w:r>
          </w:p>
        </w:tc>
        <w:tc>
          <w:tcPr>
            <w:tcW w:w="3021" w:type="dxa"/>
          </w:tcPr>
          <w:p w14:paraId="765100B2" w14:textId="56C8F5EC" w:rsidR="00874CEE" w:rsidRPr="008C73B0" w:rsidRDefault="00D50480" w:rsidP="005F189B">
            <w:r>
              <w:t>32,4%</w:t>
            </w:r>
          </w:p>
        </w:tc>
      </w:tr>
      <w:tr w:rsidR="00874CEE" w14:paraId="5D943E58" w14:textId="77777777" w:rsidTr="005F189B">
        <w:tc>
          <w:tcPr>
            <w:tcW w:w="3020" w:type="dxa"/>
          </w:tcPr>
          <w:p w14:paraId="0D14E548" w14:textId="77777777" w:rsidR="00874CEE" w:rsidRPr="00F5250A" w:rsidRDefault="00874CEE" w:rsidP="005F189B">
            <w:r w:rsidRPr="00F5250A">
              <w:t>Zrozumiałość</w:t>
            </w:r>
          </w:p>
        </w:tc>
        <w:tc>
          <w:tcPr>
            <w:tcW w:w="3021" w:type="dxa"/>
          </w:tcPr>
          <w:p w14:paraId="75ACA902" w14:textId="1B3EF57D" w:rsidR="00874CEE" w:rsidRPr="008C73B0" w:rsidRDefault="00874CEE" w:rsidP="005F189B">
            <w:r>
              <w:t>229</w:t>
            </w:r>
          </w:p>
        </w:tc>
        <w:tc>
          <w:tcPr>
            <w:tcW w:w="3021" w:type="dxa"/>
          </w:tcPr>
          <w:p w14:paraId="7BDCB838" w14:textId="73C9FF69" w:rsidR="00874CEE" w:rsidRPr="008C73B0" w:rsidRDefault="00D50480" w:rsidP="005F189B">
            <w:r>
              <w:t>4,9%</w:t>
            </w:r>
          </w:p>
        </w:tc>
      </w:tr>
      <w:tr w:rsidR="00874CEE" w14:paraId="44969221" w14:textId="77777777" w:rsidTr="005F189B">
        <w:tc>
          <w:tcPr>
            <w:tcW w:w="3020" w:type="dxa"/>
          </w:tcPr>
          <w:p w14:paraId="1B289581" w14:textId="77777777" w:rsidR="00874CEE" w:rsidRPr="00F5250A" w:rsidRDefault="00874CEE" w:rsidP="005F189B">
            <w:r w:rsidRPr="00F5250A">
              <w:t>Kompatybilność</w:t>
            </w:r>
          </w:p>
        </w:tc>
        <w:tc>
          <w:tcPr>
            <w:tcW w:w="3021" w:type="dxa"/>
          </w:tcPr>
          <w:p w14:paraId="7EFC400A" w14:textId="595C6ACA" w:rsidR="00874CEE" w:rsidRPr="008C73B0" w:rsidRDefault="00874CEE" w:rsidP="005F189B">
            <w:r>
              <w:t>1425</w:t>
            </w:r>
          </w:p>
        </w:tc>
        <w:tc>
          <w:tcPr>
            <w:tcW w:w="3021" w:type="dxa"/>
          </w:tcPr>
          <w:p w14:paraId="2E31B918" w14:textId="02D33C27" w:rsidR="00874CEE" w:rsidRPr="008C73B0" w:rsidRDefault="00D50480" w:rsidP="005F189B">
            <w:r>
              <w:t>30,8%</w:t>
            </w:r>
          </w:p>
        </w:tc>
      </w:tr>
    </w:tbl>
    <w:p w14:paraId="3C45C7B4" w14:textId="1C71FC05" w:rsidR="00874CEE" w:rsidRDefault="00C50784" w:rsidP="00CA418D">
      <w:pPr>
        <w:pStyle w:val="Nagwek3"/>
      </w:pPr>
      <w:r>
        <w:lastRenderedPageBreak/>
        <w:t>Błędy</w:t>
      </w:r>
      <w:r w:rsidR="00874CEE">
        <w:t xml:space="preserve"> </w:t>
      </w:r>
      <w:r>
        <w:t xml:space="preserve">w </w:t>
      </w:r>
      <w:r w:rsidR="00874CEE">
        <w:t>podziale na zasady WCAG na badanych stronach instytucji regionalnych</w:t>
      </w:r>
      <w:r w:rsidR="00063BEE">
        <w:t xml:space="preserve"> (próba 274)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4CEE" w14:paraId="766D07E8" w14:textId="77777777" w:rsidTr="006643E7">
        <w:trPr>
          <w:tblHeader/>
        </w:trPr>
        <w:tc>
          <w:tcPr>
            <w:tcW w:w="3020" w:type="dxa"/>
            <w:shd w:val="clear" w:color="auto" w:fill="E7E6E6" w:themeFill="background2"/>
          </w:tcPr>
          <w:p w14:paraId="5F70CF9B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Zasada WCAG</w:t>
            </w:r>
          </w:p>
        </w:tc>
        <w:tc>
          <w:tcPr>
            <w:tcW w:w="3021" w:type="dxa"/>
            <w:shd w:val="clear" w:color="auto" w:fill="E7E6E6" w:themeFill="background2"/>
          </w:tcPr>
          <w:p w14:paraId="05D9626D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Liczba odpowiedzi</w:t>
            </w:r>
          </w:p>
        </w:tc>
        <w:tc>
          <w:tcPr>
            <w:tcW w:w="3021" w:type="dxa"/>
            <w:shd w:val="clear" w:color="auto" w:fill="E7E6E6" w:themeFill="background2"/>
          </w:tcPr>
          <w:p w14:paraId="7FA19F66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Procent odpowiedzi</w:t>
            </w:r>
          </w:p>
        </w:tc>
      </w:tr>
      <w:tr w:rsidR="00874CEE" w14:paraId="79ABCD45" w14:textId="77777777" w:rsidTr="005F189B">
        <w:tc>
          <w:tcPr>
            <w:tcW w:w="3020" w:type="dxa"/>
          </w:tcPr>
          <w:p w14:paraId="4FD55939" w14:textId="77777777" w:rsidR="00874CEE" w:rsidRPr="00F5250A" w:rsidRDefault="00874CEE" w:rsidP="005F189B">
            <w:r>
              <w:t>Postrzegalność</w:t>
            </w:r>
          </w:p>
        </w:tc>
        <w:tc>
          <w:tcPr>
            <w:tcW w:w="3021" w:type="dxa"/>
          </w:tcPr>
          <w:p w14:paraId="46CCC8FB" w14:textId="7F8083A6" w:rsidR="00874CEE" w:rsidRPr="008C73B0" w:rsidRDefault="00D50480" w:rsidP="005F189B">
            <w:r>
              <w:t>3198</w:t>
            </w:r>
          </w:p>
        </w:tc>
        <w:tc>
          <w:tcPr>
            <w:tcW w:w="3021" w:type="dxa"/>
          </w:tcPr>
          <w:p w14:paraId="394726E4" w14:textId="22ACAF78" w:rsidR="00874CEE" w:rsidRPr="008C73B0" w:rsidRDefault="00D50480" w:rsidP="005F189B">
            <w:r>
              <w:t>32,2%</w:t>
            </w:r>
          </w:p>
        </w:tc>
      </w:tr>
      <w:tr w:rsidR="00874CEE" w14:paraId="498E5A84" w14:textId="77777777" w:rsidTr="005F189B">
        <w:tc>
          <w:tcPr>
            <w:tcW w:w="3020" w:type="dxa"/>
          </w:tcPr>
          <w:p w14:paraId="4EEEC51B" w14:textId="77777777" w:rsidR="00874CEE" w:rsidRPr="00F5250A" w:rsidRDefault="00874CEE" w:rsidP="005F189B">
            <w:r w:rsidRPr="00F5250A">
              <w:t>Funkcjonalność</w:t>
            </w:r>
          </w:p>
        </w:tc>
        <w:tc>
          <w:tcPr>
            <w:tcW w:w="3021" w:type="dxa"/>
          </w:tcPr>
          <w:p w14:paraId="390C6C29" w14:textId="004781DA" w:rsidR="00874CEE" w:rsidRPr="008C73B0" w:rsidRDefault="00D50480" w:rsidP="005F189B">
            <w:r>
              <w:t>3267</w:t>
            </w:r>
          </w:p>
        </w:tc>
        <w:tc>
          <w:tcPr>
            <w:tcW w:w="3021" w:type="dxa"/>
          </w:tcPr>
          <w:p w14:paraId="2C9E2215" w14:textId="4D08666A" w:rsidR="00874CEE" w:rsidRPr="008C73B0" w:rsidRDefault="00D50480" w:rsidP="005F189B">
            <w:r>
              <w:t>32,9%</w:t>
            </w:r>
          </w:p>
        </w:tc>
      </w:tr>
      <w:tr w:rsidR="00874CEE" w14:paraId="7B5948B3" w14:textId="77777777" w:rsidTr="005F189B">
        <w:tc>
          <w:tcPr>
            <w:tcW w:w="3020" w:type="dxa"/>
          </w:tcPr>
          <w:p w14:paraId="75336074" w14:textId="77777777" w:rsidR="00874CEE" w:rsidRPr="00F5250A" w:rsidRDefault="00874CEE" w:rsidP="005F189B">
            <w:r w:rsidRPr="00F5250A">
              <w:t>Zrozumiałość</w:t>
            </w:r>
          </w:p>
        </w:tc>
        <w:tc>
          <w:tcPr>
            <w:tcW w:w="3021" w:type="dxa"/>
          </w:tcPr>
          <w:p w14:paraId="4F082E90" w14:textId="524D3620" w:rsidR="00874CEE" w:rsidRPr="008C73B0" w:rsidRDefault="00D50480" w:rsidP="005F189B">
            <w:r>
              <w:t>518</w:t>
            </w:r>
          </w:p>
        </w:tc>
        <w:tc>
          <w:tcPr>
            <w:tcW w:w="3021" w:type="dxa"/>
          </w:tcPr>
          <w:p w14:paraId="07EF1DDC" w14:textId="453599BE" w:rsidR="00874CEE" w:rsidRPr="008C73B0" w:rsidRDefault="00CA418D" w:rsidP="005F189B">
            <w:r>
              <w:t>5,2%</w:t>
            </w:r>
          </w:p>
        </w:tc>
      </w:tr>
      <w:tr w:rsidR="00874CEE" w14:paraId="7A8786DB" w14:textId="77777777" w:rsidTr="005F189B">
        <w:tc>
          <w:tcPr>
            <w:tcW w:w="3020" w:type="dxa"/>
          </w:tcPr>
          <w:p w14:paraId="2B46FBAE" w14:textId="77777777" w:rsidR="00874CEE" w:rsidRPr="00F5250A" w:rsidRDefault="00874CEE" w:rsidP="005F189B">
            <w:r w:rsidRPr="00F5250A">
              <w:t>Kompatybilność</w:t>
            </w:r>
          </w:p>
        </w:tc>
        <w:tc>
          <w:tcPr>
            <w:tcW w:w="3021" w:type="dxa"/>
          </w:tcPr>
          <w:p w14:paraId="5D321767" w14:textId="772250BA" w:rsidR="00874CEE" w:rsidRPr="008C73B0" w:rsidRDefault="00D50480" w:rsidP="005F189B">
            <w:r>
              <w:t>2950</w:t>
            </w:r>
          </w:p>
        </w:tc>
        <w:tc>
          <w:tcPr>
            <w:tcW w:w="3021" w:type="dxa"/>
          </w:tcPr>
          <w:p w14:paraId="65B8B869" w14:textId="2B66DAF5" w:rsidR="00874CEE" w:rsidRPr="008C73B0" w:rsidRDefault="00CA418D" w:rsidP="005F189B">
            <w:r>
              <w:t>29,7%</w:t>
            </w:r>
          </w:p>
        </w:tc>
      </w:tr>
    </w:tbl>
    <w:p w14:paraId="5C0B1A42" w14:textId="40F87025" w:rsidR="00874CEE" w:rsidRDefault="00C50784" w:rsidP="00CA418D">
      <w:pPr>
        <w:pStyle w:val="Nagwek3"/>
      </w:pPr>
      <w:r>
        <w:t>Błędy</w:t>
      </w:r>
      <w:r w:rsidR="00874CEE">
        <w:t xml:space="preserve"> </w:t>
      </w:r>
      <w:r>
        <w:t xml:space="preserve">w </w:t>
      </w:r>
      <w:r w:rsidR="00874CEE">
        <w:t>podziale na zasady WCAG na badanych stronach instytucji lokalnych</w:t>
      </w:r>
      <w:r w:rsidR="00063BEE">
        <w:t xml:space="preserve"> (próba 211)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4CEE" w14:paraId="78C99FB8" w14:textId="77777777" w:rsidTr="006643E7">
        <w:trPr>
          <w:tblHeader/>
        </w:trPr>
        <w:tc>
          <w:tcPr>
            <w:tcW w:w="3020" w:type="dxa"/>
            <w:shd w:val="clear" w:color="auto" w:fill="E7E6E6" w:themeFill="background2"/>
          </w:tcPr>
          <w:p w14:paraId="3C4D8348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Zasada WCAG</w:t>
            </w:r>
          </w:p>
        </w:tc>
        <w:tc>
          <w:tcPr>
            <w:tcW w:w="3021" w:type="dxa"/>
            <w:shd w:val="clear" w:color="auto" w:fill="E7E6E6" w:themeFill="background2"/>
          </w:tcPr>
          <w:p w14:paraId="04B24796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Liczba odpowiedzi</w:t>
            </w:r>
          </w:p>
        </w:tc>
        <w:tc>
          <w:tcPr>
            <w:tcW w:w="3021" w:type="dxa"/>
            <w:shd w:val="clear" w:color="auto" w:fill="E7E6E6" w:themeFill="background2"/>
          </w:tcPr>
          <w:p w14:paraId="46710495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Procent odpowiedzi</w:t>
            </w:r>
          </w:p>
        </w:tc>
      </w:tr>
      <w:tr w:rsidR="00874CEE" w14:paraId="1143151A" w14:textId="77777777" w:rsidTr="005F189B">
        <w:tc>
          <w:tcPr>
            <w:tcW w:w="3020" w:type="dxa"/>
          </w:tcPr>
          <w:p w14:paraId="6A013CA5" w14:textId="77777777" w:rsidR="00874CEE" w:rsidRPr="00F5250A" w:rsidRDefault="00874CEE" w:rsidP="005F189B">
            <w:r>
              <w:t>Postrzegalność</w:t>
            </w:r>
          </w:p>
        </w:tc>
        <w:tc>
          <w:tcPr>
            <w:tcW w:w="3021" w:type="dxa"/>
          </w:tcPr>
          <w:p w14:paraId="4C8067DF" w14:textId="0A5A6466" w:rsidR="00874CEE" w:rsidRPr="008C73B0" w:rsidRDefault="00D50480" w:rsidP="005F189B">
            <w:r>
              <w:t>2281</w:t>
            </w:r>
          </w:p>
        </w:tc>
        <w:tc>
          <w:tcPr>
            <w:tcW w:w="3021" w:type="dxa"/>
          </w:tcPr>
          <w:p w14:paraId="751DBF5C" w14:textId="00306AEC" w:rsidR="00874CEE" w:rsidRPr="008C73B0" w:rsidRDefault="00CA418D" w:rsidP="005F189B">
            <w:r>
              <w:t>31,3%</w:t>
            </w:r>
          </w:p>
        </w:tc>
      </w:tr>
      <w:tr w:rsidR="00874CEE" w14:paraId="052443AA" w14:textId="77777777" w:rsidTr="005F189B">
        <w:tc>
          <w:tcPr>
            <w:tcW w:w="3020" w:type="dxa"/>
          </w:tcPr>
          <w:p w14:paraId="558D307B" w14:textId="77777777" w:rsidR="00874CEE" w:rsidRPr="00F5250A" w:rsidRDefault="00874CEE" w:rsidP="005F189B">
            <w:r w:rsidRPr="00F5250A">
              <w:t>Funkcjonalność</w:t>
            </w:r>
          </w:p>
        </w:tc>
        <w:tc>
          <w:tcPr>
            <w:tcW w:w="3021" w:type="dxa"/>
          </w:tcPr>
          <w:p w14:paraId="2489B4B4" w14:textId="48CA46A4" w:rsidR="00874CEE" w:rsidRPr="008C73B0" w:rsidRDefault="00D50480" w:rsidP="005F189B">
            <w:r>
              <w:t>2546</w:t>
            </w:r>
          </w:p>
        </w:tc>
        <w:tc>
          <w:tcPr>
            <w:tcW w:w="3021" w:type="dxa"/>
          </w:tcPr>
          <w:p w14:paraId="51E624F2" w14:textId="189A796C" w:rsidR="00874CEE" w:rsidRPr="008C73B0" w:rsidRDefault="00CA418D" w:rsidP="005F189B">
            <w:r>
              <w:t>35%</w:t>
            </w:r>
          </w:p>
        </w:tc>
      </w:tr>
      <w:tr w:rsidR="00874CEE" w14:paraId="43AEA587" w14:textId="77777777" w:rsidTr="005F189B">
        <w:tc>
          <w:tcPr>
            <w:tcW w:w="3020" w:type="dxa"/>
          </w:tcPr>
          <w:p w14:paraId="5B448BE0" w14:textId="77777777" w:rsidR="00874CEE" w:rsidRPr="00F5250A" w:rsidRDefault="00874CEE" w:rsidP="005F189B">
            <w:r w:rsidRPr="00F5250A">
              <w:t>Zrozumiałość</w:t>
            </w:r>
          </w:p>
        </w:tc>
        <w:tc>
          <w:tcPr>
            <w:tcW w:w="3021" w:type="dxa"/>
          </w:tcPr>
          <w:p w14:paraId="6FB6F646" w14:textId="1304D427" w:rsidR="00874CEE" w:rsidRPr="008C73B0" w:rsidRDefault="00D50480" w:rsidP="005F189B">
            <w:r>
              <w:t>298</w:t>
            </w:r>
          </w:p>
        </w:tc>
        <w:tc>
          <w:tcPr>
            <w:tcW w:w="3021" w:type="dxa"/>
          </w:tcPr>
          <w:p w14:paraId="5912DCD4" w14:textId="64A1B254" w:rsidR="00874CEE" w:rsidRPr="008C73B0" w:rsidRDefault="00CA418D" w:rsidP="005F189B">
            <w:r>
              <w:t>4%</w:t>
            </w:r>
          </w:p>
        </w:tc>
      </w:tr>
      <w:tr w:rsidR="00874CEE" w14:paraId="243D47DB" w14:textId="77777777" w:rsidTr="005F189B">
        <w:tc>
          <w:tcPr>
            <w:tcW w:w="3020" w:type="dxa"/>
          </w:tcPr>
          <w:p w14:paraId="1E111731" w14:textId="77777777" w:rsidR="00874CEE" w:rsidRPr="00F5250A" w:rsidRDefault="00874CEE" w:rsidP="005F189B">
            <w:r w:rsidRPr="00F5250A">
              <w:t>Kompatybilność</w:t>
            </w:r>
          </w:p>
        </w:tc>
        <w:tc>
          <w:tcPr>
            <w:tcW w:w="3021" w:type="dxa"/>
          </w:tcPr>
          <w:p w14:paraId="10B382E7" w14:textId="3B4B9617" w:rsidR="00874CEE" w:rsidRPr="008C73B0" w:rsidRDefault="00D50480" w:rsidP="005F189B">
            <w:r>
              <w:t>2167</w:t>
            </w:r>
          </w:p>
        </w:tc>
        <w:tc>
          <w:tcPr>
            <w:tcW w:w="3021" w:type="dxa"/>
          </w:tcPr>
          <w:p w14:paraId="51B19210" w14:textId="6B7F24EB" w:rsidR="00874CEE" w:rsidRPr="008C73B0" w:rsidRDefault="00CA418D" w:rsidP="005F189B">
            <w:r>
              <w:t>29,7%</w:t>
            </w:r>
          </w:p>
        </w:tc>
      </w:tr>
    </w:tbl>
    <w:p w14:paraId="30FB35F6" w14:textId="6C54FC8F" w:rsidR="00874CEE" w:rsidRDefault="00C50784" w:rsidP="00CA418D">
      <w:pPr>
        <w:pStyle w:val="Nagwek3"/>
      </w:pPr>
      <w:r>
        <w:t xml:space="preserve">Błędy </w:t>
      </w:r>
      <w:r w:rsidR="00874CEE">
        <w:t>w podziale na zasady WCAG na badanych stronach pozostałych</w:t>
      </w:r>
      <w:r w:rsidR="001C7585">
        <w:t xml:space="preserve"> instytucji</w:t>
      </w:r>
      <w:r w:rsidR="00063BEE">
        <w:t xml:space="preserve"> (próba 207)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4CEE" w14:paraId="704B702E" w14:textId="77777777" w:rsidTr="006643E7">
        <w:trPr>
          <w:tblHeader/>
        </w:trPr>
        <w:tc>
          <w:tcPr>
            <w:tcW w:w="3020" w:type="dxa"/>
            <w:shd w:val="clear" w:color="auto" w:fill="E7E6E6" w:themeFill="background2"/>
          </w:tcPr>
          <w:p w14:paraId="5DFA6071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Zasada WCAG</w:t>
            </w:r>
          </w:p>
        </w:tc>
        <w:tc>
          <w:tcPr>
            <w:tcW w:w="3021" w:type="dxa"/>
            <w:shd w:val="clear" w:color="auto" w:fill="E7E6E6" w:themeFill="background2"/>
          </w:tcPr>
          <w:p w14:paraId="6952BE9E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Liczba odpowiedzi</w:t>
            </w:r>
          </w:p>
        </w:tc>
        <w:tc>
          <w:tcPr>
            <w:tcW w:w="3021" w:type="dxa"/>
            <w:shd w:val="clear" w:color="auto" w:fill="E7E6E6" w:themeFill="background2"/>
          </w:tcPr>
          <w:p w14:paraId="26679EFF" w14:textId="77777777" w:rsidR="00874CEE" w:rsidRDefault="00874CEE" w:rsidP="005F189B">
            <w:pPr>
              <w:rPr>
                <w:b/>
              </w:rPr>
            </w:pPr>
            <w:r>
              <w:rPr>
                <w:b/>
              </w:rPr>
              <w:t>Procent odpowiedzi</w:t>
            </w:r>
          </w:p>
        </w:tc>
      </w:tr>
      <w:tr w:rsidR="00874CEE" w14:paraId="56A14716" w14:textId="77777777" w:rsidTr="005F189B">
        <w:tc>
          <w:tcPr>
            <w:tcW w:w="3020" w:type="dxa"/>
          </w:tcPr>
          <w:p w14:paraId="191B82DC" w14:textId="77777777" w:rsidR="00874CEE" w:rsidRPr="00F5250A" w:rsidRDefault="00874CEE" w:rsidP="005F189B">
            <w:r>
              <w:t>Postrzegalność</w:t>
            </w:r>
          </w:p>
        </w:tc>
        <w:tc>
          <w:tcPr>
            <w:tcW w:w="3021" w:type="dxa"/>
          </w:tcPr>
          <w:p w14:paraId="4F77E5FF" w14:textId="2FFB2134" w:rsidR="00874CEE" w:rsidRPr="008C73B0" w:rsidRDefault="00D50480" w:rsidP="005F189B">
            <w:r>
              <w:t>2630</w:t>
            </w:r>
          </w:p>
        </w:tc>
        <w:tc>
          <w:tcPr>
            <w:tcW w:w="3021" w:type="dxa"/>
          </w:tcPr>
          <w:p w14:paraId="45BF4AB1" w14:textId="41413A4B" w:rsidR="00874CEE" w:rsidRPr="008C73B0" w:rsidRDefault="00CA418D" w:rsidP="005F189B">
            <w:r>
              <w:t>35,4%</w:t>
            </w:r>
          </w:p>
        </w:tc>
      </w:tr>
      <w:tr w:rsidR="00874CEE" w14:paraId="278F5072" w14:textId="77777777" w:rsidTr="005F189B">
        <w:tc>
          <w:tcPr>
            <w:tcW w:w="3020" w:type="dxa"/>
          </w:tcPr>
          <w:p w14:paraId="0430E838" w14:textId="77777777" w:rsidR="00874CEE" w:rsidRPr="00F5250A" w:rsidRDefault="00874CEE" w:rsidP="005F189B">
            <w:r w:rsidRPr="00F5250A">
              <w:t>Funkcjonalność</w:t>
            </w:r>
          </w:p>
        </w:tc>
        <w:tc>
          <w:tcPr>
            <w:tcW w:w="3021" w:type="dxa"/>
          </w:tcPr>
          <w:p w14:paraId="63495BEC" w14:textId="50359AE9" w:rsidR="00874CEE" w:rsidRPr="008C73B0" w:rsidRDefault="00D50480" w:rsidP="005F189B">
            <w:r>
              <w:t>2458</w:t>
            </w:r>
          </w:p>
        </w:tc>
        <w:tc>
          <w:tcPr>
            <w:tcW w:w="3021" w:type="dxa"/>
          </w:tcPr>
          <w:p w14:paraId="105853B0" w14:textId="2D8E41D5" w:rsidR="00874CEE" w:rsidRPr="008C73B0" w:rsidRDefault="00CA418D" w:rsidP="005F189B">
            <w:r>
              <w:t>33,1%</w:t>
            </w:r>
          </w:p>
        </w:tc>
      </w:tr>
      <w:tr w:rsidR="00874CEE" w14:paraId="1BBAFBE0" w14:textId="77777777" w:rsidTr="005F189B">
        <w:tc>
          <w:tcPr>
            <w:tcW w:w="3020" w:type="dxa"/>
          </w:tcPr>
          <w:p w14:paraId="400DE028" w14:textId="77777777" w:rsidR="00874CEE" w:rsidRPr="00F5250A" w:rsidRDefault="00874CEE" w:rsidP="005F189B">
            <w:r w:rsidRPr="00F5250A">
              <w:t>Zrozumiałość</w:t>
            </w:r>
          </w:p>
        </w:tc>
        <w:tc>
          <w:tcPr>
            <w:tcW w:w="3021" w:type="dxa"/>
          </w:tcPr>
          <w:p w14:paraId="6F5D47F4" w14:textId="3384C060" w:rsidR="00874CEE" w:rsidRPr="008C73B0" w:rsidRDefault="00D50480" w:rsidP="005F189B">
            <w:r>
              <w:t>452</w:t>
            </w:r>
          </w:p>
        </w:tc>
        <w:tc>
          <w:tcPr>
            <w:tcW w:w="3021" w:type="dxa"/>
          </w:tcPr>
          <w:p w14:paraId="689E4B48" w14:textId="68929808" w:rsidR="00874CEE" w:rsidRPr="008C73B0" w:rsidRDefault="00CA418D" w:rsidP="005F189B">
            <w:r>
              <w:t>6,1%</w:t>
            </w:r>
          </w:p>
        </w:tc>
      </w:tr>
      <w:tr w:rsidR="00874CEE" w14:paraId="55366855" w14:textId="77777777" w:rsidTr="005F189B">
        <w:tc>
          <w:tcPr>
            <w:tcW w:w="3020" w:type="dxa"/>
          </w:tcPr>
          <w:p w14:paraId="6F5D775F" w14:textId="77777777" w:rsidR="00874CEE" w:rsidRPr="00F5250A" w:rsidRDefault="00874CEE" w:rsidP="005F189B">
            <w:r w:rsidRPr="00F5250A">
              <w:t>Kompatybilność</w:t>
            </w:r>
          </w:p>
        </w:tc>
        <w:tc>
          <w:tcPr>
            <w:tcW w:w="3021" w:type="dxa"/>
          </w:tcPr>
          <w:p w14:paraId="6FB95DC9" w14:textId="06D4F3A7" w:rsidR="00874CEE" w:rsidRPr="008C73B0" w:rsidRDefault="00D50480" w:rsidP="005F189B">
            <w:r>
              <w:t>1892</w:t>
            </w:r>
          </w:p>
        </w:tc>
        <w:tc>
          <w:tcPr>
            <w:tcW w:w="3021" w:type="dxa"/>
          </w:tcPr>
          <w:p w14:paraId="354FE5FA" w14:textId="46177A1F" w:rsidR="00874CEE" w:rsidRPr="008C73B0" w:rsidRDefault="00CA418D" w:rsidP="005F189B">
            <w:r>
              <w:t>25,4%</w:t>
            </w:r>
          </w:p>
        </w:tc>
      </w:tr>
    </w:tbl>
    <w:p w14:paraId="45558524" w14:textId="064614F0" w:rsidR="006643E7" w:rsidRDefault="004F0D5B" w:rsidP="006643E7">
      <w:r>
        <w:t>Błędy w poszczególnych zasadach WCAG dość spójnie rozkładają się we wszystkich badanych rodzajach stron</w:t>
      </w:r>
      <w:r w:rsidR="005F41F2">
        <w:t xml:space="preserve"> i są generalnie zbliżone do wyników łącznych</w:t>
      </w:r>
      <w:r>
        <w:t xml:space="preserve">. </w:t>
      </w:r>
      <w:r w:rsidR="005F41F2">
        <w:t xml:space="preserve">Największe odstępstwa od wyniku łącznego dotyczyły stron pozostałych instytucji. </w:t>
      </w:r>
    </w:p>
    <w:p w14:paraId="59AEC123" w14:textId="6FA1E37A" w:rsidR="008C73B0" w:rsidRDefault="00C50784" w:rsidP="00CA418D">
      <w:pPr>
        <w:pStyle w:val="Nagwek3"/>
      </w:pPr>
      <w:r>
        <w:t xml:space="preserve">Błędy </w:t>
      </w:r>
      <w:r w:rsidR="008C73B0">
        <w:t>w podziale na kryteria WCAG</w:t>
      </w:r>
      <w:r>
        <w:t xml:space="preserve"> </w:t>
      </w:r>
      <w:r w:rsidR="000A64A9">
        <w:t xml:space="preserve">na badanych stronach </w:t>
      </w:r>
      <w:r>
        <w:t>łą</w:t>
      </w:r>
      <w:r w:rsidR="000A64A9">
        <w:t>cznie</w:t>
      </w:r>
      <w:r w:rsidR="00C3434A">
        <w:t xml:space="preserve"> (próba 835)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C73B0" w14:paraId="64C245BF" w14:textId="77777777" w:rsidTr="006643E7">
        <w:trPr>
          <w:tblHeader/>
        </w:trPr>
        <w:tc>
          <w:tcPr>
            <w:tcW w:w="3020" w:type="dxa"/>
            <w:shd w:val="clear" w:color="auto" w:fill="E7E6E6" w:themeFill="background2"/>
          </w:tcPr>
          <w:p w14:paraId="3D644024" w14:textId="27A3E285" w:rsidR="008C73B0" w:rsidRDefault="008C73B0" w:rsidP="008C73B0">
            <w:pPr>
              <w:rPr>
                <w:b/>
              </w:rPr>
            </w:pPr>
            <w:r>
              <w:rPr>
                <w:b/>
              </w:rPr>
              <w:t>Kryterium WCAG</w:t>
            </w:r>
          </w:p>
        </w:tc>
        <w:tc>
          <w:tcPr>
            <w:tcW w:w="3021" w:type="dxa"/>
            <w:shd w:val="clear" w:color="auto" w:fill="E7E6E6" w:themeFill="background2"/>
          </w:tcPr>
          <w:p w14:paraId="49FD8703" w14:textId="77777777" w:rsidR="008C73B0" w:rsidRDefault="008C73B0" w:rsidP="003A6E0A">
            <w:pPr>
              <w:rPr>
                <w:b/>
              </w:rPr>
            </w:pPr>
            <w:r>
              <w:rPr>
                <w:b/>
              </w:rPr>
              <w:t>Liczba odpowiedzi</w:t>
            </w:r>
          </w:p>
        </w:tc>
        <w:tc>
          <w:tcPr>
            <w:tcW w:w="3021" w:type="dxa"/>
            <w:shd w:val="clear" w:color="auto" w:fill="E7E6E6" w:themeFill="background2"/>
          </w:tcPr>
          <w:p w14:paraId="1E314F77" w14:textId="77777777" w:rsidR="008C73B0" w:rsidRDefault="008C73B0" w:rsidP="003A6E0A">
            <w:pPr>
              <w:rPr>
                <w:b/>
              </w:rPr>
            </w:pPr>
            <w:r>
              <w:rPr>
                <w:b/>
              </w:rPr>
              <w:t>Procent odpowiedzi</w:t>
            </w:r>
          </w:p>
        </w:tc>
      </w:tr>
      <w:tr w:rsidR="008C73B0" w14:paraId="4A3D9BEA" w14:textId="77777777" w:rsidTr="003A6E0A">
        <w:tc>
          <w:tcPr>
            <w:tcW w:w="3020" w:type="dxa"/>
          </w:tcPr>
          <w:p w14:paraId="0BFA8F19" w14:textId="53344F25" w:rsidR="008C73B0" w:rsidRPr="00F5250A" w:rsidRDefault="008C73B0" w:rsidP="008C73B0">
            <w:r w:rsidRPr="00DD6CED">
              <w:t>1.1.1 Treść nietekstowa</w:t>
            </w:r>
          </w:p>
        </w:tc>
        <w:tc>
          <w:tcPr>
            <w:tcW w:w="3021" w:type="dxa"/>
          </w:tcPr>
          <w:p w14:paraId="26507C56" w14:textId="20FAFBAB" w:rsidR="008C73B0" w:rsidRPr="008C73B0" w:rsidRDefault="008C73B0" w:rsidP="008C73B0">
            <w:r>
              <w:t>3356</w:t>
            </w:r>
          </w:p>
        </w:tc>
        <w:tc>
          <w:tcPr>
            <w:tcW w:w="3021" w:type="dxa"/>
          </w:tcPr>
          <w:p w14:paraId="78BEC94E" w14:textId="5CE566F7" w:rsidR="008C73B0" w:rsidRPr="008C73B0" w:rsidRDefault="00231EB9" w:rsidP="008C73B0">
            <w:r>
              <w:t>11,4%</w:t>
            </w:r>
          </w:p>
        </w:tc>
      </w:tr>
      <w:tr w:rsidR="008C73B0" w14:paraId="1F6CA25F" w14:textId="77777777" w:rsidTr="003A6E0A">
        <w:tc>
          <w:tcPr>
            <w:tcW w:w="3020" w:type="dxa"/>
          </w:tcPr>
          <w:p w14:paraId="38932D1C" w14:textId="0E18401E" w:rsidR="008C73B0" w:rsidRPr="00F5250A" w:rsidRDefault="008C73B0" w:rsidP="008C73B0">
            <w:r w:rsidRPr="00DD6CED">
              <w:t>1.2.1 Tylko audio lub tylko wideo (nagranie)</w:t>
            </w:r>
          </w:p>
        </w:tc>
        <w:tc>
          <w:tcPr>
            <w:tcW w:w="3021" w:type="dxa"/>
          </w:tcPr>
          <w:p w14:paraId="0136617E" w14:textId="57958525" w:rsidR="008C73B0" w:rsidRPr="008C73B0" w:rsidRDefault="008C73B0" w:rsidP="008C73B0">
            <w:r>
              <w:t>311</w:t>
            </w:r>
          </w:p>
        </w:tc>
        <w:tc>
          <w:tcPr>
            <w:tcW w:w="3021" w:type="dxa"/>
          </w:tcPr>
          <w:p w14:paraId="1E46DBD8" w14:textId="783D25F0" w:rsidR="008C73B0" w:rsidRPr="008C73B0" w:rsidRDefault="00231EB9" w:rsidP="008C73B0">
            <w:r>
              <w:t>1,1%</w:t>
            </w:r>
          </w:p>
        </w:tc>
      </w:tr>
      <w:tr w:rsidR="008C73B0" w14:paraId="7C372566" w14:textId="77777777" w:rsidTr="003A6E0A">
        <w:tc>
          <w:tcPr>
            <w:tcW w:w="3020" w:type="dxa"/>
          </w:tcPr>
          <w:p w14:paraId="259DDEA2" w14:textId="372D31BF" w:rsidR="008C73B0" w:rsidRPr="00F5250A" w:rsidRDefault="008C73B0" w:rsidP="008C73B0">
            <w:r w:rsidRPr="00DD6CED">
              <w:t>1.3.1 Informacje i relacje</w:t>
            </w:r>
          </w:p>
        </w:tc>
        <w:tc>
          <w:tcPr>
            <w:tcW w:w="3021" w:type="dxa"/>
          </w:tcPr>
          <w:p w14:paraId="3472ACF4" w14:textId="1E21B4DC" w:rsidR="008C73B0" w:rsidRPr="008C73B0" w:rsidRDefault="008C73B0" w:rsidP="008C73B0">
            <w:r>
              <w:t>3956</w:t>
            </w:r>
          </w:p>
        </w:tc>
        <w:tc>
          <w:tcPr>
            <w:tcW w:w="3021" w:type="dxa"/>
          </w:tcPr>
          <w:p w14:paraId="2E61E266" w14:textId="4B677B77" w:rsidR="008C73B0" w:rsidRPr="008C73B0" w:rsidRDefault="00231EB9" w:rsidP="008C73B0">
            <w:r>
              <w:t>13,5%</w:t>
            </w:r>
          </w:p>
        </w:tc>
      </w:tr>
      <w:tr w:rsidR="008C73B0" w14:paraId="030F2F23" w14:textId="77777777" w:rsidTr="003A6E0A">
        <w:tc>
          <w:tcPr>
            <w:tcW w:w="3020" w:type="dxa"/>
          </w:tcPr>
          <w:p w14:paraId="276BB44C" w14:textId="5BDA2D6C" w:rsidR="008C73B0" w:rsidRPr="00F5250A" w:rsidRDefault="008C73B0" w:rsidP="008C73B0">
            <w:r w:rsidRPr="00DD6CED">
              <w:t>1.3.2 Zrozumiała kolejność</w:t>
            </w:r>
          </w:p>
        </w:tc>
        <w:tc>
          <w:tcPr>
            <w:tcW w:w="3021" w:type="dxa"/>
          </w:tcPr>
          <w:p w14:paraId="69F07F34" w14:textId="0E241C4A" w:rsidR="008C73B0" w:rsidRPr="008C73B0" w:rsidRDefault="008C73B0" w:rsidP="008C73B0">
            <w:r>
              <w:t>576</w:t>
            </w:r>
          </w:p>
        </w:tc>
        <w:tc>
          <w:tcPr>
            <w:tcW w:w="3021" w:type="dxa"/>
          </w:tcPr>
          <w:p w14:paraId="4A4CE58D" w14:textId="652EC853" w:rsidR="008C73B0" w:rsidRPr="008C73B0" w:rsidRDefault="00231EB9" w:rsidP="008C73B0">
            <w:r>
              <w:t>2%</w:t>
            </w:r>
          </w:p>
        </w:tc>
      </w:tr>
      <w:tr w:rsidR="008C73B0" w14:paraId="517F0950" w14:textId="77777777" w:rsidTr="003A6E0A">
        <w:tc>
          <w:tcPr>
            <w:tcW w:w="3020" w:type="dxa"/>
          </w:tcPr>
          <w:p w14:paraId="6AA2C768" w14:textId="0C49989B" w:rsidR="008C73B0" w:rsidRPr="00F5250A" w:rsidRDefault="008C73B0" w:rsidP="008C73B0">
            <w:r w:rsidRPr="00DD6CED">
              <w:lastRenderedPageBreak/>
              <w:t>1.3.5 Określenie pożądanej wartości</w:t>
            </w:r>
          </w:p>
        </w:tc>
        <w:tc>
          <w:tcPr>
            <w:tcW w:w="3021" w:type="dxa"/>
          </w:tcPr>
          <w:p w14:paraId="01C8C111" w14:textId="1A5DF77C" w:rsidR="008C73B0" w:rsidRPr="008C73B0" w:rsidRDefault="008C73B0" w:rsidP="008C73B0">
            <w:r>
              <w:t>39</w:t>
            </w:r>
          </w:p>
        </w:tc>
        <w:tc>
          <w:tcPr>
            <w:tcW w:w="3021" w:type="dxa"/>
          </w:tcPr>
          <w:p w14:paraId="0DA36C51" w14:textId="6C753713" w:rsidR="008C73B0" w:rsidRPr="008C73B0" w:rsidRDefault="00231EB9" w:rsidP="008C73B0">
            <w:r>
              <w:t>0,1%</w:t>
            </w:r>
          </w:p>
        </w:tc>
      </w:tr>
      <w:tr w:rsidR="008C73B0" w14:paraId="29C505C0" w14:textId="77777777" w:rsidTr="003A6E0A">
        <w:tc>
          <w:tcPr>
            <w:tcW w:w="3020" w:type="dxa"/>
          </w:tcPr>
          <w:p w14:paraId="44BDFC9E" w14:textId="7E70379D" w:rsidR="008C73B0" w:rsidRPr="00F5250A" w:rsidRDefault="008C73B0" w:rsidP="008C73B0">
            <w:r w:rsidRPr="00DD6CED">
              <w:t>1.4.1 Użycie koloru</w:t>
            </w:r>
          </w:p>
        </w:tc>
        <w:tc>
          <w:tcPr>
            <w:tcW w:w="3021" w:type="dxa"/>
          </w:tcPr>
          <w:p w14:paraId="479108F9" w14:textId="21EC1728" w:rsidR="008C73B0" w:rsidRPr="008C73B0" w:rsidRDefault="008C73B0" w:rsidP="008C73B0">
            <w:r>
              <w:t>260</w:t>
            </w:r>
          </w:p>
        </w:tc>
        <w:tc>
          <w:tcPr>
            <w:tcW w:w="3021" w:type="dxa"/>
          </w:tcPr>
          <w:p w14:paraId="22120E8D" w14:textId="35A8D6A1" w:rsidR="008C73B0" w:rsidRPr="008C73B0" w:rsidRDefault="00231EB9" w:rsidP="008C73B0">
            <w:r>
              <w:t>0,9%</w:t>
            </w:r>
          </w:p>
        </w:tc>
      </w:tr>
      <w:tr w:rsidR="008C73B0" w14:paraId="4535A40B" w14:textId="77777777" w:rsidTr="003A6E0A">
        <w:tc>
          <w:tcPr>
            <w:tcW w:w="3020" w:type="dxa"/>
          </w:tcPr>
          <w:p w14:paraId="067A5804" w14:textId="321282EA" w:rsidR="008C73B0" w:rsidRPr="00F5250A" w:rsidRDefault="008C73B0" w:rsidP="008C73B0">
            <w:r w:rsidRPr="00DD6CED">
              <w:t>1.4.3 Kontrast (minimum)</w:t>
            </w:r>
          </w:p>
        </w:tc>
        <w:tc>
          <w:tcPr>
            <w:tcW w:w="3021" w:type="dxa"/>
          </w:tcPr>
          <w:p w14:paraId="1E8F4CF3" w14:textId="79411B77" w:rsidR="008C73B0" w:rsidRPr="008C73B0" w:rsidRDefault="008C73B0" w:rsidP="008C73B0">
            <w:r>
              <w:t>732</w:t>
            </w:r>
          </w:p>
        </w:tc>
        <w:tc>
          <w:tcPr>
            <w:tcW w:w="3021" w:type="dxa"/>
          </w:tcPr>
          <w:p w14:paraId="7A87C24B" w14:textId="658B87B0" w:rsidR="008C73B0" w:rsidRPr="008C73B0" w:rsidRDefault="00231EB9" w:rsidP="008C73B0">
            <w:r>
              <w:t>2,5%</w:t>
            </w:r>
          </w:p>
        </w:tc>
      </w:tr>
      <w:tr w:rsidR="008C73B0" w14:paraId="79247403" w14:textId="77777777" w:rsidTr="003A6E0A">
        <w:tc>
          <w:tcPr>
            <w:tcW w:w="3020" w:type="dxa"/>
          </w:tcPr>
          <w:p w14:paraId="35E309F2" w14:textId="0B350EAC" w:rsidR="008C73B0" w:rsidRPr="00F5250A" w:rsidRDefault="008C73B0" w:rsidP="008C73B0">
            <w:r w:rsidRPr="00DD6CED">
              <w:t>1.4.4 Zmiana rozmiaru tekstu</w:t>
            </w:r>
          </w:p>
        </w:tc>
        <w:tc>
          <w:tcPr>
            <w:tcW w:w="3021" w:type="dxa"/>
          </w:tcPr>
          <w:p w14:paraId="62015B7C" w14:textId="51C79E70" w:rsidR="008C73B0" w:rsidRPr="008C73B0" w:rsidRDefault="008C73B0" w:rsidP="008C73B0">
            <w:r>
              <w:t>342</w:t>
            </w:r>
          </w:p>
        </w:tc>
        <w:tc>
          <w:tcPr>
            <w:tcW w:w="3021" w:type="dxa"/>
          </w:tcPr>
          <w:p w14:paraId="691F8454" w14:textId="486F7038" w:rsidR="008C73B0" w:rsidRPr="008C73B0" w:rsidRDefault="00CE4A00" w:rsidP="008C73B0">
            <w:r>
              <w:t>1,2%</w:t>
            </w:r>
          </w:p>
        </w:tc>
      </w:tr>
      <w:tr w:rsidR="008C73B0" w14:paraId="43E11827" w14:textId="77777777" w:rsidTr="003A6E0A">
        <w:tc>
          <w:tcPr>
            <w:tcW w:w="3020" w:type="dxa"/>
          </w:tcPr>
          <w:p w14:paraId="06838DB5" w14:textId="0D8090CA" w:rsidR="008C73B0" w:rsidRPr="00F5250A" w:rsidRDefault="008C73B0" w:rsidP="008C73B0">
            <w:r w:rsidRPr="00DD6CED">
              <w:t>1.4.11 Kontrast elementów nietekstowych</w:t>
            </w:r>
          </w:p>
        </w:tc>
        <w:tc>
          <w:tcPr>
            <w:tcW w:w="3021" w:type="dxa"/>
          </w:tcPr>
          <w:p w14:paraId="7FDFFA8B" w14:textId="7216126A" w:rsidR="008C73B0" w:rsidRPr="008C73B0" w:rsidRDefault="008C73B0" w:rsidP="008C73B0">
            <w:r>
              <w:t>9</w:t>
            </w:r>
          </w:p>
        </w:tc>
        <w:tc>
          <w:tcPr>
            <w:tcW w:w="3021" w:type="dxa"/>
          </w:tcPr>
          <w:p w14:paraId="4E9BA3A0" w14:textId="4DC6D767" w:rsidR="008C73B0" w:rsidRPr="008C73B0" w:rsidRDefault="00CE4A00" w:rsidP="008C73B0">
            <w:r>
              <w:t>0,03%</w:t>
            </w:r>
          </w:p>
        </w:tc>
      </w:tr>
      <w:tr w:rsidR="008C73B0" w14:paraId="5FCD8A37" w14:textId="77777777" w:rsidTr="003A6E0A">
        <w:tc>
          <w:tcPr>
            <w:tcW w:w="3020" w:type="dxa"/>
          </w:tcPr>
          <w:p w14:paraId="57A98E0E" w14:textId="183F409F" w:rsidR="008C73B0" w:rsidRPr="00F5250A" w:rsidRDefault="008C73B0" w:rsidP="008C73B0">
            <w:r w:rsidRPr="00DD6CED">
              <w:t>2.1.1 Klawiatura</w:t>
            </w:r>
          </w:p>
        </w:tc>
        <w:tc>
          <w:tcPr>
            <w:tcW w:w="3021" w:type="dxa"/>
          </w:tcPr>
          <w:p w14:paraId="1EBB9D4F" w14:textId="53CD63A5" w:rsidR="008C73B0" w:rsidRPr="008C73B0" w:rsidRDefault="008C73B0" w:rsidP="008C73B0">
            <w:r>
              <w:t>812</w:t>
            </w:r>
          </w:p>
        </w:tc>
        <w:tc>
          <w:tcPr>
            <w:tcW w:w="3021" w:type="dxa"/>
          </w:tcPr>
          <w:p w14:paraId="1E8E9A98" w14:textId="6D3E12F5" w:rsidR="008C73B0" w:rsidRPr="008C73B0" w:rsidRDefault="00CE4A00" w:rsidP="008C73B0">
            <w:r>
              <w:t>2,8%</w:t>
            </w:r>
          </w:p>
        </w:tc>
      </w:tr>
      <w:tr w:rsidR="008C73B0" w14:paraId="50940146" w14:textId="77777777" w:rsidTr="003A6E0A">
        <w:tc>
          <w:tcPr>
            <w:tcW w:w="3020" w:type="dxa"/>
          </w:tcPr>
          <w:p w14:paraId="6B3C4761" w14:textId="4D9EBFD2" w:rsidR="008C73B0" w:rsidRPr="00F5250A" w:rsidRDefault="008C73B0" w:rsidP="008C73B0">
            <w:r w:rsidRPr="00DD6CED">
              <w:t>2.2.1 Dostosowanie czasu</w:t>
            </w:r>
          </w:p>
        </w:tc>
        <w:tc>
          <w:tcPr>
            <w:tcW w:w="3021" w:type="dxa"/>
          </w:tcPr>
          <w:p w14:paraId="028B478F" w14:textId="09748397" w:rsidR="008C73B0" w:rsidRPr="008C73B0" w:rsidRDefault="008C73B0" w:rsidP="008C73B0">
            <w:r>
              <w:t>12</w:t>
            </w:r>
          </w:p>
        </w:tc>
        <w:tc>
          <w:tcPr>
            <w:tcW w:w="3021" w:type="dxa"/>
          </w:tcPr>
          <w:p w14:paraId="3444DB0B" w14:textId="62BC325D" w:rsidR="008C73B0" w:rsidRPr="008C73B0" w:rsidRDefault="00CE4A00" w:rsidP="008C73B0">
            <w:r>
              <w:t>0,04%</w:t>
            </w:r>
          </w:p>
        </w:tc>
      </w:tr>
      <w:tr w:rsidR="008C73B0" w14:paraId="15B86DDF" w14:textId="77777777" w:rsidTr="003A6E0A">
        <w:tc>
          <w:tcPr>
            <w:tcW w:w="3020" w:type="dxa"/>
          </w:tcPr>
          <w:p w14:paraId="5901C7D3" w14:textId="5E31ADA2" w:rsidR="008C73B0" w:rsidRPr="00F5250A" w:rsidRDefault="008C73B0" w:rsidP="008C73B0">
            <w:r w:rsidRPr="00DD6CED">
              <w:t>2.2.2 Pauza, zatrzymanie, ukrycie</w:t>
            </w:r>
          </w:p>
        </w:tc>
        <w:tc>
          <w:tcPr>
            <w:tcW w:w="3021" w:type="dxa"/>
          </w:tcPr>
          <w:p w14:paraId="345BCAFC" w14:textId="55E8F8BE" w:rsidR="008C73B0" w:rsidRPr="008C73B0" w:rsidRDefault="008C73B0" w:rsidP="008C73B0">
            <w:r>
              <w:t>208</w:t>
            </w:r>
          </w:p>
        </w:tc>
        <w:tc>
          <w:tcPr>
            <w:tcW w:w="3021" w:type="dxa"/>
          </w:tcPr>
          <w:p w14:paraId="4086FD83" w14:textId="34D2E233" w:rsidR="008C73B0" w:rsidRPr="008C73B0" w:rsidRDefault="00CE4A00" w:rsidP="008C73B0">
            <w:r>
              <w:t>0,7%</w:t>
            </w:r>
          </w:p>
        </w:tc>
      </w:tr>
      <w:tr w:rsidR="008C73B0" w14:paraId="64308EFE" w14:textId="77777777" w:rsidTr="003A6E0A">
        <w:tc>
          <w:tcPr>
            <w:tcW w:w="3020" w:type="dxa"/>
          </w:tcPr>
          <w:p w14:paraId="5F5BD156" w14:textId="32DF1198" w:rsidR="008C73B0" w:rsidRPr="00F5250A" w:rsidRDefault="008C73B0" w:rsidP="008C73B0">
            <w:r w:rsidRPr="00DD6CED">
              <w:t>2.3.1 Trzy błyski lub wartość poniżej progu</w:t>
            </w:r>
          </w:p>
        </w:tc>
        <w:tc>
          <w:tcPr>
            <w:tcW w:w="3021" w:type="dxa"/>
          </w:tcPr>
          <w:p w14:paraId="607ABB77" w14:textId="659B7666" w:rsidR="008C73B0" w:rsidRPr="008C73B0" w:rsidRDefault="008C73B0" w:rsidP="008C73B0">
            <w:r>
              <w:t>17</w:t>
            </w:r>
          </w:p>
        </w:tc>
        <w:tc>
          <w:tcPr>
            <w:tcW w:w="3021" w:type="dxa"/>
          </w:tcPr>
          <w:p w14:paraId="5F769B4C" w14:textId="1BF5B113" w:rsidR="008C73B0" w:rsidRPr="008C73B0" w:rsidRDefault="00CE4A00" w:rsidP="008C73B0">
            <w:r>
              <w:t>0,06%</w:t>
            </w:r>
          </w:p>
        </w:tc>
      </w:tr>
      <w:tr w:rsidR="008C73B0" w14:paraId="65B5D821" w14:textId="77777777" w:rsidTr="003A6E0A">
        <w:tc>
          <w:tcPr>
            <w:tcW w:w="3020" w:type="dxa"/>
          </w:tcPr>
          <w:p w14:paraId="35EAA50E" w14:textId="32B2C3B8" w:rsidR="008C73B0" w:rsidRPr="00F5250A" w:rsidRDefault="008C73B0" w:rsidP="008C73B0">
            <w:r w:rsidRPr="00DD6CED">
              <w:t>2.4.1 Możliwość pominięcia bloków</w:t>
            </w:r>
          </w:p>
        </w:tc>
        <w:tc>
          <w:tcPr>
            <w:tcW w:w="3021" w:type="dxa"/>
          </w:tcPr>
          <w:p w14:paraId="05CACA74" w14:textId="181A1E0B" w:rsidR="008C73B0" w:rsidRPr="008C73B0" w:rsidRDefault="008C73B0" w:rsidP="008C73B0">
            <w:r>
              <w:t>1238</w:t>
            </w:r>
          </w:p>
        </w:tc>
        <w:tc>
          <w:tcPr>
            <w:tcW w:w="3021" w:type="dxa"/>
          </w:tcPr>
          <w:p w14:paraId="4FC578BD" w14:textId="29541F6A" w:rsidR="008C73B0" w:rsidRPr="008C73B0" w:rsidRDefault="00CE4A00" w:rsidP="008C73B0">
            <w:r>
              <w:t>4,2%</w:t>
            </w:r>
          </w:p>
        </w:tc>
      </w:tr>
      <w:tr w:rsidR="008C73B0" w14:paraId="6465A5DF" w14:textId="77777777" w:rsidTr="003A6E0A">
        <w:tc>
          <w:tcPr>
            <w:tcW w:w="3020" w:type="dxa"/>
          </w:tcPr>
          <w:p w14:paraId="0C31524B" w14:textId="0F0B38F9" w:rsidR="008C73B0" w:rsidRPr="00F5250A" w:rsidRDefault="008C73B0" w:rsidP="008C73B0">
            <w:r w:rsidRPr="00DD6CED">
              <w:t>2.4.2 Tytuły stron</w:t>
            </w:r>
          </w:p>
        </w:tc>
        <w:tc>
          <w:tcPr>
            <w:tcW w:w="3021" w:type="dxa"/>
          </w:tcPr>
          <w:p w14:paraId="5B2EB4BA" w14:textId="3CFF508E" w:rsidR="008C73B0" w:rsidRPr="008C73B0" w:rsidRDefault="008C73B0" w:rsidP="008C73B0">
            <w:r>
              <w:t>1285</w:t>
            </w:r>
          </w:p>
        </w:tc>
        <w:tc>
          <w:tcPr>
            <w:tcW w:w="3021" w:type="dxa"/>
          </w:tcPr>
          <w:p w14:paraId="29D8273A" w14:textId="65AFBE88" w:rsidR="008C73B0" w:rsidRPr="008C73B0" w:rsidRDefault="00CE4A00" w:rsidP="008C73B0">
            <w:r>
              <w:t>4,4%</w:t>
            </w:r>
          </w:p>
        </w:tc>
      </w:tr>
      <w:tr w:rsidR="008C73B0" w14:paraId="02BA87F6" w14:textId="77777777" w:rsidTr="003A6E0A">
        <w:tc>
          <w:tcPr>
            <w:tcW w:w="3020" w:type="dxa"/>
          </w:tcPr>
          <w:p w14:paraId="2A9958FE" w14:textId="3C9554BD" w:rsidR="008C73B0" w:rsidRPr="00F5250A" w:rsidRDefault="008C73B0" w:rsidP="008C73B0">
            <w:r w:rsidRPr="00DD6CED">
              <w:t>2.4.3 Kolejność fokusu</w:t>
            </w:r>
          </w:p>
        </w:tc>
        <w:tc>
          <w:tcPr>
            <w:tcW w:w="3021" w:type="dxa"/>
          </w:tcPr>
          <w:p w14:paraId="57F7E136" w14:textId="29C23925" w:rsidR="008C73B0" w:rsidRPr="008C73B0" w:rsidRDefault="008C73B0" w:rsidP="008C73B0">
            <w:r>
              <w:t>52</w:t>
            </w:r>
          </w:p>
        </w:tc>
        <w:tc>
          <w:tcPr>
            <w:tcW w:w="3021" w:type="dxa"/>
          </w:tcPr>
          <w:p w14:paraId="5B87C5C2" w14:textId="3E6071B9" w:rsidR="008C73B0" w:rsidRPr="008C73B0" w:rsidRDefault="00CE4A00" w:rsidP="008C73B0">
            <w:r>
              <w:t>0,2%</w:t>
            </w:r>
          </w:p>
        </w:tc>
      </w:tr>
      <w:tr w:rsidR="008C73B0" w14:paraId="7E4A2385" w14:textId="77777777" w:rsidTr="003A6E0A">
        <w:tc>
          <w:tcPr>
            <w:tcW w:w="3020" w:type="dxa"/>
          </w:tcPr>
          <w:p w14:paraId="48FE8BBC" w14:textId="47E0BDE9" w:rsidR="008C73B0" w:rsidRPr="00F5250A" w:rsidRDefault="008C73B0" w:rsidP="008C73B0">
            <w:r w:rsidRPr="00DD6CED">
              <w:t>2.4.4 Cel łącza (w kontekście)</w:t>
            </w:r>
          </w:p>
        </w:tc>
        <w:tc>
          <w:tcPr>
            <w:tcW w:w="3021" w:type="dxa"/>
          </w:tcPr>
          <w:p w14:paraId="68437AF2" w14:textId="1B1706F4" w:rsidR="008C73B0" w:rsidRPr="008C73B0" w:rsidRDefault="008C73B0" w:rsidP="008C73B0">
            <w:r>
              <w:t>3081</w:t>
            </w:r>
          </w:p>
        </w:tc>
        <w:tc>
          <w:tcPr>
            <w:tcW w:w="3021" w:type="dxa"/>
          </w:tcPr>
          <w:p w14:paraId="7FD089F9" w14:textId="77DB3F86" w:rsidR="008C73B0" w:rsidRPr="008C73B0" w:rsidRDefault="00CE4A00" w:rsidP="008C73B0">
            <w:r>
              <w:t>10,5%</w:t>
            </w:r>
          </w:p>
        </w:tc>
      </w:tr>
      <w:tr w:rsidR="008C73B0" w14:paraId="23ABE9B3" w14:textId="77777777" w:rsidTr="003A6E0A">
        <w:tc>
          <w:tcPr>
            <w:tcW w:w="3020" w:type="dxa"/>
          </w:tcPr>
          <w:p w14:paraId="7D418E23" w14:textId="13E27907" w:rsidR="008C73B0" w:rsidRPr="00F5250A" w:rsidRDefault="008C73B0" w:rsidP="008C73B0">
            <w:r w:rsidRPr="00DD6CED">
              <w:t>2.4.5 Wiele dróg</w:t>
            </w:r>
          </w:p>
        </w:tc>
        <w:tc>
          <w:tcPr>
            <w:tcW w:w="3021" w:type="dxa"/>
          </w:tcPr>
          <w:p w14:paraId="56F6D969" w14:textId="5D726F31" w:rsidR="008C73B0" w:rsidRPr="008C73B0" w:rsidRDefault="008C73B0" w:rsidP="008C73B0">
            <w:r>
              <w:t>12</w:t>
            </w:r>
          </w:p>
        </w:tc>
        <w:tc>
          <w:tcPr>
            <w:tcW w:w="3021" w:type="dxa"/>
          </w:tcPr>
          <w:p w14:paraId="56FF855B" w14:textId="57BB9777" w:rsidR="008C73B0" w:rsidRPr="008C73B0" w:rsidRDefault="00CE4A00" w:rsidP="008C73B0">
            <w:r>
              <w:t>0,04%</w:t>
            </w:r>
          </w:p>
        </w:tc>
      </w:tr>
      <w:tr w:rsidR="008C73B0" w14:paraId="5C49A5BE" w14:textId="77777777" w:rsidTr="003A6E0A">
        <w:tc>
          <w:tcPr>
            <w:tcW w:w="3020" w:type="dxa"/>
          </w:tcPr>
          <w:p w14:paraId="3A470F5F" w14:textId="7249ABCD" w:rsidR="008C73B0" w:rsidRPr="00F5250A" w:rsidRDefault="008C73B0" w:rsidP="008C73B0">
            <w:r w:rsidRPr="00DD6CED">
              <w:t>2.4.6 Nagłówki i etykiety</w:t>
            </w:r>
          </w:p>
        </w:tc>
        <w:tc>
          <w:tcPr>
            <w:tcW w:w="3021" w:type="dxa"/>
          </w:tcPr>
          <w:p w14:paraId="53257139" w14:textId="0A209F9E" w:rsidR="008C73B0" w:rsidRPr="008C73B0" w:rsidRDefault="008C73B0" w:rsidP="008C73B0">
            <w:r>
              <w:t>1673</w:t>
            </w:r>
          </w:p>
        </w:tc>
        <w:tc>
          <w:tcPr>
            <w:tcW w:w="3021" w:type="dxa"/>
          </w:tcPr>
          <w:p w14:paraId="5E757D02" w14:textId="11631321" w:rsidR="008C73B0" w:rsidRPr="008C73B0" w:rsidRDefault="00CE4A00" w:rsidP="008C73B0">
            <w:r>
              <w:t>5,7%</w:t>
            </w:r>
          </w:p>
        </w:tc>
      </w:tr>
      <w:tr w:rsidR="008C73B0" w14:paraId="0DBEE04E" w14:textId="77777777" w:rsidTr="003A6E0A">
        <w:tc>
          <w:tcPr>
            <w:tcW w:w="3020" w:type="dxa"/>
          </w:tcPr>
          <w:p w14:paraId="10685912" w14:textId="0F50C266" w:rsidR="008C73B0" w:rsidRPr="00F5250A" w:rsidRDefault="008C73B0" w:rsidP="008C73B0">
            <w:r w:rsidRPr="00DD6CED">
              <w:t>2.4.7 Widoczny fokus</w:t>
            </w:r>
          </w:p>
        </w:tc>
        <w:tc>
          <w:tcPr>
            <w:tcW w:w="3021" w:type="dxa"/>
          </w:tcPr>
          <w:p w14:paraId="0E2DC25C" w14:textId="20982AB2" w:rsidR="008C73B0" w:rsidRPr="008C73B0" w:rsidRDefault="008C73B0" w:rsidP="008C73B0">
            <w:r>
              <w:t>1085</w:t>
            </w:r>
          </w:p>
        </w:tc>
        <w:tc>
          <w:tcPr>
            <w:tcW w:w="3021" w:type="dxa"/>
          </w:tcPr>
          <w:p w14:paraId="0C860D74" w14:textId="0B6BA104" w:rsidR="008C73B0" w:rsidRPr="008C73B0" w:rsidRDefault="00CE4A00" w:rsidP="008C73B0">
            <w:r>
              <w:t>3,7%</w:t>
            </w:r>
          </w:p>
        </w:tc>
      </w:tr>
      <w:tr w:rsidR="008C73B0" w14:paraId="2D45FAA5" w14:textId="77777777" w:rsidTr="003A6E0A">
        <w:tc>
          <w:tcPr>
            <w:tcW w:w="3020" w:type="dxa"/>
          </w:tcPr>
          <w:p w14:paraId="6EAFB68C" w14:textId="283E7E53" w:rsidR="008C73B0" w:rsidRPr="00F5250A" w:rsidRDefault="008C73B0" w:rsidP="008C73B0">
            <w:r w:rsidRPr="00DD6CED">
              <w:t>2.5.3 Etykieta w nazwie</w:t>
            </w:r>
          </w:p>
        </w:tc>
        <w:tc>
          <w:tcPr>
            <w:tcW w:w="3021" w:type="dxa"/>
          </w:tcPr>
          <w:p w14:paraId="65FB0B1F" w14:textId="08AAAE48" w:rsidR="008C73B0" w:rsidRPr="008C73B0" w:rsidRDefault="008C73B0" w:rsidP="008C73B0">
            <w:r>
              <w:t>298</w:t>
            </w:r>
          </w:p>
        </w:tc>
        <w:tc>
          <w:tcPr>
            <w:tcW w:w="3021" w:type="dxa"/>
          </w:tcPr>
          <w:p w14:paraId="6AE6A49D" w14:textId="77E75BE2" w:rsidR="008C73B0" w:rsidRPr="008C73B0" w:rsidRDefault="00CE4A00" w:rsidP="008C73B0">
            <w:r>
              <w:t>1%</w:t>
            </w:r>
          </w:p>
        </w:tc>
      </w:tr>
      <w:tr w:rsidR="008C73B0" w14:paraId="465DE0BA" w14:textId="77777777" w:rsidTr="003A6E0A">
        <w:tc>
          <w:tcPr>
            <w:tcW w:w="3020" w:type="dxa"/>
          </w:tcPr>
          <w:p w14:paraId="70AD5D16" w14:textId="008103A2" w:rsidR="008C73B0" w:rsidRPr="00F5250A" w:rsidRDefault="008C73B0" w:rsidP="008C73B0">
            <w:r w:rsidRPr="00DD6CED">
              <w:t>3.1.1 Język strony</w:t>
            </w:r>
          </w:p>
        </w:tc>
        <w:tc>
          <w:tcPr>
            <w:tcW w:w="3021" w:type="dxa"/>
          </w:tcPr>
          <w:p w14:paraId="45D90A54" w14:textId="16ECBBCD" w:rsidR="008C73B0" w:rsidRPr="008C73B0" w:rsidRDefault="008C73B0" w:rsidP="008C73B0">
            <w:r>
              <w:t>928</w:t>
            </w:r>
          </w:p>
        </w:tc>
        <w:tc>
          <w:tcPr>
            <w:tcW w:w="3021" w:type="dxa"/>
          </w:tcPr>
          <w:p w14:paraId="326E23BD" w14:textId="483357B8" w:rsidR="008C73B0" w:rsidRPr="008C73B0" w:rsidRDefault="00CE4A00" w:rsidP="008C73B0">
            <w:r>
              <w:t>3,2%</w:t>
            </w:r>
          </w:p>
        </w:tc>
      </w:tr>
      <w:tr w:rsidR="008C73B0" w14:paraId="1444698C" w14:textId="77777777" w:rsidTr="003A6E0A">
        <w:tc>
          <w:tcPr>
            <w:tcW w:w="3020" w:type="dxa"/>
          </w:tcPr>
          <w:p w14:paraId="1A831BF6" w14:textId="70750A48" w:rsidR="008C73B0" w:rsidRPr="00F5250A" w:rsidRDefault="008C73B0" w:rsidP="008C73B0">
            <w:r w:rsidRPr="00DD6CED">
              <w:t>3.1.2 Język części</w:t>
            </w:r>
          </w:p>
        </w:tc>
        <w:tc>
          <w:tcPr>
            <w:tcW w:w="3021" w:type="dxa"/>
          </w:tcPr>
          <w:p w14:paraId="32D45E6C" w14:textId="12ED716E" w:rsidR="008C73B0" w:rsidRPr="008C73B0" w:rsidRDefault="008C73B0" w:rsidP="008C73B0">
            <w:r>
              <w:t>66</w:t>
            </w:r>
          </w:p>
        </w:tc>
        <w:tc>
          <w:tcPr>
            <w:tcW w:w="3021" w:type="dxa"/>
          </w:tcPr>
          <w:p w14:paraId="1837159A" w14:textId="7B937449" w:rsidR="008C73B0" w:rsidRPr="008C73B0" w:rsidRDefault="00CE4A00" w:rsidP="008C73B0">
            <w:r>
              <w:t>0,2%</w:t>
            </w:r>
          </w:p>
        </w:tc>
      </w:tr>
      <w:tr w:rsidR="008C73B0" w14:paraId="791DA167" w14:textId="77777777" w:rsidTr="003A6E0A">
        <w:tc>
          <w:tcPr>
            <w:tcW w:w="3020" w:type="dxa"/>
          </w:tcPr>
          <w:p w14:paraId="1F91E6F8" w14:textId="55186158" w:rsidR="008C73B0" w:rsidRPr="00F5250A" w:rsidRDefault="008C73B0" w:rsidP="008C73B0">
            <w:r w:rsidRPr="00DD6CED">
              <w:t>3.2.1 Po otrzymaniu fokusu</w:t>
            </w:r>
          </w:p>
        </w:tc>
        <w:tc>
          <w:tcPr>
            <w:tcW w:w="3021" w:type="dxa"/>
          </w:tcPr>
          <w:p w14:paraId="3B567A08" w14:textId="3A254727" w:rsidR="008C73B0" w:rsidRPr="008C73B0" w:rsidRDefault="008C73B0" w:rsidP="008C73B0">
            <w:r>
              <w:t>39</w:t>
            </w:r>
          </w:p>
        </w:tc>
        <w:tc>
          <w:tcPr>
            <w:tcW w:w="3021" w:type="dxa"/>
          </w:tcPr>
          <w:p w14:paraId="7F9458BF" w14:textId="70074D66" w:rsidR="008C73B0" w:rsidRPr="008C73B0" w:rsidRDefault="00CE4A00" w:rsidP="008C73B0">
            <w:r>
              <w:t>0,1%</w:t>
            </w:r>
          </w:p>
        </w:tc>
      </w:tr>
      <w:tr w:rsidR="008C73B0" w14:paraId="29081D13" w14:textId="77777777" w:rsidTr="003A6E0A">
        <w:tc>
          <w:tcPr>
            <w:tcW w:w="3020" w:type="dxa"/>
          </w:tcPr>
          <w:p w14:paraId="00C5DCBD" w14:textId="235B55A5" w:rsidR="008C73B0" w:rsidRPr="00F5250A" w:rsidRDefault="008C73B0" w:rsidP="008C73B0">
            <w:r w:rsidRPr="00DD6CED">
              <w:t>3.2.2 Podczas wprowadzania danych</w:t>
            </w:r>
          </w:p>
        </w:tc>
        <w:tc>
          <w:tcPr>
            <w:tcW w:w="3021" w:type="dxa"/>
          </w:tcPr>
          <w:p w14:paraId="41B1FCED" w14:textId="432773DE" w:rsidR="008C73B0" w:rsidRPr="008C73B0" w:rsidRDefault="008C73B0" w:rsidP="008C73B0">
            <w:r>
              <w:t>210</w:t>
            </w:r>
          </w:p>
        </w:tc>
        <w:tc>
          <w:tcPr>
            <w:tcW w:w="3021" w:type="dxa"/>
          </w:tcPr>
          <w:p w14:paraId="6440E7C3" w14:textId="731857AF" w:rsidR="008C73B0" w:rsidRPr="008C73B0" w:rsidRDefault="00CE4A00" w:rsidP="008C73B0">
            <w:r>
              <w:t>0,7%</w:t>
            </w:r>
          </w:p>
        </w:tc>
      </w:tr>
      <w:tr w:rsidR="008C73B0" w14:paraId="0CEBEB5D" w14:textId="77777777" w:rsidTr="003A6E0A">
        <w:tc>
          <w:tcPr>
            <w:tcW w:w="3020" w:type="dxa"/>
          </w:tcPr>
          <w:p w14:paraId="375037B2" w14:textId="01F16B45" w:rsidR="008C73B0" w:rsidRPr="00F5250A" w:rsidRDefault="008C73B0" w:rsidP="008C73B0">
            <w:r w:rsidRPr="00DD6CED">
              <w:t>3.3.2 Etykiety i instrukcje</w:t>
            </w:r>
          </w:p>
        </w:tc>
        <w:tc>
          <w:tcPr>
            <w:tcW w:w="3021" w:type="dxa"/>
          </w:tcPr>
          <w:p w14:paraId="1B7580AE" w14:textId="5B94D72D" w:rsidR="008C73B0" w:rsidRPr="008C73B0" w:rsidRDefault="008C73B0" w:rsidP="008C73B0">
            <w:r>
              <w:t>254</w:t>
            </w:r>
          </w:p>
        </w:tc>
        <w:tc>
          <w:tcPr>
            <w:tcW w:w="3021" w:type="dxa"/>
          </w:tcPr>
          <w:p w14:paraId="05D664F6" w14:textId="09AACE75" w:rsidR="008C73B0" w:rsidRPr="008C73B0" w:rsidRDefault="00CE4A00" w:rsidP="008C73B0">
            <w:r>
              <w:t>0,9%</w:t>
            </w:r>
          </w:p>
        </w:tc>
      </w:tr>
      <w:tr w:rsidR="008C73B0" w14:paraId="1DA63C26" w14:textId="77777777" w:rsidTr="003A6E0A">
        <w:tc>
          <w:tcPr>
            <w:tcW w:w="3020" w:type="dxa"/>
          </w:tcPr>
          <w:p w14:paraId="51B118E3" w14:textId="25ACDEC1" w:rsidR="008C73B0" w:rsidRPr="00F5250A" w:rsidRDefault="008C73B0" w:rsidP="008C73B0">
            <w:r w:rsidRPr="00DD6CED">
              <w:t>4.1.1 Poprawność kodu</w:t>
            </w:r>
          </w:p>
        </w:tc>
        <w:tc>
          <w:tcPr>
            <w:tcW w:w="3021" w:type="dxa"/>
          </w:tcPr>
          <w:p w14:paraId="1214AEF5" w14:textId="780FB6C8" w:rsidR="008C73B0" w:rsidRPr="008C73B0" w:rsidRDefault="008C73B0" w:rsidP="008C73B0">
            <w:r>
              <w:t>3098</w:t>
            </w:r>
          </w:p>
        </w:tc>
        <w:tc>
          <w:tcPr>
            <w:tcW w:w="3021" w:type="dxa"/>
          </w:tcPr>
          <w:p w14:paraId="3E88B576" w14:textId="52EB5555" w:rsidR="008C73B0" w:rsidRPr="008C73B0" w:rsidRDefault="00CE4A00" w:rsidP="008C73B0">
            <w:r>
              <w:t>10,6%</w:t>
            </w:r>
          </w:p>
        </w:tc>
      </w:tr>
      <w:tr w:rsidR="008C73B0" w14:paraId="162608C2" w14:textId="77777777" w:rsidTr="003A6E0A">
        <w:tc>
          <w:tcPr>
            <w:tcW w:w="3020" w:type="dxa"/>
          </w:tcPr>
          <w:p w14:paraId="0D5E2DD6" w14:textId="73EA5DCA" w:rsidR="008C73B0" w:rsidRPr="00F5250A" w:rsidRDefault="008C73B0" w:rsidP="008C73B0">
            <w:r w:rsidRPr="00DD6CED">
              <w:t>4.1.2 Nazwa, rola, wartość</w:t>
            </w:r>
          </w:p>
        </w:tc>
        <w:tc>
          <w:tcPr>
            <w:tcW w:w="3021" w:type="dxa"/>
          </w:tcPr>
          <w:p w14:paraId="71112EC6" w14:textId="0DE403E8" w:rsidR="008C73B0" w:rsidRPr="008C73B0" w:rsidRDefault="008C73B0" w:rsidP="008C73B0">
            <w:r>
              <w:t>5336</w:t>
            </w:r>
          </w:p>
        </w:tc>
        <w:tc>
          <w:tcPr>
            <w:tcW w:w="3021" w:type="dxa"/>
          </w:tcPr>
          <w:p w14:paraId="3B3C5F6F" w14:textId="041ED56F" w:rsidR="008C73B0" w:rsidRPr="008C73B0" w:rsidRDefault="00CE4A00" w:rsidP="008C73B0">
            <w:r>
              <w:t>18,2%</w:t>
            </w:r>
          </w:p>
        </w:tc>
      </w:tr>
    </w:tbl>
    <w:p w14:paraId="7581DD07" w14:textId="62F94975" w:rsidR="006643E7" w:rsidRDefault="006643E7" w:rsidP="006643E7">
      <w:r>
        <w:t>5 z 28 badanych kryteriów WCAG odpowiada</w:t>
      </w:r>
      <w:r w:rsidR="005F41F2">
        <w:t>ło</w:t>
      </w:r>
      <w:r>
        <w:t xml:space="preserve"> za </w:t>
      </w:r>
      <w:r w:rsidR="003B7CEA">
        <w:t>64,2</w:t>
      </w:r>
      <w:r>
        <w:t>% wszyst</w:t>
      </w:r>
      <w:r w:rsidR="003B7CEA">
        <w:t>kich zidentyfikowanych błędów</w:t>
      </w:r>
      <w:r>
        <w:t xml:space="preserve">. Były to: </w:t>
      </w:r>
    </w:p>
    <w:p w14:paraId="51C573E1" w14:textId="59D79C99" w:rsidR="006643E7" w:rsidRPr="005F41F2" w:rsidRDefault="005F41F2" w:rsidP="005F41F2">
      <w:pPr>
        <w:pStyle w:val="Akapitzlist"/>
        <w:numPr>
          <w:ilvl w:val="0"/>
          <w:numId w:val="10"/>
        </w:numPr>
      </w:pPr>
      <w:r>
        <w:lastRenderedPageBreak/>
        <w:t xml:space="preserve">1.1.1 </w:t>
      </w:r>
      <w:r w:rsidR="006643E7" w:rsidRPr="005F41F2">
        <w:t>Treść nietekstowa – 11,4%,</w:t>
      </w:r>
    </w:p>
    <w:p w14:paraId="2186A380" w14:textId="62C74364" w:rsidR="006643E7" w:rsidRPr="005F41F2" w:rsidRDefault="006643E7" w:rsidP="005F41F2">
      <w:pPr>
        <w:pStyle w:val="Akapitzlist"/>
        <w:numPr>
          <w:ilvl w:val="0"/>
          <w:numId w:val="10"/>
        </w:numPr>
      </w:pPr>
      <w:r w:rsidRPr="005F41F2">
        <w:t>1.3.1 Informacje i relacje – 13,5%,</w:t>
      </w:r>
    </w:p>
    <w:p w14:paraId="44789DB8" w14:textId="411A770C" w:rsidR="006643E7" w:rsidRPr="005F41F2" w:rsidRDefault="006643E7" w:rsidP="005F41F2">
      <w:pPr>
        <w:pStyle w:val="Akapitzlist"/>
        <w:numPr>
          <w:ilvl w:val="0"/>
          <w:numId w:val="10"/>
        </w:numPr>
      </w:pPr>
      <w:r w:rsidRPr="005F41F2">
        <w:t>2.4.4 Cel łącza (w kontekście) – 10,5%,</w:t>
      </w:r>
    </w:p>
    <w:p w14:paraId="7CF72D93" w14:textId="0CF7EFD7" w:rsidR="006643E7" w:rsidRPr="005F41F2" w:rsidRDefault="006643E7" w:rsidP="005F41F2">
      <w:pPr>
        <w:pStyle w:val="Akapitzlist"/>
        <w:numPr>
          <w:ilvl w:val="0"/>
          <w:numId w:val="10"/>
        </w:numPr>
      </w:pPr>
      <w:r w:rsidRPr="005F41F2">
        <w:t>4.1.1 Poprawność kodu – 10,6%,</w:t>
      </w:r>
    </w:p>
    <w:p w14:paraId="61243974" w14:textId="31939EDF" w:rsidR="006643E7" w:rsidRDefault="006643E7" w:rsidP="005F41F2">
      <w:pPr>
        <w:pStyle w:val="Akapitzlist"/>
        <w:numPr>
          <w:ilvl w:val="0"/>
          <w:numId w:val="10"/>
        </w:numPr>
      </w:pPr>
      <w:r w:rsidRPr="005F41F2">
        <w:t>4.1.2 Nazwa, rola, wartość – 18,2%.</w:t>
      </w:r>
    </w:p>
    <w:p w14:paraId="1083F1FC" w14:textId="5C99ADAD" w:rsidR="005F41F2" w:rsidRPr="005F41F2" w:rsidRDefault="005F41F2" w:rsidP="005F41F2">
      <w:r>
        <w:t xml:space="preserve">Kryteria 1.3.1, 4.1.1 oraz 4.1.2 dotyczą w głównej mierze jakości </w:t>
      </w:r>
      <w:r w:rsidR="00DF2DEC">
        <w:t xml:space="preserve">i struktury kodu HTML. </w:t>
      </w:r>
      <w:r>
        <w:t>Duża liczba zidentyfikowanych problemów z tymi kryteriami może wiązać się z łatwością ich identyfikacji. Automatyczna identyfikacja błędów w tym zakresie jest stosunkowo precyzyjna ze względu na jasne zasady tworzenia kodu, opisane w standardzie sieciowym HTML. Z kolei kryteria 1.1.1 oraz 2.4.4 w testach automatycznych badane są jedynie po części, gdyż pewne ich zakresy wymagają zaangażowania do analizy człowieka. W związku z tym</w:t>
      </w:r>
      <w:r w:rsidR="00DF2DEC">
        <w:t>,</w:t>
      </w:r>
      <w:r>
        <w:t xml:space="preserve"> w całościowym raporcie, rozkład błędów w poszczególnych zasadach</w:t>
      </w:r>
      <w:r w:rsidR="00DF2DEC">
        <w:t xml:space="preserve"> i kryteriach</w:t>
      </w:r>
      <w:r>
        <w:t xml:space="preserve"> może być inny niż w badaniu automatycznym.</w:t>
      </w:r>
    </w:p>
    <w:p w14:paraId="68B94D4A" w14:textId="60C4F82B" w:rsidR="001F45C1" w:rsidRDefault="001C7585" w:rsidP="001F45C1">
      <w:pPr>
        <w:pStyle w:val="Nagwek2"/>
      </w:pPr>
      <w:r>
        <w:t>W</w:t>
      </w:r>
      <w:r w:rsidR="001F45C1">
        <w:t>yniki analizy deklaracji dostępności badanych serwisów.</w:t>
      </w:r>
    </w:p>
    <w:p w14:paraId="5C73568D" w14:textId="42B5C8BA" w:rsidR="00AB6E3F" w:rsidRPr="00AB6E3F" w:rsidRDefault="001C7585" w:rsidP="00CA418D">
      <w:pPr>
        <w:pStyle w:val="Nagwek3"/>
      </w:pPr>
      <w:r>
        <w:t>Deklaracja dostępności na stronie internetowej</w:t>
      </w:r>
      <w:r w:rsidR="00AB6E3F">
        <w:t xml:space="preserve"> (próba 835)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B6E3F" w:rsidRPr="003879AF" w14:paraId="1AF7FBFD" w14:textId="77777777" w:rsidTr="006643E7">
        <w:trPr>
          <w:tblHeader/>
        </w:trPr>
        <w:tc>
          <w:tcPr>
            <w:tcW w:w="2265" w:type="dxa"/>
            <w:shd w:val="clear" w:color="auto" w:fill="E7E6E6" w:themeFill="background2"/>
          </w:tcPr>
          <w:p w14:paraId="1D83098E" w14:textId="02373690" w:rsidR="00AB6E3F" w:rsidRPr="003879AF" w:rsidRDefault="00AB6E3F" w:rsidP="001F45C1">
            <w:pPr>
              <w:rPr>
                <w:b/>
              </w:rPr>
            </w:pPr>
            <w:r w:rsidRPr="003879AF">
              <w:rPr>
                <w:b/>
              </w:rPr>
              <w:t>Odpowiedź</w:t>
            </w:r>
          </w:p>
        </w:tc>
        <w:tc>
          <w:tcPr>
            <w:tcW w:w="2265" w:type="dxa"/>
            <w:shd w:val="clear" w:color="auto" w:fill="E7E6E6" w:themeFill="background2"/>
          </w:tcPr>
          <w:p w14:paraId="471257BD" w14:textId="3E62AE63" w:rsidR="00AB6E3F" w:rsidRPr="003879AF" w:rsidRDefault="00AB6E3F" w:rsidP="001F45C1">
            <w:pPr>
              <w:rPr>
                <w:b/>
              </w:rPr>
            </w:pPr>
            <w:r w:rsidRPr="003879AF">
              <w:rPr>
                <w:b/>
              </w:rPr>
              <w:t>Liczba odpowiedzi</w:t>
            </w:r>
          </w:p>
        </w:tc>
        <w:tc>
          <w:tcPr>
            <w:tcW w:w="2266" w:type="dxa"/>
            <w:shd w:val="clear" w:color="auto" w:fill="E7E6E6" w:themeFill="background2"/>
          </w:tcPr>
          <w:p w14:paraId="25BCCE9F" w14:textId="370E0E0E" w:rsidR="00AB6E3F" w:rsidRPr="003879AF" w:rsidRDefault="00AB6E3F" w:rsidP="001F45C1">
            <w:pPr>
              <w:rPr>
                <w:b/>
              </w:rPr>
            </w:pPr>
            <w:r w:rsidRPr="003879AF">
              <w:rPr>
                <w:b/>
              </w:rPr>
              <w:t>Procent odpowiedzi</w:t>
            </w:r>
          </w:p>
        </w:tc>
      </w:tr>
      <w:tr w:rsidR="00AB6E3F" w14:paraId="4ECE369A" w14:textId="77777777" w:rsidTr="00AB6E3F">
        <w:tc>
          <w:tcPr>
            <w:tcW w:w="2265" w:type="dxa"/>
          </w:tcPr>
          <w:p w14:paraId="368AE45D" w14:textId="313DF24C" w:rsidR="00AB6E3F" w:rsidRDefault="00AB6E3F" w:rsidP="001F45C1">
            <w:r>
              <w:t>TAK</w:t>
            </w:r>
          </w:p>
        </w:tc>
        <w:tc>
          <w:tcPr>
            <w:tcW w:w="2265" w:type="dxa"/>
          </w:tcPr>
          <w:p w14:paraId="09679A42" w14:textId="6E62AD79" w:rsidR="00AB6E3F" w:rsidRDefault="00AB6E3F" w:rsidP="001F45C1">
            <w:r>
              <w:t>373</w:t>
            </w:r>
          </w:p>
        </w:tc>
        <w:tc>
          <w:tcPr>
            <w:tcW w:w="2266" w:type="dxa"/>
          </w:tcPr>
          <w:p w14:paraId="66957A9D" w14:textId="65C33A2B" w:rsidR="00AB6E3F" w:rsidRDefault="00AB6E3F" w:rsidP="003879AF">
            <w:r>
              <w:t>4</w:t>
            </w:r>
            <w:r w:rsidR="003879AF">
              <w:t>4,7</w:t>
            </w:r>
            <w:r>
              <w:t>%</w:t>
            </w:r>
          </w:p>
        </w:tc>
      </w:tr>
      <w:tr w:rsidR="00AB6E3F" w14:paraId="297F8126" w14:textId="77777777" w:rsidTr="00AB6E3F">
        <w:tc>
          <w:tcPr>
            <w:tcW w:w="2265" w:type="dxa"/>
          </w:tcPr>
          <w:p w14:paraId="581182B8" w14:textId="308524D4" w:rsidR="00AB6E3F" w:rsidRDefault="00AB6E3F" w:rsidP="001F45C1">
            <w:r>
              <w:t>NIE</w:t>
            </w:r>
          </w:p>
        </w:tc>
        <w:tc>
          <w:tcPr>
            <w:tcW w:w="2265" w:type="dxa"/>
          </w:tcPr>
          <w:p w14:paraId="32D09F57" w14:textId="0B559C87" w:rsidR="00AB6E3F" w:rsidRDefault="00AB6E3F" w:rsidP="001F45C1">
            <w:r>
              <w:t>462</w:t>
            </w:r>
          </w:p>
        </w:tc>
        <w:tc>
          <w:tcPr>
            <w:tcW w:w="2266" w:type="dxa"/>
          </w:tcPr>
          <w:p w14:paraId="087DA5EC" w14:textId="5FF55A13" w:rsidR="00AB6E3F" w:rsidRDefault="00AB6E3F" w:rsidP="001F45C1">
            <w:r>
              <w:t>55</w:t>
            </w:r>
            <w:r w:rsidR="003879AF">
              <w:t>,3</w:t>
            </w:r>
            <w:r>
              <w:t>%</w:t>
            </w:r>
          </w:p>
        </w:tc>
      </w:tr>
    </w:tbl>
    <w:p w14:paraId="5B097FB0" w14:textId="795B8E11" w:rsidR="00D60F52" w:rsidRPr="00D60F52" w:rsidRDefault="00D60F52" w:rsidP="00D60F52">
      <w:r w:rsidRPr="00D60F52">
        <w:t>Ponad połowa bada</w:t>
      </w:r>
      <w:r w:rsidR="00DF2DEC">
        <w:t>nych stron (55,3%) nie posiadała</w:t>
      </w:r>
      <w:r w:rsidRPr="00D60F52">
        <w:t xml:space="preserve"> obowiązkowej deklaracji dostępności. </w:t>
      </w:r>
      <w:r w:rsidR="0098641F">
        <w:t xml:space="preserve">Obowiązek zamieszczania tego dokumentu jest najnowszym wymaganiem w polskim prawie dotyczącym dostępności cyfrowej, ale obowiązuje już od 18 kwietnia 2019 r. </w:t>
      </w:r>
    </w:p>
    <w:p w14:paraId="53E11DAA" w14:textId="73976234" w:rsidR="00AB6E3F" w:rsidRDefault="001C7585" w:rsidP="00CA418D">
      <w:pPr>
        <w:pStyle w:val="Nagwek3"/>
      </w:pPr>
      <w:r>
        <w:t>Zgodność deklaracji</w:t>
      </w:r>
      <w:r w:rsidR="00AB6E3F">
        <w:t xml:space="preserve"> dostępności </w:t>
      </w:r>
      <w:r>
        <w:t>z warunkami technicznymi</w:t>
      </w:r>
      <w:r w:rsidR="003879AF">
        <w:t xml:space="preserve"> (próba 373)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3879AF" w:rsidRPr="003879AF" w14:paraId="6050A6FE" w14:textId="77777777" w:rsidTr="006643E7">
        <w:trPr>
          <w:tblHeader/>
        </w:trPr>
        <w:tc>
          <w:tcPr>
            <w:tcW w:w="2265" w:type="dxa"/>
            <w:shd w:val="clear" w:color="auto" w:fill="E7E6E6" w:themeFill="background2"/>
          </w:tcPr>
          <w:p w14:paraId="6D9D6B51" w14:textId="77777777" w:rsidR="003879AF" w:rsidRPr="003879AF" w:rsidRDefault="003879AF" w:rsidP="003A6E0A">
            <w:pPr>
              <w:rPr>
                <w:b/>
              </w:rPr>
            </w:pPr>
            <w:r w:rsidRPr="003879AF">
              <w:rPr>
                <w:b/>
              </w:rPr>
              <w:t>Odpowiedź</w:t>
            </w:r>
          </w:p>
        </w:tc>
        <w:tc>
          <w:tcPr>
            <w:tcW w:w="2265" w:type="dxa"/>
            <w:shd w:val="clear" w:color="auto" w:fill="E7E6E6" w:themeFill="background2"/>
          </w:tcPr>
          <w:p w14:paraId="4B2AF717" w14:textId="77777777" w:rsidR="003879AF" w:rsidRPr="003879AF" w:rsidRDefault="003879AF" w:rsidP="003A6E0A">
            <w:pPr>
              <w:rPr>
                <w:b/>
              </w:rPr>
            </w:pPr>
            <w:r w:rsidRPr="003879AF">
              <w:rPr>
                <w:b/>
              </w:rPr>
              <w:t>Liczba odpowiedzi</w:t>
            </w:r>
          </w:p>
        </w:tc>
        <w:tc>
          <w:tcPr>
            <w:tcW w:w="2266" w:type="dxa"/>
            <w:shd w:val="clear" w:color="auto" w:fill="E7E6E6" w:themeFill="background2"/>
          </w:tcPr>
          <w:p w14:paraId="4A560027" w14:textId="77777777" w:rsidR="003879AF" w:rsidRPr="003879AF" w:rsidRDefault="003879AF" w:rsidP="003A6E0A">
            <w:pPr>
              <w:rPr>
                <w:b/>
              </w:rPr>
            </w:pPr>
            <w:r w:rsidRPr="003879AF">
              <w:rPr>
                <w:b/>
              </w:rPr>
              <w:t>Procent odpowiedzi</w:t>
            </w:r>
          </w:p>
        </w:tc>
      </w:tr>
      <w:tr w:rsidR="003879AF" w14:paraId="5CB8C516" w14:textId="77777777" w:rsidTr="003A6E0A">
        <w:tc>
          <w:tcPr>
            <w:tcW w:w="2265" w:type="dxa"/>
          </w:tcPr>
          <w:p w14:paraId="11233B6A" w14:textId="77777777" w:rsidR="003879AF" w:rsidRDefault="003879AF" w:rsidP="003A6E0A">
            <w:r>
              <w:t>TAK</w:t>
            </w:r>
          </w:p>
        </w:tc>
        <w:tc>
          <w:tcPr>
            <w:tcW w:w="2265" w:type="dxa"/>
          </w:tcPr>
          <w:p w14:paraId="0FAAFC85" w14:textId="136817C2" w:rsidR="003879AF" w:rsidRDefault="003879AF" w:rsidP="003A6E0A">
            <w:r>
              <w:t>177</w:t>
            </w:r>
          </w:p>
        </w:tc>
        <w:tc>
          <w:tcPr>
            <w:tcW w:w="2266" w:type="dxa"/>
          </w:tcPr>
          <w:p w14:paraId="2DA637D5" w14:textId="15C4B179" w:rsidR="003879AF" w:rsidRDefault="003879AF" w:rsidP="003879AF">
            <w:r>
              <w:t>47,5%</w:t>
            </w:r>
          </w:p>
        </w:tc>
      </w:tr>
      <w:tr w:rsidR="003879AF" w14:paraId="3A567367" w14:textId="77777777" w:rsidTr="003A6E0A">
        <w:tc>
          <w:tcPr>
            <w:tcW w:w="2265" w:type="dxa"/>
          </w:tcPr>
          <w:p w14:paraId="376DCD9C" w14:textId="77777777" w:rsidR="003879AF" w:rsidRDefault="003879AF" w:rsidP="003A6E0A">
            <w:r>
              <w:t>NIE</w:t>
            </w:r>
          </w:p>
        </w:tc>
        <w:tc>
          <w:tcPr>
            <w:tcW w:w="2265" w:type="dxa"/>
          </w:tcPr>
          <w:p w14:paraId="0A75B3BD" w14:textId="25AC5AEC" w:rsidR="003879AF" w:rsidRDefault="003879AF" w:rsidP="003A6E0A">
            <w:r>
              <w:t>196</w:t>
            </w:r>
          </w:p>
        </w:tc>
        <w:tc>
          <w:tcPr>
            <w:tcW w:w="2266" w:type="dxa"/>
          </w:tcPr>
          <w:p w14:paraId="607D19DF" w14:textId="2AF456DE" w:rsidR="003879AF" w:rsidRDefault="003879AF" w:rsidP="003879AF">
            <w:r>
              <w:t>52,5%</w:t>
            </w:r>
          </w:p>
        </w:tc>
      </w:tr>
    </w:tbl>
    <w:p w14:paraId="1A79F453" w14:textId="111F368A" w:rsidR="0098641F" w:rsidRDefault="0098641F" w:rsidP="0098641F">
      <w:r>
        <w:t>Spośród zamieszczonych deklaracji jedynie 177 (47,5%</w:t>
      </w:r>
      <w:r w:rsidR="00DF2DEC">
        <w:t>) spełniało warunki techniczne</w:t>
      </w:r>
      <w:r>
        <w:t xml:space="preserve"> dotyczące publikacji tego</w:t>
      </w:r>
      <w:r w:rsidR="00A327B2">
        <w:t xml:space="preserve"> dokumentu. Oznacza to, że spośród 835 badanych stron internetowych </w:t>
      </w:r>
      <w:r w:rsidR="00A327B2" w:rsidRPr="00A327B2">
        <w:rPr>
          <w:b/>
        </w:rPr>
        <w:t>jedynie 22,2% stron posiadało deklarację dostępności</w:t>
      </w:r>
      <w:r w:rsidR="00A327B2">
        <w:rPr>
          <w:b/>
        </w:rPr>
        <w:t xml:space="preserve"> zgodną z warunkami technicznymi</w:t>
      </w:r>
      <w:r w:rsidR="00A327B2">
        <w:t xml:space="preserve">. </w:t>
      </w:r>
    </w:p>
    <w:p w14:paraId="35D068C8" w14:textId="5CB38478" w:rsidR="00A327B2" w:rsidRDefault="00A327B2" w:rsidP="00A327B2">
      <w:r>
        <w:t>Problem niezgodności mógł dotyczyć zarówno pojedynczego błędu jak i całkowitej niezgodności z warunkami technicznymi. Zidentyfikowane typy błędów:</w:t>
      </w:r>
    </w:p>
    <w:p w14:paraId="17509E3F" w14:textId="599CD33B" w:rsidR="00A327B2" w:rsidRDefault="00A327B2" w:rsidP="00A327B2">
      <w:pPr>
        <w:pStyle w:val="Akapitzlist"/>
        <w:numPr>
          <w:ilvl w:val="0"/>
          <w:numId w:val="7"/>
        </w:numPr>
      </w:pPr>
      <w:r>
        <w:t>Forma i treść deklaracji dostępności niezgodna z warunkami technicznymi np. wyłącznie dane kontaktowe dla osób z niepełnosprawnościami; ogólna informacja, że strona jest zgodna wytycznymi WCAG 2.0 lub opis narzędzi do zmiany wielkości czcionki i kolorystyki na stronie,</w:t>
      </w:r>
    </w:p>
    <w:p w14:paraId="0AD38559" w14:textId="77777777" w:rsidR="00A327B2" w:rsidRDefault="00A327B2" w:rsidP="00A327B2">
      <w:pPr>
        <w:pStyle w:val="Akapitzlist"/>
        <w:numPr>
          <w:ilvl w:val="0"/>
          <w:numId w:val="7"/>
        </w:numPr>
      </w:pPr>
      <w:r>
        <w:lastRenderedPageBreak/>
        <w:t>Brak wymaganego bloku treści np. opisu dostępności architektonicznej siedziby podmiotu,</w:t>
      </w:r>
    </w:p>
    <w:p w14:paraId="6FAF4C1F" w14:textId="5670CC4E" w:rsidR="00A327B2" w:rsidRDefault="00A327B2" w:rsidP="00A327B2">
      <w:pPr>
        <w:pStyle w:val="Akapitzlist"/>
        <w:numPr>
          <w:ilvl w:val="0"/>
          <w:numId w:val="7"/>
        </w:numPr>
      </w:pPr>
      <w:r>
        <w:t xml:space="preserve">Brak wymaganej pojedynczej treści np. o dostępności tłumacza języka migowego, brak informacji o skrótach klawiaturowych, brak linku do strony Rzecznika Praw Obywatelskich,  </w:t>
      </w:r>
    </w:p>
    <w:p w14:paraId="33082238" w14:textId="77777777" w:rsidR="00A327B2" w:rsidRDefault="00A327B2" w:rsidP="00A327B2">
      <w:pPr>
        <w:pStyle w:val="Akapitzlist"/>
        <w:numPr>
          <w:ilvl w:val="0"/>
          <w:numId w:val="7"/>
        </w:numPr>
      </w:pPr>
      <w:r>
        <w:t>Brak wymaganych identyfikatorów HTML (co najmniej jednego),</w:t>
      </w:r>
    </w:p>
    <w:p w14:paraId="5A1599FB" w14:textId="77777777" w:rsidR="00A327B2" w:rsidRDefault="00A327B2" w:rsidP="00A327B2">
      <w:pPr>
        <w:pStyle w:val="Akapitzlist"/>
        <w:numPr>
          <w:ilvl w:val="0"/>
          <w:numId w:val="7"/>
        </w:numPr>
      </w:pPr>
      <w:r>
        <w:t>Nieprawidłowy format zapisu daty (niezgodny z warunkami technicznymi),</w:t>
      </w:r>
    </w:p>
    <w:p w14:paraId="3E1B46B0" w14:textId="4DB552DA" w:rsidR="005922C9" w:rsidRDefault="001C7585" w:rsidP="00CA418D">
      <w:pPr>
        <w:pStyle w:val="Nagwek3"/>
      </w:pPr>
      <w:r>
        <w:t xml:space="preserve">Zgodność deklaracji dostępności z warunkami technicznymi w </w:t>
      </w:r>
      <w:r w:rsidR="00C3434A">
        <w:t>podziale na typy instytucji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1328F" w:rsidRPr="003879AF" w14:paraId="043870B5" w14:textId="15E03C7E" w:rsidTr="006643E7">
        <w:trPr>
          <w:tblHeader/>
        </w:trPr>
        <w:tc>
          <w:tcPr>
            <w:tcW w:w="2265" w:type="dxa"/>
            <w:shd w:val="clear" w:color="auto" w:fill="E7E6E6" w:themeFill="background2"/>
          </w:tcPr>
          <w:p w14:paraId="2C6CC16C" w14:textId="08D235E0" w:rsidR="0041328F" w:rsidRPr="003879AF" w:rsidRDefault="0041328F" w:rsidP="003A6E0A">
            <w:pPr>
              <w:rPr>
                <w:b/>
              </w:rPr>
            </w:pPr>
            <w:r>
              <w:rPr>
                <w:b/>
              </w:rPr>
              <w:t>Strona podmiotu</w:t>
            </w:r>
          </w:p>
        </w:tc>
        <w:tc>
          <w:tcPr>
            <w:tcW w:w="2265" w:type="dxa"/>
            <w:shd w:val="clear" w:color="auto" w:fill="E7E6E6" w:themeFill="background2"/>
          </w:tcPr>
          <w:p w14:paraId="63451450" w14:textId="35CE07BA" w:rsidR="0041328F" w:rsidRPr="003879AF" w:rsidRDefault="0041328F" w:rsidP="003A6E0A">
            <w:pPr>
              <w:rPr>
                <w:b/>
              </w:rPr>
            </w:pPr>
            <w:r w:rsidRPr="003879AF">
              <w:rPr>
                <w:b/>
              </w:rPr>
              <w:t>Liczba odpowiedzi</w:t>
            </w:r>
          </w:p>
        </w:tc>
        <w:tc>
          <w:tcPr>
            <w:tcW w:w="2266" w:type="dxa"/>
            <w:shd w:val="clear" w:color="auto" w:fill="E7E6E6" w:themeFill="background2"/>
          </w:tcPr>
          <w:p w14:paraId="6C293739" w14:textId="0B1EC1B0" w:rsidR="0041328F" w:rsidRPr="003879AF" w:rsidRDefault="0041328F" w:rsidP="003A6E0A">
            <w:pPr>
              <w:rPr>
                <w:b/>
              </w:rPr>
            </w:pPr>
            <w:r w:rsidRPr="003879AF">
              <w:rPr>
                <w:b/>
              </w:rPr>
              <w:t>Procent odpowiedzi</w:t>
            </w:r>
            <w:r w:rsidR="00C3434A">
              <w:rPr>
                <w:b/>
              </w:rPr>
              <w:t xml:space="preserve"> (próba 177)</w:t>
            </w:r>
          </w:p>
        </w:tc>
        <w:tc>
          <w:tcPr>
            <w:tcW w:w="2266" w:type="dxa"/>
            <w:shd w:val="clear" w:color="auto" w:fill="E7E6E6" w:themeFill="background2"/>
          </w:tcPr>
          <w:p w14:paraId="567D6A2A" w14:textId="5A9304B4" w:rsidR="0041328F" w:rsidRPr="003879AF" w:rsidRDefault="001C7585" w:rsidP="003A6E0A">
            <w:pPr>
              <w:rPr>
                <w:b/>
              </w:rPr>
            </w:pPr>
            <w:r>
              <w:rPr>
                <w:b/>
              </w:rPr>
              <w:t xml:space="preserve">Procent odpowiedzi w całej próbie </w:t>
            </w:r>
            <w:r w:rsidR="0041328F">
              <w:rPr>
                <w:b/>
              </w:rPr>
              <w:t>danego rodzaju stron</w:t>
            </w:r>
            <w:r w:rsidR="00C3434A">
              <w:rPr>
                <w:b/>
              </w:rPr>
              <w:t xml:space="preserve"> (próba 835)</w:t>
            </w:r>
          </w:p>
        </w:tc>
      </w:tr>
      <w:tr w:rsidR="0041328F" w14:paraId="062C4B93" w14:textId="245EB689" w:rsidTr="003A6E0A">
        <w:tc>
          <w:tcPr>
            <w:tcW w:w="2265" w:type="dxa"/>
          </w:tcPr>
          <w:p w14:paraId="044891EB" w14:textId="468B4296" w:rsidR="0041328F" w:rsidRDefault="0041328F" w:rsidP="003A6E0A">
            <w:r>
              <w:t>Instytucja państwowa</w:t>
            </w:r>
          </w:p>
        </w:tc>
        <w:tc>
          <w:tcPr>
            <w:tcW w:w="2265" w:type="dxa"/>
          </w:tcPr>
          <w:p w14:paraId="6F12A6C1" w14:textId="43EE53D3" w:rsidR="0041328F" w:rsidRDefault="0041328F" w:rsidP="003A6E0A">
            <w:r>
              <w:t>45</w:t>
            </w:r>
          </w:p>
        </w:tc>
        <w:tc>
          <w:tcPr>
            <w:tcW w:w="2266" w:type="dxa"/>
          </w:tcPr>
          <w:p w14:paraId="399437C5" w14:textId="679A6D73" w:rsidR="0041328F" w:rsidRDefault="00E25BFA" w:rsidP="003A6E0A">
            <w:r>
              <w:t>25%</w:t>
            </w:r>
          </w:p>
        </w:tc>
        <w:tc>
          <w:tcPr>
            <w:tcW w:w="2266" w:type="dxa"/>
          </w:tcPr>
          <w:p w14:paraId="608D611C" w14:textId="7EFD534E" w:rsidR="0041328F" w:rsidRDefault="00E25BFA" w:rsidP="003A6E0A">
            <w:r>
              <w:t>31,5%</w:t>
            </w:r>
          </w:p>
        </w:tc>
      </w:tr>
      <w:tr w:rsidR="0041328F" w14:paraId="2386426A" w14:textId="2AD369FB" w:rsidTr="003A6E0A">
        <w:tc>
          <w:tcPr>
            <w:tcW w:w="2265" w:type="dxa"/>
          </w:tcPr>
          <w:p w14:paraId="6C5BF30F" w14:textId="2F36D433" w:rsidR="0041328F" w:rsidRDefault="0041328F" w:rsidP="003A6E0A">
            <w:r>
              <w:t>Instytucja regionalna</w:t>
            </w:r>
          </w:p>
        </w:tc>
        <w:tc>
          <w:tcPr>
            <w:tcW w:w="2265" w:type="dxa"/>
          </w:tcPr>
          <w:p w14:paraId="1E886A2E" w14:textId="4C9F9DDF" w:rsidR="0041328F" w:rsidRDefault="0041328F" w:rsidP="003A6E0A">
            <w:r>
              <w:t>71</w:t>
            </w:r>
          </w:p>
        </w:tc>
        <w:tc>
          <w:tcPr>
            <w:tcW w:w="2266" w:type="dxa"/>
          </w:tcPr>
          <w:p w14:paraId="725E378E" w14:textId="1C279B35" w:rsidR="0041328F" w:rsidRDefault="00E25BFA" w:rsidP="003A6E0A">
            <w:r>
              <w:t>40%</w:t>
            </w:r>
          </w:p>
        </w:tc>
        <w:tc>
          <w:tcPr>
            <w:tcW w:w="2266" w:type="dxa"/>
          </w:tcPr>
          <w:p w14:paraId="0B9590DD" w14:textId="434A3331" w:rsidR="0041328F" w:rsidRDefault="00E25BFA" w:rsidP="003A6E0A">
            <w:r>
              <w:t>26%</w:t>
            </w:r>
          </w:p>
        </w:tc>
      </w:tr>
      <w:tr w:rsidR="0041328F" w14:paraId="19728FCF" w14:textId="03E31720" w:rsidTr="003A6E0A">
        <w:tc>
          <w:tcPr>
            <w:tcW w:w="2265" w:type="dxa"/>
          </w:tcPr>
          <w:p w14:paraId="06AFCE08" w14:textId="04E4CC28" w:rsidR="0041328F" w:rsidRDefault="0041328F" w:rsidP="005922C9">
            <w:r>
              <w:t>Instytucja lokalna</w:t>
            </w:r>
          </w:p>
        </w:tc>
        <w:tc>
          <w:tcPr>
            <w:tcW w:w="2265" w:type="dxa"/>
          </w:tcPr>
          <w:p w14:paraId="217FC081" w14:textId="22786408" w:rsidR="0041328F" w:rsidRDefault="0041328F" w:rsidP="005922C9">
            <w:r>
              <w:t>37</w:t>
            </w:r>
          </w:p>
        </w:tc>
        <w:tc>
          <w:tcPr>
            <w:tcW w:w="2266" w:type="dxa"/>
          </w:tcPr>
          <w:p w14:paraId="3D08E629" w14:textId="77ED72E4" w:rsidR="0041328F" w:rsidRDefault="00E25BFA" w:rsidP="005922C9">
            <w:r>
              <w:t>21,5%</w:t>
            </w:r>
          </w:p>
        </w:tc>
        <w:tc>
          <w:tcPr>
            <w:tcW w:w="2266" w:type="dxa"/>
          </w:tcPr>
          <w:p w14:paraId="39FAD9E0" w14:textId="625C3456" w:rsidR="0041328F" w:rsidRDefault="00E25BFA" w:rsidP="005922C9">
            <w:r>
              <w:t>17,5%</w:t>
            </w:r>
          </w:p>
        </w:tc>
      </w:tr>
      <w:tr w:rsidR="0041328F" w14:paraId="15428124" w14:textId="67854981" w:rsidTr="003A6E0A">
        <w:tc>
          <w:tcPr>
            <w:tcW w:w="2265" w:type="dxa"/>
          </w:tcPr>
          <w:p w14:paraId="2EA8AA6C" w14:textId="53F75BAA" w:rsidR="0041328F" w:rsidRDefault="000D7319" w:rsidP="005922C9">
            <w:r>
              <w:t>pozostała</w:t>
            </w:r>
            <w:r w:rsidR="0041328F">
              <w:t xml:space="preserve"> instytucja</w:t>
            </w:r>
          </w:p>
        </w:tc>
        <w:tc>
          <w:tcPr>
            <w:tcW w:w="2265" w:type="dxa"/>
          </w:tcPr>
          <w:p w14:paraId="179ECB87" w14:textId="7FA24F95" w:rsidR="0041328F" w:rsidRDefault="0041328F" w:rsidP="005922C9">
            <w:r>
              <w:t>24</w:t>
            </w:r>
          </w:p>
        </w:tc>
        <w:tc>
          <w:tcPr>
            <w:tcW w:w="2266" w:type="dxa"/>
          </w:tcPr>
          <w:p w14:paraId="41F2A8CC" w14:textId="5EF8554E" w:rsidR="0041328F" w:rsidRDefault="00E25BFA" w:rsidP="005922C9">
            <w:r>
              <w:t>13,5%</w:t>
            </w:r>
          </w:p>
        </w:tc>
        <w:tc>
          <w:tcPr>
            <w:tcW w:w="2266" w:type="dxa"/>
          </w:tcPr>
          <w:p w14:paraId="7F61BF9D" w14:textId="600F3F7A" w:rsidR="0041328F" w:rsidRDefault="00E25BFA" w:rsidP="005922C9">
            <w:r>
              <w:t>11,5%</w:t>
            </w:r>
          </w:p>
        </w:tc>
      </w:tr>
    </w:tbl>
    <w:p w14:paraId="0952ACBC" w14:textId="6D561607" w:rsidR="004A54CE" w:rsidRDefault="000D7319" w:rsidP="004A54CE">
      <w:r>
        <w:t>Na badanych stronach instytucji państwowych poprawna deklaracja dostępności była niemal dwukrotnie częściej spotykana niż na badanych stronach instytucji lokalnych i niemal trzykrotnie częściej niż na badanych stronach pozostałych instytucji.</w:t>
      </w:r>
    </w:p>
    <w:p w14:paraId="40747933" w14:textId="5C3F8C5C" w:rsidR="00AB6E3F" w:rsidRDefault="00AB6E3F" w:rsidP="00AB6E3F">
      <w:pPr>
        <w:pStyle w:val="Nagwek2"/>
      </w:pPr>
      <w:r>
        <w:t>Wnioski z badania</w:t>
      </w:r>
    </w:p>
    <w:p w14:paraId="6A56914C" w14:textId="5A1E50B4" w:rsidR="000A6702" w:rsidRDefault="002560CA" w:rsidP="000A6702">
      <w:pPr>
        <w:pStyle w:val="Nagwek3"/>
      </w:pPr>
      <w:r>
        <w:t>Powszechny</w:t>
      </w:r>
      <w:r w:rsidR="000A6702">
        <w:t xml:space="preserve"> brak </w:t>
      </w:r>
      <w:r>
        <w:t>pełnej zgodności z wytycznymi WCAG</w:t>
      </w:r>
    </w:p>
    <w:p w14:paraId="0AB177B9" w14:textId="0DFB97CE" w:rsidR="00BE3545" w:rsidRDefault="000D6D17" w:rsidP="00DB492F">
      <w:r>
        <w:t xml:space="preserve">Błędy z zakresu dostępności cyfrowej występowały na wszystkich badanych </w:t>
      </w:r>
      <w:r w:rsidR="00BE3545">
        <w:t>stronach internetowych. W</w:t>
      </w:r>
      <w:r w:rsidR="002560CA">
        <w:t xml:space="preserve"> porównywalnym procencie</w:t>
      </w:r>
      <w:r>
        <w:t xml:space="preserve">, </w:t>
      </w:r>
      <w:r w:rsidR="00BE3545">
        <w:t xml:space="preserve">występowały one </w:t>
      </w:r>
      <w:r w:rsidR="00785E2A">
        <w:t xml:space="preserve">na stronach wszystkich </w:t>
      </w:r>
      <w:r>
        <w:t xml:space="preserve">rodzajów </w:t>
      </w:r>
      <w:r w:rsidR="00785E2A">
        <w:t xml:space="preserve">badanych </w:t>
      </w:r>
      <w:r w:rsidR="00BE3545">
        <w:t>instytucji. Wielkość i złożoność badanych stron była różna co mogło mieć wpływ na ilość możliwych do</w:t>
      </w:r>
      <w:r w:rsidR="00FB15CC">
        <w:t xml:space="preserve"> zidentyfikowania błędów. Pełna analiza będzie możliwa dopiero po zakończeniu badań w metodologii szczegółowej.</w:t>
      </w:r>
    </w:p>
    <w:p w14:paraId="23945D37" w14:textId="53261783" w:rsidR="000A6702" w:rsidRDefault="000A6702" w:rsidP="000A6702">
      <w:pPr>
        <w:pStyle w:val="Nagwek3"/>
      </w:pPr>
      <w:r>
        <w:t>Niska jakość deklaracji dostępności</w:t>
      </w:r>
    </w:p>
    <w:p w14:paraId="250CCEE6" w14:textId="439AAEA2" w:rsidR="003A6E0A" w:rsidRDefault="00FB15CC">
      <w:r>
        <w:t>Jedynie 22,2% badanych stron posiadało poprawną deklarację dostępności. Przy dokładniejsze</w:t>
      </w:r>
      <w:r w:rsidR="00C14A0E">
        <w:t>j</w:t>
      </w:r>
      <w:r>
        <w:t xml:space="preserve"> analizie ujawniły się duże rozbieżności pomiędzy poszczególnymi rodzajami instytucji, do których należały badane strony. Poprawna deklaracja znajdowała się</w:t>
      </w:r>
      <w:r w:rsidR="00E81F33">
        <w:t xml:space="preserve"> na</w:t>
      </w:r>
      <w:r>
        <w:t xml:space="preserve"> 31,5% badanych stron instytucji państwowych i jedynie na 11,5% badanych stron pozostałych instytucji. Te dysproporcje wskazują na konieczność działań informacyjnych i szkoleniowych </w:t>
      </w:r>
      <w:r w:rsidR="00E81F33">
        <w:t xml:space="preserve">dotyczących deklaracji dostępności, </w:t>
      </w:r>
      <w:r>
        <w:t xml:space="preserve">dedykowanych szczególnie dla podmiotów, których strony </w:t>
      </w:r>
      <w:r w:rsidR="00063BEE">
        <w:t>należ</w:t>
      </w:r>
      <w:r w:rsidR="00E81F33">
        <w:t>ą do</w:t>
      </w:r>
      <w:r>
        <w:t xml:space="preserve"> „instytucj</w:t>
      </w:r>
      <w:r w:rsidR="00E81F33">
        <w:t>i</w:t>
      </w:r>
      <w:r>
        <w:t xml:space="preserve"> lokaln</w:t>
      </w:r>
      <w:r w:rsidR="00E81F33">
        <w:t>ych</w:t>
      </w:r>
      <w:r>
        <w:t>” oraz „</w:t>
      </w:r>
      <w:r w:rsidR="00E81F33">
        <w:t>pozostałych</w:t>
      </w:r>
      <w:r>
        <w:t xml:space="preserve"> instytucj</w:t>
      </w:r>
      <w:r w:rsidR="00E81F33">
        <w:t>i</w:t>
      </w:r>
      <w:r>
        <w:t>”.</w:t>
      </w:r>
    </w:p>
    <w:sectPr w:rsidR="003A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75966" w14:textId="77777777" w:rsidR="00D15437" w:rsidRDefault="00D15437" w:rsidP="00D2127C">
      <w:pPr>
        <w:spacing w:line="240" w:lineRule="auto"/>
      </w:pPr>
      <w:r>
        <w:separator/>
      </w:r>
    </w:p>
  </w:endnote>
  <w:endnote w:type="continuationSeparator" w:id="0">
    <w:p w14:paraId="64164A17" w14:textId="77777777" w:rsidR="00D15437" w:rsidRDefault="00D15437" w:rsidP="00D21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3AC77" w14:textId="77777777" w:rsidR="00D15437" w:rsidRDefault="00D15437" w:rsidP="00D2127C">
      <w:pPr>
        <w:spacing w:line="240" w:lineRule="auto"/>
      </w:pPr>
      <w:r>
        <w:separator/>
      </w:r>
    </w:p>
  </w:footnote>
  <w:footnote w:type="continuationSeparator" w:id="0">
    <w:p w14:paraId="4271DDF8" w14:textId="77777777" w:rsidR="00D15437" w:rsidRDefault="00D15437" w:rsidP="00D212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1914"/>
    <w:multiLevelType w:val="multilevel"/>
    <w:tmpl w:val="C43CC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DA7AA0"/>
    <w:multiLevelType w:val="hybridMultilevel"/>
    <w:tmpl w:val="28E894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1F4B"/>
    <w:multiLevelType w:val="hybridMultilevel"/>
    <w:tmpl w:val="6B924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4C0B"/>
    <w:multiLevelType w:val="hybridMultilevel"/>
    <w:tmpl w:val="D4DEC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2B62"/>
    <w:multiLevelType w:val="hybridMultilevel"/>
    <w:tmpl w:val="EDEC3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B61C7"/>
    <w:multiLevelType w:val="hybridMultilevel"/>
    <w:tmpl w:val="B554FE3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D4925E0"/>
    <w:multiLevelType w:val="hybridMultilevel"/>
    <w:tmpl w:val="6E2E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A4F6B"/>
    <w:multiLevelType w:val="hybridMultilevel"/>
    <w:tmpl w:val="0C00D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E4849"/>
    <w:multiLevelType w:val="hybridMultilevel"/>
    <w:tmpl w:val="A858D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01C39"/>
    <w:multiLevelType w:val="hybridMultilevel"/>
    <w:tmpl w:val="E2A8E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24E20"/>
    <w:multiLevelType w:val="hybridMultilevel"/>
    <w:tmpl w:val="ABC2B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C1"/>
    <w:rsid w:val="00037182"/>
    <w:rsid w:val="00050626"/>
    <w:rsid w:val="00063BEE"/>
    <w:rsid w:val="000668B3"/>
    <w:rsid w:val="000954FB"/>
    <w:rsid w:val="000A64A9"/>
    <w:rsid w:val="000A6702"/>
    <w:rsid w:val="000D6D17"/>
    <w:rsid w:val="000D7319"/>
    <w:rsid w:val="00172BE2"/>
    <w:rsid w:val="001B13A1"/>
    <w:rsid w:val="001B2E7F"/>
    <w:rsid w:val="001C7585"/>
    <w:rsid w:val="001F45C1"/>
    <w:rsid w:val="00217745"/>
    <w:rsid w:val="00231EB9"/>
    <w:rsid w:val="002560CA"/>
    <w:rsid w:val="002745B2"/>
    <w:rsid w:val="002B549B"/>
    <w:rsid w:val="003236DA"/>
    <w:rsid w:val="0033372D"/>
    <w:rsid w:val="00370948"/>
    <w:rsid w:val="003879AF"/>
    <w:rsid w:val="003A6E0A"/>
    <w:rsid w:val="003B7CEA"/>
    <w:rsid w:val="0041328F"/>
    <w:rsid w:val="0048453A"/>
    <w:rsid w:val="004A54CE"/>
    <w:rsid w:val="004D1EED"/>
    <w:rsid w:val="004D33A8"/>
    <w:rsid w:val="004F0D5B"/>
    <w:rsid w:val="0052367D"/>
    <w:rsid w:val="005922C9"/>
    <w:rsid w:val="005D017F"/>
    <w:rsid w:val="005F189B"/>
    <w:rsid w:val="005F41F2"/>
    <w:rsid w:val="005F6D94"/>
    <w:rsid w:val="00651556"/>
    <w:rsid w:val="00656AE6"/>
    <w:rsid w:val="006643E7"/>
    <w:rsid w:val="00691CB0"/>
    <w:rsid w:val="006B2159"/>
    <w:rsid w:val="006E458C"/>
    <w:rsid w:val="00785E2A"/>
    <w:rsid w:val="00874CEE"/>
    <w:rsid w:val="0087737A"/>
    <w:rsid w:val="00895C9D"/>
    <w:rsid w:val="008C3408"/>
    <w:rsid w:val="008C73B0"/>
    <w:rsid w:val="008F28D3"/>
    <w:rsid w:val="009636B7"/>
    <w:rsid w:val="0098641F"/>
    <w:rsid w:val="00A327B2"/>
    <w:rsid w:val="00AA566F"/>
    <w:rsid w:val="00AB6E3F"/>
    <w:rsid w:val="00AC19CB"/>
    <w:rsid w:val="00B45F0C"/>
    <w:rsid w:val="00B61304"/>
    <w:rsid w:val="00BA622C"/>
    <w:rsid w:val="00BD2E59"/>
    <w:rsid w:val="00BE113C"/>
    <w:rsid w:val="00BE3545"/>
    <w:rsid w:val="00C14A0E"/>
    <w:rsid w:val="00C22808"/>
    <w:rsid w:val="00C3176D"/>
    <w:rsid w:val="00C3434A"/>
    <w:rsid w:val="00C50784"/>
    <w:rsid w:val="00C57DFB"/>
    <w:rsid w:val="00C9334E"/>
    <w:rsid w:val="00CA418D"/>
    <w:rsid w:val="00CE4A00"/>
    <w:rsid w:val="00D03E20"/>
    <w:rsid w:val="00D15437"/>
    <w:rsid w:val="00D2127C"/>
    <w:rsid w:val="00D24723"/>
    <w:rsid w:val="00D24F7B"/>
    <w:rsid w:val="00D50480"/>
    <w:rsid w:val="00D60F52"/>
    <w:rsid w:val="00D63C1A"/>
    <w:rsid w:val="00D856F6"/>
    <w:rsid w:val="00DB492F"/>
    <w:rsid w:val="00DF2DEC"/>
    <w:rsid w:val="00DF599F"/>
    <w:rsid w:val="00E25BFA"/>
    <w:rsid w:val="00E36A14"/>
    <w:rsid w:val="00E604E7"/>
    <w:rsid w:val="00E81F33"/>
    <w:rsid w:val="00F5250A"/>
    <w:rsid w:val="00F56095"/>
    <w:rsid w:val="00FA498F"/>
    <w:rsid w:val="00FB15CC"/>
    <w:rsid w:val="00FE28D7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ABD6"/>
  <w15:chartTrackingRefBased/>
  <w15:docId w15:val="{9BA818F8-2677-4B73-A7F8-DA4CB37B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585"/>
    <w:pPr>
      <w:spacing w:before="120" w:after="0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F33"/>
    <w:pPr>
      <w:keepNext/>
      <w:keepLines/>
      <w:spacing w:before="4000"/>
      <w:outlineLvl w:val="0"/>
    </w:pPr>
    <w:rPr>
      <w:rFonts w:eastAsiaTheme="majorEastAsia" w:cstheme="majorBidi"/>
      <w:b/>
      <w:color w:val="000000" w:themeColor="text1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3BEE"/>
    <w:pPr>
      <w:keepNext/>
      <w:keepLines/>
      <w:spacing w:before="48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3BEE"/>
    <w:pPr>
      <w:keepNext/>
      <w:keepLines/>
      <w:spacing w:before="240" w:after="12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63BEE"/>
    <w:rPr>
      <w:rFonts w:eastAsiaTheme="majorEastAsia" w:cstheme="majorBidi"/>
      <w:b/>
      <w:sz w:val="32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81F33"/>
    <w:rPr>
      <w:rFonts w:eastAsiaTheme="majorEastAsia" w:cstheme="majorBidi"/>
      <w:b/>
      <w:color w:val="000000" w:themeColor="text1"/>
      <w:sz w:val="4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63BEE"/>
    <w:rPr>
      <w:rFonts w:eastAsiaTheme="majorEastAsia" w:cstheme="majorBidi"/>
      <w:b/>
      <w:color w:val="000000" w:themeColor="text1"/>
      <w:sz w:val="28"/>
      <w:szCs w:val="24"/>
    </w:rPr>
  </w:style>
  <w:style w:type="paragraph" w:styleId="Akapitzlist">
    <w:name w:val="List Paragraph"/>
    <w:basedOn w:val="Normalny"/>
    <w:uiPriority w:val="34"/>
    <w:qFormat/>
    <w:rsid w:val="001F45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5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5C1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F45C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F45C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5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5C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3A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12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27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212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27C"/>
    <w:rPr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856F6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3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c.bip.gov.pl/fobjects/download/714912/warunki-techniczne-publikacji-oraz-struktura-dokumentu-elektronicznego-deklaracji-dostepnosci-v-1-5-doc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wermapper.com/products/sort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ostepnosc-cyfrowa/wykaz-stron-internetowych-podmiotow-publiczny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dostepnosc-cyfrowa/wykaz-stron-internetowych-do-badania-automatycznego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.org/Translations/WCAG21-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05C1-744B-4D1E-86AF-04C8ABA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2440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dostępności cyfrowej stron internetowych podmiotów publicznych w 2020r - badanie automatyczne</dc:title>
  <dc:subject/>
  <dc:creator>Dębski Jakub</dc:creator>
  <cp:keywords/>
  <dc:description/>
  <cp:lastModifiedBy>Dębski Jakub</cp:lastModifiedBy>
  <cp:revision>5</cp:revision>
  <dcterms:created xsi:type="dcterms:W3CDTF">2021-03-31T12:54:00Z</dcterms:created>
  <dcterms:modified xsi:type="dcterms:W3CDTF">2021-04-14T11:08:00Z</dcterms:modified>
</cp:coreProperties>
</file>