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D241C" w14:textId="77777777" w:rsidR="005A7C1E" w:rsidRDefault="00662273">
      <w:pPr>
        <w:pBdr>
          <w:top w:val="nil"/>
          <w:left w:val="nil"/>
          <w:bottom w:val="nil"/>
          <w:right w:val="nil"/>
          <w:between w:val="nil"/>
        </w:pBdr>
        <w:jc w:val="center"/>
        <w:rPr>
          <w:rFonts w:ascii="Times New Roman" w:eastAsia="Times New Roman" w:hAnsi="Times New Roman" w:cs="Times New Roman"/>
          <w:color w:val="000000"/>
          <w:sz w:val="28"/>
          <w:szCs w:val="28"/>
        </w:rPr>
      </w:pPr>
      <w:bookmarkStart w:id="0" w:name="_gjdgxs" w:colFirst="0" w:colLast="0"/>
      <w:bookmarkEnd w:id="0"/>
      <w:r>
        <w:rPr>
          <w:rFonts w:ascii="Times New Roman" w:eastAsia="Times New Roman" w:hAnsi="Times New Roman" w:cs="Times New Roman"/>
          <w:b/>
          <w:color w:val="000000"/>
          <w:sz w:val="28"/>
          <w:szCs w:val="28"/>
        </w:rPr>
        <w:t>ANNOUNCEMENT OF A CALL FOR PROPOSALS</w:t>
      </w:r>
    </w:p>
    <w:p w14:paraId="764F465F" w14:textId="77777777" w:rsidR="005A7C1E" w:rsidRDefault="005A7C1E">
      <w:pPr>
        <w:pBdr>
          <w:top w:val="nil"/>
          <w:left w:val="nil"/>
          <w:bottom w:val="nil"/>
          <w:right w:val="nil"/>
          <w:between w:val="nil"/>
        </w:pBdr>
        <w:spacing w:before="120"/>
        <w:jc w:val="center"/>
        <w:rPr>
          <w:rFonts w:ascii="Times New Roman" w:eastAsia="Times New Roman" w:hAnsi="Times New Roman" w:cs="Times New Roman"/>
          <w:color w:val="000000"/>
          <w:sz w:val="24"/>
          <w:szCs w:val="24"/>
        </w:rPr>
      </w:pPr>
    </w:p>
    <w:p w14:paraId="5A4BA29F" w14:textId="77777777" w:rsidR="005A7C1E" w:rsidRDefault="0066227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The Minister of Climate, as the Operator of the </w:t>
      </w:r>
    </w:p>
    <w:p w14:paraId="22AA8E32" w14:textId="77777777" w:rsidR="005A7C1E" w:rsidRDefault="00662273">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“Environment, Energy and Climate Change”</w:t>
      </w:r>
      <w:r w:rsidR="00A54EE0">
        <w:rPr>
          <w:rFonts w:ascii="Times New Roman" w:eastAsia="Times New Roman" w:hAnsi="Times New Roman" w:cs="Times New Roman"/>
          <w:b/>
          <w:color w:val="000000"/>
          <w:sz w:val="28"/>
          <w:szCs w:val="28"/>
        </w:rPr>
        <w:t xml:space="preserve"> Programme</w:t>
      </w:r>
    </w:p>
    <w:p w14:paraId="041DE53E" w14:textId="77777777" w:rsidR="005A7C1E" w:rsidRDefault="00662273">
      <w:pPr>
        <w:pBdr>
          <w:top w:val="nil"/>
          <w:left w:val="nil"/>
          <w:bottom w:val="nil"/>
          <w:right w:val="nil"/>
          <w:between w:val="nil"/>
        </w:pBdr>
        <w:jc w:val="center"/>
        <w:rPr>
          <w:rFonts w:ascii="Times New Roman" w:eastAsia="Times New Roman" w:hAnsi="Times New Roman" w:cs="Times New Roman"/>
          <w:color w:val="000000"/>
          <w:sz w:val="28"/>
          <w:szCs w:val="28"/>
        </w:rPr>
      </w:pPr>
      <w:bookmarkStart w:id="1" w:name="_30j0zll" w:colFirst="0" w:colLast="0"/>
      <w:bookmarkEnd w:id="1"/>
      <w:r>
        <w:rPr>
          <w:rFonts w:ascii="Times New Roman" w:eastAsia="Times New Roman" w:hAnsi="Times New Roman" w:cs="Times New Roman"/>
          <w:b/>
          <w:color w:val="000000"/>
          <w:sz w:val="28"/>
          <w:szCs w:val="28"/>
        </w:rPr>
        <w:t>announces a call for proposals for co-financing of projects aimed at</w:t>
      </w:r>
    </w:p>
    <w:p w14:paraId="09F01D2B" w14:textId="77777777" w:rsidR="005A7C1E" w:rsidRDefault="00662273">
      <w:pPr>
        <w:pBdr>
          <w:top w:val="nil"/>
          <w:left w:val="nil"/>
          <w:bottom w:val="nil"/>
          <w:right w:val="nil"/>
          <w:between w:val="nil"/>
        </w:pBdr>
        <w:jc w:val="center"/>
        <w:rPr>
          <w:rFonts w:ascii="Times New Roman" w:eastAsia="Times New Roman" w:hAnsi="Times New Roman" w:cs="Times New Roman"/>
          <w:color w:val="000000"/>
          <w:sz w:val="28"/>
          <w:szCs w:val="28"/>
        </w:rPr>
      </w:pPr>
      <w:bookmarkStart w:id="2" w:name="_1fob9te" w:colFirst="0" w:colLast="0"/>
      <w:bookmarkEnd w:id="2"/>
      <w:r>
        <w:rPr>
          <w:rFonts w:ascii="Times New Roman" w:eastAsia="Times New Roman" w:hAnsi="Times New Roman" w:cs="Times New Roman"/>
          <w:b/>
          <w:color w:val="000000"/>
          <w:sz w:val="28"/>
          <w:szCs w:val="28"/>
        </w:rPr>
        <w:t>“Development of high-efficiency industrial and professional cogeneration” to be financed from the European Economic Area Financial Mechanism 2014-2021</w:t>
      </w:r>
    </w:p>
    <w:p w14:paraId="5B9BC373" w14:textId="3651D96E" w:rsidR="005A7C1E" w:rsidRDefault="00662273">
      <w:pPr>
        <w:pBdr>
          <w:top w:val="nil"/>
          <w:left w:val="nil"/>
          <w:bottom w:val="nil"/>
          <w:right w:val="nil"/>
          <w:between w:val="nil"/>
        </w:pBdr>
        <w:jc w:val="center"/>
        <w:rPr>
          <w:rFonts w:ascii="Times New Roman" w:eastAsia="Times New Roman" w:hAnsi="Times New Roman" w:cs="Times New Roman"/>
          <w:color w:val="000000"/>
          <w:sz w:val="28"/>
          <w:szCs w:val="28"/>
        </w:rPr>
      </w:pPr>
      <w:bookmarkStart w:id="3" w:name="_3znysh7" w:colFirst="0" w:colLast="0"/>
      <w:bookmarkEnd w:id="3"/>
      <w:r>
        <w:rPr>
          <w:rFonts w:ascii="Times New Roman" w:eastAsia="Times New Roman" w:hAnsi="Times New Roman" w:cs="Times New Roman"/>
          <w:b/>
          <w:color w:val="000000"/>
          <w:sz w:val="28"/>
          <w:szCs w:val="28"/>
        </w:rPr>
        <w:t xml:space="preserve">with an amount of EUR 40 000 000, i.e. PLN </w:t>
      </w:r>
      <w:r w:rsidR="00647B30" w:rsidRPr="00647B30">
        <w:rPr>
          <w:rFonts w:ascii="Times New Roman" w:eastAsia="Times New Roman" w:hAnsi="Times New Roman" w:cs="Times New Roman"/>
          <w:b/>
          <w:color w:val="000000"/>
          <w:sz w:val="28"/>
          <w:szCs w:val="28"/>
        </w:rPr>
        <w:t>172 636 000</w:t>
      </w:r>
      <w:r w:rsidR="00647B30" w:rsidRPr="00647B30">
        <w:rPr>
          <w:rFonts w:ascii="Times New Roman" w:eastAsia="Times New Roman" w:hAnsi="Times New Roman" w:cs="Times New Roman"/>
          <w:b/>
          <w:color w:val="000000"/>
          <w:sz w:val="28"/>
          <w:szCs w:val="28"/>
        </w:rPr>
        <w:t>‬</w:t>
      </w:r>
      <w:r w:rsidR="00647B3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b/>
          <w:color w:val="000000"/>
          <w:sz w:val="28"/>
          <w:szCs w:val="28"/>
        </w:rPr>
        <w:t>.</w:t>
      </w:r>
    </w:p>
    <w:p w14:paraId="01A601E6" w14:textId="77777777" w:rsidR="005A7C1E" w:rsidRDefault="005A7C1E">
      <w:pPr>
        <w:pBdr>
          <w:top w:val="nil"/>
          <w:left w:val="nil"/>
          <w:bottom w:val="nil"/>
          <w:right w:val="nil"/>
          <w:between w:val="nil"/>
        </w:pBdr>
        <w:spacing w:before="120"/>
        <w:jc w:val="both"/>
        <w:rPr>
          <w:rFonts w:ascii="Times New Roman" w:eastAsia="Times New Roman" w:hAnsi="Times New Roman" w:cs="Times New Roman"/>
          <w:color w:val="000000"/>
          <w:sz w:val="28"/>
          <w:szCs w:val="28"/>
        </w:rPr>
      </w:pPr>
    </w:p>
    <w:p w14:paraId="58A39657"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
    <w:p w14:paraId="16CB73E1" w14:textId="77777777" w:rsidR="005A7C1E" w:rsidRDefault="005A7C1E">
      <w:pPr>
        <w:pBdr>
          <w:top w:val="nil"/>
          <w:left w:val="nil"/>
          <w:bottom w:val="nil"/>
          <w:right w:val="nil"/>
          <w:between w:val="nil"/>
        </w:pBdr>
        <w:spacing w:before="120"/>
        <w:jc w:val="both"/>
        <w:rPr>
          <w:rFonts w:ascii="Times New Roman" w:eastAsia="Times New Roman" w:hAnsi="Times New Roman" w:cs="Times New Roman"/>
          <w:color w:val="000000"/>
          <w:sz w:val="28"/>
          <w:szCs w:val="28"/>
        </w:rPr>
      </w:pPr>
    </w:p>
    <w:p w14:paraId="16294FBD" w14:textId="77777777" w:rsidR="005A7C1E" w:rsidRDefault="00662273">
      <w:pPr>
        <w:numPr>
          <w:ilvl w:val="0"/>
          <w:numId w:val="8"/>
        </w:num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Aim of the Call for Proposals</w:t>
      </w:r>
    </w:p>
    <w:p w14:paraId="49E4C6B3"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main aim of the Call for Proposals</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 intended to co-finance projects in the programme area</w:t>
      </w:r>
      <w:r>
        <w:rPr>
          <w:rFonts w:ascii="Times New Roman" w:eastAsia="Times New Roman" w:hAnsi="Times New Roman" w:cs="Times New Roman"/>
          <w:i/>
          <w:color w:val="000000"/>
          <w:sz w:val="24"/>
          <w:szCs w:val="24"/>
        </w:rPr>
        <w:t xml:space="preserve"> Renewable Energy, Energy Efficiency, Energy Security</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shall be to improve the energy efficiency in the industry and to improve the security of energy supply to  individual consumers through the construction of new sources of </w:t>
      </w:r>
      <w:r>
        <w:rPr>
          <w:rFonts w:ascii="Times New Roman" w:eastAsia="Times New Roman" w:hAnsi="Times New Roman" w:cs="Times New Roman"/>
          <w:b/>
          <w:color w:val="000000"/>
          <w:sz w:val="24"/>
          <w:szCs w:val="24"/>
        </w:rPr>
        <w:t>high-efficiency cogeneration</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(high-efficiency cogeneration units or systems) and/or modernisation of existing sources to </w:t>
      </w:r>
      <w:r>
        <w:rPr>
          <w:rFonts w:ascii="Times New Roman" w:eastAsia="Times New Roman" w:hAnsi="Times New Roman" w:cs="Times New Roman"/>
          <w:sz w:val="24"/>
          <w:szCs w:val="24"/>
        </w:rPr>
        <w:t>obtain</w:t>
      </w:r>
      <w:r>
        <w:rPr>
          <w:rFonts w:ascii="Times New Roman" w:eastAsia="Times New Roman" w:hAnsi="Times New Roman" w:cs="Times New Roman"/>
          <w:color w:val="000000"/>
          <w:sz w:val="24"/>
          <w:szCs w:val="24"/>
        </w:rPr>
        <w:t xml:space="preserve"> high-efficiency cogeneration.</w:t>
      </w:r>
    </w:p>
    <w:p w14:paraId="68A78DFA"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qualify for the co-financing of high-efficiency cogeneration it is necessary to replace or build a new cogeneration unit or system, or to refurbish existing energy production capacity with new production units or systems</w:t>
      </w:r>
      <w:r>
        <w:rPr>
          <w:rFonts w:ascii="Courier New" w:eastAsia="Courier New" w:hAnsi="Courier New" w:cs="Courier New"/>
          <w:color w:val="000000"/>
        </w:rPr>
        <w:t xml:space="preserve"> </w:t>
      </w:r>
      <w:r>
        <w:rPr>
          <w:rFonts w:ascii="Times New Roman" w:eastAsia="Times New Roman" w:hAnsi="Times New Roman" w:cs="Times New Roman"/>
          <w:color w:val="000000"/>
          <w:sz w:val="24"/>
          <w:szCs w:val="24"/>
        </w:rPr>
        <w:t xml:space="preserve">based on </w:t>
      </w:r>
      <w:r>
        <w:rPr>
          <w:rFonts w:ascii="Times New Roman" w:eastAsia="Times New Roman" w:hAnsi="Times New Roman" w:cs="Times New Roman"/>
          <w:b/>
          <w:color w:val="000000"/>
          <w:sz w:val="24"/>
          <w:szCs w:val="24"/>
        </w:rPr>
        <w:t>renewable energy</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 xml:space="preserve"> and/or waste heat created by industrial processes and/or natural gas.</w:t>
      </w:r>
    </w:p>
    <w:p w14:paraId="7EFE9E90"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implementation of high-efficiency cogeneration projects shall lead to a corresponding reduction in the</w:t>
      </w:r>
      <w:r w:rsidR="00261E6B">
        <w:rPr>
          <w:rFonts w:ascii="Times New Roman" w:eastAsia="Times New Roman" w:hAnsi="Times New Roman" w:cs="Times New Roman"/>
          <w:color w:val="000000"/>
          <w:sz w:val="24"/>
          <w:szCs w:val="24"/>
        </w:rPr>
        <w:t xml:space="preserve"> us</w:t>
      </w:r>
      <w:r w:rsidR="00711F1F">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of solid fossil fuels.</w:t>
      </w:r>
    </w:p>
    <w:p w14:paraId="0915E5FD" w14:textId="77777777" w:rsidR="0087491A" w:rsidRDefault="00662273" w:rsidP="0087491A">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Priority will be given to projects that result in the largest reductions of CO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emissions while maintaining the highest energy efficiency and co</w:t>
      </w:r>
      <w:r w:rsidR="0087491A">
        <w:rPr>
          <w:rFonts w:ascii="Times New Roman" w:eastAsia="Times New Roman" w:hAnsi="Times New Roman" w:cs="Times New Roman"/>
          <w:color w:val="000000"/>
          <w:sz w:val="24"/>
          <w:szCs w:val="24"/>
        </w:rPr>
        <w:t>st efficiency, as well as</w:t>
      </w:r>
      <w:r>
        <w:rPr>
          <w:rFonts w:ascii="Times New Roman" w:eastAsia="Times New Roman" w:hAnsi="Times New Roman" w:cs="Times New Roman"/>
          <w:color w:val="000000"/>
          <w:sz w:val="24"/>
          <w:szCs w:val="24"/>
        </w:rPr>
        <w:t xml:space="preserve"> the </w:t>
      </w:r>
      <w:r w:rsidR="0087491A">
        <w:rPr>
          <w:rFonts w:ascii="Times New Roman" w:eastAsia="Times New Roman" w:hAnsi="Times New Roman" w:cs="Times New Roman"/>
          <w:color w:val="000000"/>
          <w:sz w:val="24"/>
          <w:szCs w:val="24"/>
        </w:rPr>
        <w:t xml:space="preserve">ones that result </w:t>
      </w:r>
      <w:r w:rsidR="0087491A" w:rsidRPr="00E26F89">
        <w:rPr>
          <w:rFonts w:ascii="Times New Roman" w:eastAsia="Times New Roman" w:hAnsi="Times New Roman" w:cs="Times New Roman"/>
          <w:color w:val="000000"/>
          <w:sz w:val="24"/>
          <w:szCs w:val="24"/>
        </w:rPr>
        <w:t>in the increase of social awareness concerning energy efficiency.</w:t>
      </w:r>
      <w:r w:rsidR="0087491A">
        <w:rPr>
          <w:rFonts w:ascii="Times New Roman" w:eastAsia="Times New Roman" w:hAnsi="Times New Roman" w:cs="Times New Roman"/>
          <w:color w:val="000000"/>
          <w:sz w:val="24"/>
          <w:szCs w:val="24"/>
        </w:rPr>
        <w:t xml:space="preserve"> </w:t>
      </w:r>
    </w:p>
    <w:p w14:paraId="2824CF23" w14:textId="77777777" w:rsidR="005A7C1E" w:rsidRDefault="005A7C1E">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p>
    <w:p w14:paraId="76530915" w14:textId="77777777" w:rsidR="008D7551" w:rsidRDefault="008D7551">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p>
    <w:p w14:paraId="6A905A0C" w14:textId="77777777" w:rsidR="008D7551" w:rsidRDefault="008D7551">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p>
    <w:p w14:paraId="272B3C58" w14:textId="6D294D61" w:rsidR="005A7C1E" w:rsidRDefault="00662273">
      <w:pPr>
        <w:numPr>
          <w:ilvl w:val="0"/>
          <w:numId w:val="8"/>
        </w:num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Type of projects </w:t>
      </w:r>
    </w:p>
    <w:p w14:paraId="40B6D283" w14:textId="77777777" w:rsidR="005A7C1E" w:rsidRDefault="005A7C1E">
      <w:pPr>
        <w:pBdr>
          <w:top w:val="nil"/>
          <w:left w:val="nil"/>
          <w:bottom w:val="nil"/>
          <w:right w:val="nil"/>
          <w:between w:val="nil"/>
        </w:pBdr>
        <w:jc w:val="both"/>
        <w:rPr>
          <w:rFonts w:ascii="Times New Roman" w:eastAsia="Times New Roman" w:hAnsi="Times New Roman" w:cs="Times New Roman"/>
          <w:color w:val="000000"/>
          <w:sz w:val="24"/>
          <w:szCs w:val="24"/>
        </w:rPr>
      </w:pPr>
    </w:p>
    <w:p w14:paraId="40B6BD90"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be eligible for co-financing, the purpose of the</w:t>
      </w:r>
      <w:r w:rsidR="0004611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project shall be to:</w:t>
      </w:r>
    </w:p>
    <w:p w14:paraId="3D930C36" w14:textId="77777777" w:rsidR="005A7C1E" w:rsidRDefault="00662273">
      <w:pPr>
        <w:numPr>
          <w:ilvl w:val="0"/>
          <w:numId w:val="6"/>
        </w:numPr>
        <w:pBdr>
          <w:top w:val="nil"/>
          <w:left w:val="nil"/>
          <w:bottom w:val="nil"/>
          <w:right w:val="nil"/>
          <w:between w:val="nil"/>
        </w:pBdr>
        <w:tabs>
          <w:tab w:val="left" w:pos="851"/>
        </w:tabs>
        <w:spacing w:before="120"/>
        <w:ind w:left="851"/>
        <w:jc w:val="both"/>
        <w:rPr>
          <w:color w:val="000000"/>
          <w:sz w:val="24"/>
          <w:szCs w:val="24"/>
        </w:rPr>
      </w:pPr>
      <w:r>
        <w:rPr>
          <w:rFonts w:ascii="Times New Roman" w:eastAsia="Times New Roman" w:hAnsi="Times New Roman" w:cs="Times New Roman"/>
          <w:color w:val="000000"/>
          <w:sz w:val="24"/>
          <w:szCs w:val="24"/>
        </w:rPr>
        <w:t>build a new electricity and heat production unit using high-efficiency cogeneration technology, or to increase the power production of such unit by its expansion or alteration;</w:t>
      </w:r>
    </w:p>
    <w:p w14:paraId="4D4857B9" w14:textId="77777777" w:rsidR="005A7C1E" w:rsidRDefault="00662273">
      <w:pPr>
        <w:numPr>
          <w:ilvl w:val="0"/>
          <w:numId w:val="6"/>
        </w:numPr>
        <w:pBdr>
          <w:top w:val="nil"/>
          <w:left w:val="nil"/>
          <w:bottom w:val="nil"/>
          <w:right w:val="nil"/>
          <w:between w:val="nil"/>
        </w:pBdr>
        <w:tabs>
          <w:tab w:val="left" w:pos="851"/>
        </w:tabs>
        <w:spacing w:before="120"/>
        <w:ind w:left="851"/>
        <w:jc w:val="both"/>
        <w:rPr>
          <w:color w:val="000000"/>
          <w:sz w:val="24"/>
          <w:szCs w:val="24"/>
        </w:rPr>
      </w:pPr>
      <w:r>
        <w:rPr>
          <w:rFonts w:ascii="Times New Roman" w:eastAsia="Times New Roman" w:hAnsi="Times New Roman" w:cs="Times New Roman"/>
          <w:color w:val="000000"/>
          <w:sz w:val="24"/>
          <w:szCs w:val="24"/>
        </w:rPr>
        <w:t>replace solid fossil fuels with renewable fuels in cogeneration systems;</w:t>
      </w:r>
    </w:p>
    <w:p w14:paraId="6B5A2175" w14:textId="77777777" w:rsidR="005A7C1E" w:rsidRDefault="00662273">
      <w:pPr>
        <w:numPr>
          <w:ilvl w:val="0"/>
          <w:numId w:val="6"/>
        </w:numPr>
        <w:pBdr>
          <w:top w:val="nil"/>
          <w:left w:val="nil"/>
          <w:bottom w:val="nil"/>
          <w:right w:val="nil"/>
          <w:between w:val="nil"/>
        </w:pBdr>
        <w:tabs>
          <w:tab w:val="left" w:pos="851"/>
        </w:tabs>
        <w:spacing w:before="120"/>
        <w:ind w:left="851"/>
        <w:jc w:val="both"/>
        <w:rPr>
          <w:color w:val="000000"/>
          <w:sz w:val="24"/>
          <w:szCs w:val="24"/>
        </w:rPr>
      </w:pPr>
      <w:r>
        <w:rPr>
          <w:rFonts w:ascii="Times New Roman" w:eastAsia="Times New Roman" w:hAnsi="Times New Roman" w:cs="Times New Roman"/>
          <w:color w:val="000000"/>
          <w:sz w:val="24"/>
          <w:szCs w:val="24"/>
        </w:rPr>
        <w:t>utilize waste heat created by industrial processes to fuel high-efficiency cogeneration systems;</w:t>
      </w:r>
    </w:p>
    <w:p w14:paraId="7BC269C1" w14:textId="77777777" w:rsidR="005A7C1E" w:rsidRDefault="00662273">
      <w:pPr>
        <w:numPr>
          <w:ilvl w:val="0"/>
          <w:numId w:val="6"/>
        </w:numPr>
        <w:pBdr>
          <w:top w:val="nil"/>
          <w:left w:val="nil"/>
          <w:bottom w:val="nil"/>
          <w:right w:val="nil"/>
          <w:between w:val="nil"/>
        </w:pBdr>
        <w:tabs>
          <w:tab w:val="left" w:pos="851"/>
        </w:tabs>
        <w:spacing w:before="120"/>
        <w:ind w:left="851"/>
        <w:jc w:val="both"/>
        <w:rPr>
          <w:color w:val="000000"/>
          <w:sz w:val="24"/>
          <w:szCs w:val="24"/>
        </w:rPr>
      </w:pPr>
      <w:r>
        <w:rPr>
          <w:rFonts w:ascii="Times New Roman" w:eastAsia="Times New Roman" w:hAnsi="Times New Roman" w:cs="Times New Roman"/>
          <w:color w:val="000000"/>
          <w:sz w:val="24"/>
          <w:szCs w:val="24"/>
        </w:rPr>
        <w:t xml:space="preserve">develop the production of combined heat, electricity and cooling sources based on renewable fuels. </w:t>
      </w:r>
    </w:p>
    <w:p w14:paraId="6C6012D0" w14:textId="77777777" w:rsidR="005A7C1E" w:rsidRDefault="005A7C1E">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p>
    <w:p w14:paraId="7FADB054" w14:textId="77777777" w:rsidR="002C12EC" w:rsidRDefault="002C12EC" w:rsidP="002C12EC">
      <w:pPr>
        <w:pBdr>
          <w:top w:val="nil"/>
          <w:left w:val="nil"/>
          <w:bottom w:val="nil"/>
          <w:right w:val="nil"/>
          <w:between w:val="nil"/>
        </w:pBdr>
        <w:tabs>
          <w:tab w:val="left" w:pos="851"/>
        </w:tabs>
        <w:spacing w:before="120"/>
        <w:jc w:val="both"/>
        <w:rPr>
          <w:rFonts w:ascii="Times New Roman" w:eastAsia="Times New Roman" w:hAnsi="Times New Roman" w:cs="Times New Roman"/>
          <w:color w:val="000000"/>
          <w:sz w:val="24"/>
          <w:szCs w:val="24"/>
        </w:rPr>
      </w:pPr>
      <w:r w:rsidRPr="004E5C40">
        <w:rPr>
          <w:rFonts w:ascii="Times New Roman" w:eastAsia="Times New Roman" w:hAnsi="Times New Roman" w:cs="Times New Roman"/>
          <w:sz w:val="24"/>
          <w:szCs w:val="24"/>
        </w:rPr>
        <w:t xml:space="preserve">Applications submitted for the “Construction/modernization of municipal heating systems and elimination of individual heat sources” call for proposals cannot </w:t>
      </w:r>
      <w:r>
        <w:rPr>
          <w:rFonts w:ascii="Times New Roman" w:eastAsia="Times New Roman" w:hAnsi="Times New Roman" w:cs="Times New Roman"/>
          <w:sz w:val="24"/>
          <w:szCs w:val="24"/>
        </w:rPr>
        <w:t>be</w:t>
      </w:r>
      <w:r w:rsidRPr="004E5C40">
        <w:rPr>
          <w:rFonts w:ascii="Times New Roman" w:eastAsia="Times New Roman" w:hAnsi="Times New Roman" w:cs="Times New Roman"/>
          <w:sz w:val="24"/>
          <w:szCs w:val="24"/>
        </w:rPr>
        <w:t xml:space="preserve"> submitted for the “Development of high-efficiency industrial and professional cogeneration” call for proposals.</w:t>
      </w:r>
    </w:p>
    <w:p w14:paraId="0E251D2E" w14:textId="77777777" w:rsidR="002C12EC" w:rsidRDefault="002C12EC">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p>
    <w:p w14:paraId="3CBE9F96" w14:textId="66E613B0" w:rsidR="005A7C1E" w:rsidRDefault="00662273">
      <w:pPr>
        <w:pBdr>
          <w:top w:val="nil"/>
          <w:left w:val="none" w:sz="0" w:space="5" w:color="000000"/>
          <w:bottom w:val="nil"/>
          <w:right w:val="none" w:sz="0" w:space="5" w:color="000000"/>
          <w:between w:val="nil"/>
        </w:pBdr>
        <w:ind w:left="108" w:right="1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projects selected within the scope of this call will contribute to achieving the Programme’s Outcome 3: “Improved energy efficiency in buildings, industry and municipalities” and Output 3.2 “Energy efficiency in industry and power generation supported</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4"/>
          <w:szCs w:val="24"/>
        </w:rPr>
        <w:t xml:space="preserve">which indicators and targets are listed on the table below, in accordance with Annex I to the Programme Agreement, signed in </w:t>
      </w:r>
      <w:r w:rsidR="00C1515F">
        <w:rPr>
          <w:rFonts w:ascii="Times New Roman" w:eastAsia="Times New Roman" w:hAnsi="Times New Roman" w:cs="Times New Roman"/>
          <w:color w:val="000000"/>
          <w:sz w:val="24"/>
          <w:szCs w:val="24"/>
        </w:rPr>
        <w:t xml:space="preserve">Warsaw </w:t>
      </w:r>
      <w:r>
        <w:rPr>
          <w:rFonts w:ascii="Times New Roman" w:eastAsia="Times New Roman" w:hAnsi="Times New Roman" w:cs="Times New Roman"/>
          <w:color w:val="000000"/>
          <w:sz w:val="24"/>
          <w:szCs w:val="24"/>
        </w:rPr>
        <w:t>on</w:t>
      </w:r>
      <w:r w:rsidR="00C1515F">
        <w:rPr>
          <w:rFonts w:ascii="Times New Roman" w:eastAsia="Times New Roman" w:hAnsi="Times New Roman" w:cs="Times New Roman"/>
          <w:color w:val="000000"/>
          <w:sz w:val="24"/>
          <w:szCs w:val="24"/>
        </w:rPr>
        <w:t xml:space="preserve"> 7</w:t>
      </w:r>
      <w:r w:rsidR="00C1515F" w:rsidRPr="00333241">
        <w:rPr>
          <w:rFonts w:ascii="Times New Roman" w:eastAsia="Times New Roman" w:hAnsi="Times New Roman" w:cs="Times New Roman"/>
          <w:color w:val="000000"/>
          <w:sz w:val="24"/>
          <w:szCs w:val="24"/>
          <w:vertAlign w:val="superscript"/>
        </w:rPr>
        <w:t>th</w:t>
      </w:r>
      <w:r w:rsidR="00C1515F">
        <w:rPr>
          <w:rFonts w:ascii="Times New Roman" w:eastAsia="Times New Roman" w:hAnsi="Times New Roman" w:cs="Times New Roman"/>
          <w:color w:val="000000"/>
          <w:sz w:val="24"/>
          <w:szCs w:val="24"/>
        </w:rPr>
        <w:t xml:space="preserve"> February 2020</w:t>
      </w:r>
      <w:r>
        <w:rPr>
          <w:rFonts w:ascii="Times New Roman" w:eastAsia="Times New Roman" w:hAnsi="Times New Roman" w:cs="Times New Roman"/>
          <w:color w:val="000000"/>
          <w:sz w:val="24"/>
          <w:szCs w:val="24"/>
        </w:rPr>
        <w:t>.</w:t>
      </w:r>
    </w:p>
    <w:p w14:paraId="77FD183A" w14:textId="77777777" w:rsidR="005A7C1E" w:rsidRDefault="005A7C1E">
      <w:pPr>
        <w:pBdr>
          <w:top w:val="nil"/>
          <w:left w:val="none" w:sz="0" w:space="5" w:color="000000"/>
          <w:bottom w:val="nil"/>
          <w:right w:val="none" w:sz="0" w:space="5" w:color="000000"/>
          <w:between w:val="nil"/>
        </w:pBdr>
        <w:ind w:left="108" w:right="108"/>
        <w:jc w:val="both"/>
        <w:rPr>
          <w:rFonts w:ascii="Times New Roman" w:eastAsia="Times New Roman" w:hAnsi="Times New Roman" w:cs="Times New Roman"/>
          <w:color w:val="000000"/>
          <w:sz w:val="24"/>
          <w:szCs w:val="24"/>
        </w:rPr>
      </w:pPr>
    </w:p>
    <w:tbl>
      <w:tblPr>
        <w:tblStyle w:val="a"/>
        <w:tblW w:w="9063" w:type="dxa"/>
        <w:tblInd w:w="16" w:type="dxa"/>
        <w:tblLayout w:type="fixed"/>
        <w:tblLook w:val="0000" w:firstRow="0" w:lastRow="0" w:firstColumn="0" w:lastColumn="0" w:noHBand="0" w:noVBand="0"/>
      </w:tblPr>
      <w:tblGrid>
        <w:gridCol w:w="642"/>
        <w:gridCol w:w="983"/>
        <w:gridCol w:w="1628"/>
        <w:gridCol w:w="2532"/>
        <w:gridCol w:w="1273"/>
        <w:gridCol w:w="874"/>
        <w:gridCol w:w="1131"/>
      </w:tblGrid>
      <w:tr w:rsidR="005A7C1E" w14:paraId="3C6120BB" w14:textId="77777777">
        <w:tc>
          <w:tcPr>
            <w:tcW w:w="643" w:type="dxa"/>
            <w:tcBorders>
              <w:top w:val="single" w:sz="6" w:space="0" w:color="000000"/>
              <w:left w:val="single" w:sz="6" w:space="0" w:color="000000"/>
              <w:bottom w:val="single" w:sz="4" w:space="0" w:color="000000"/>
              <w:right w:val="single" w:sz="6" w:space="0" w:color="000000"/>
            </w:tcBorders>
            <w:shd w:val="clear" w:color="auto" w:fill="E6E6E6"/>
            <w:tcMar>
              <w:top w:w="8" w:type="dxa"/>
              <w:left w:w="8" w:type="dxa"/>
              <w:bottom w:w="8" w:type="dxa"/>
              <w:right w:w="8" w:type="dxa"/>
            </w:tcMar>
            <w:vAlign w:val="center"/>
          </w:tcPr>
          <w:p w14:paraId="43976800" w14:textId="77777777" w:rsidR="005A7C1E" w:rsidRDefault="00662273">
            <w:pPr>
              <w:pBdr>
                <w:top w:val="nil"/>
                <w:left w:val="none" w:sz="0" w:space="5" w:color="000000"/>
                <w:bottom w:val="nil"/>
                <w:right w:val="none" w:sz="0" w:space="5" w:color="000000"/>
                <w:between w:val="nil"/>
              </w:pBdr>
              <w:ind w:left="108" w:right="108"/>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PA</w:t>
            </w:r>
          </w:p>
        </w:tc>
        <w:tc>
          <w:tcPr>
            <w:tcW w:w="983" w:type="dxa"/>
            <w:tcBorders>
              <w:top w:val="single" w:sz="6" w:space="0" w:color="000000"/>
              <w:left w:val="single" w:sz="6" w:space="0" w:color="000000"/>
              <w:bottom w:val="single" w:sz="4" w:space="0" w:color="000000"/>
              <w:right w:val="single" w:sz="6" w:space="0" w:color="000000"/>
            </w:tcBorders>
            <w:shd w:val="clear" w:color="auto" w:fill="E6E6E6"/>
            <w:tcMar>
              <w:top w:w="8" w:type="dxa"/>
              <w:left w:w="8" w:type="dxa"/>
              <w:bottom w:w="8" w:type="dxa"/>
              <w:right w:w="8" w:type="dxa"/>
            </w:tcMar>
            <w:vAlign w:val="center"/>
          </w:tcPr>
          <w:p w14:paraId="227D9674" w14:textId="77777777" w:rsidR="005A7C1E" w:rsidRDefault="00662273">
            <w:pPr>
              <w:pBdr>
                <w:top w:val="nil"/>
                <w:left w:val="none" w:sz="0" w:space="5" w:color="000000"/>
                <w:bottom w:val="nil"/>
                <w:right w:val="none" w:sz="0" w:space="5" w:color="000000"/>
                <w:between w:val="nil"/>
              </w:pBdr>
              <w:ind w:left="108" w:right="108"/>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Outcome/</w:t>
            </w:r>
          </w:p>
          <w:p w14:paraId="47019A6F" w14:textId="77777777" w:rsidR="005A7C1E" w:rsidRDefault="00662273">
            <w:pPr>
              <w:pBdr>
                <w:top w:val="nil"/>
                <w:left w:val="none" w:sz="0" w:space="5" w:color="000000"/>
                <w:bottom w:val="nil"/>
                <w:right w:val="none" w:sz="0" w:space="5" w:color="000000"/>
                <w:between w:val="nil"/>
              </w:pBdr>
              <w:ind w:left="108" w:right="108"/>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Output</w:t>
            </w:r>
          </w:p>
        </w:tc>
        <w:tc>
          <w:tcPr>
            <w:tcW w:w="1628" w:type="dxa"/>
            <w:tcBorders>
              <w:top w:val="single" w:sz="6" w:space="0" w:color="000000"/>
              <w:left w:val="single" w:sz="6" w:space="0" w:color="000000"/>
              <w:bottom w:val="single" w:sz="6" w:space="0" w:color="000000"/>
              <w:right w:val="single" w:sz="6" w:space="0" w:color="000000"/>
            </w:tcBorders>
            <w:shd w:val="clear" w:color="auto" w:fill="E6E6E6"/>
            <w:tcMar>
              <w:top w:w="8" w:type="dxa"/>
              <w:left w:w="8" w:type="dxa"/>
              <w:bottom w:w="8" w:type="dxa"/>
              <w:right w:w="8" w:type="dxa"/>
            </w:tcMar>
            <w:vAlign w:val="center"/>
          </w:tcPr>
          <w:p w14:paraId="238E7A4E" w14:textId="77777777" w:rsidR="005A7C1E" w:rsidRDefault="00662273">
            <w:pPr>
              <w:pBdr>
                <w:top w:val="nil"/>
                <w:left w:val="none" w:sz="0" w:space="5" w:color="000000"/>
                <w:bottom w:val="nil"/>
                <w:right w:val="none" w:sz="0" w:space="5" w:color="000000"/>
                <w:between w:val="nil"/>
              </w:pBdr>
              <w:ind w:left="108" w:right="108"/>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Expected programme results</w:t>
            </w:r>
          </w:p>
        </w:tc>
        <w:tc>
          <w:tcPr>
            <w:tcW w:w="2532" w:type="dxa"/>
            <w:tcBorders>
              <w:top w:val="single" w:sz="6" w:space="0" w:color="000000"/>
              <w:left w:val="single" w:sz="6" w:space="0" w:color="000000"/>
              <w:bottom w:val="single" w:sz="6" w:space="0" w:color="000000"/>
              <w:right w:val="single" w:sz="6" w:space="0" w:color="000000"/>
            </w:tcBorders>
            <w:shd w:val="clear" w:color="auto" w:fill="E6E6E6"/>
            <w:tcMar>
              <w:top w:w="8" w:type="dxa"/>
              <w:left w:w="8" w:type="dxa"/>
              <w:bottom w:w="8" w:type="dxa"/>
              <w:right w:w="8" w:type="dxa"/>
            </w:tcMar>
            <w:vAlign w:val="center"/>
          </w:tcPr>
          <w:p w14:paraId="2BF6BDFB" w14:textId="77777777" w:rsidR="005A7C1E" w:rsidRDefault="00662273">
            <w:pPr>
              <w:pBdr>
                <w:top w:val="nil"/>
                <w:left w:val="none" w:sz="0" w:space="5" w:color="000000"/>
                <w:bottom w:val="nil"/>
                <w:right w:val="none" w:sz="0" w:space="5" w:color="000000"/>
                <w:between w:val="nil"/>
              </w:pBdr>
              <w:ind w:left="108" w:right="108"/>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Indicator</w:t>
            </w:r>
          </w:p>
        </w:tc>
        <w:tc>
          <w:tcPr>
            <w:tcW w:w="1273" w:type="dxa"/>
            <w:tcBorders>
              <w:top w:val="single" w:sz="6" w:space="0" w:color="000000"/>
              <w:left w:val="single" w:sz="6" w:space="0" w:color="000000"/>
              <w:bottom w:val="single" w:sz="6" w:space="0" w:color="000000"/>
              <w:right w:val="single" w:sz="6" w:space="0" w:color="000000"/>
            </w:tcBorders>
            <w:shd w:val="clear" w:color="auto" w:fill="E6E6E6"/>
            <w:tcMar>
              <w:top w:w="8" w:type="dxa"/>
              <w:left w:w="8" w:type="dxa"/>
              <w:bottom w:w="8" w:type="dxa"/>
              <w:right w:w="8" w:type="dxa"/>
            </w:tcMar>
            <w:vAlign w:val="center"/>
          </w:tcPr>
          <w:p w14:paraId="33E31024" w14:textId="77777777" w:rsidR="005A7C1E" w:rsidRDefault="00662273">
            <w:pPr>
              <w:pBdr>
                <w:top w:val="nil"/>
                <w:left w:val="none" w:sz="0" w:space="5" w:color="000000"/>
                <w:bottom w:val="nil"/>
                <w:right w:val="none" w:sz="0" w:space="5" w:color="000000"/>
                <w:between w:val="nil"/>
              </w:pBdr>
              <w:ind w:left="108" w:right="108"/>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Unit of measurement</w:t>
            </w:r>
          </w:p>
        </w:tc>
        <w:tc>
          <w:tcPr>
            <w:tcW w:w="874" w:type="dxa"/>
            <w:tcBorders>
              <w:top w:val="single" w:sz="6" w:space="0" w:color="000000"/>
              <w:left w:val="single" w:sz="6" w:space="0" w:color="000000"/>
              <w:bottom w:val="single" w:sz="6" w:space="0" w:color="000000"/>
              <w:right w:val="single" w:sz="6" w:space="0" w:color="000000"/>
            </w:tcBorders>
            <w:shd w:val="clear" w:color="auto" w:fill="E6E6E6"/>
            <w:tcMar>
              <w:top w:w="8" w:type="dxa"/>
              <w:left w:w="8" w:type="dxa"/>
              <w:bottom w:w="8" w:type="dxa"/>
              <w:right w:w="8" w:type="dxa"/>
            </w:tcMar>
            <w:vAlign w:val="center"/>
          </w:tcPr>
          <w:p w14:paraId="28EEF345" w14:textId="77777777" w:rsidR="005A7C1E" w:rsidRDefault="00662273">
            <w:pPr>
              <w:pBdr>
                <w:top w:val="nil"/>
                <w:left w:val="none" w:sz="0" w:space="5" w:color="000000"/>
                <w:bottom w:val="nil"/>
                <w:right w:val="none" w:sz="0" w:space="5" w:color="000000"/>
                <w:between w:val="nil"/>
              </w:pBdr>
              <w:ind w:left="108" w:right="108"/>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Baseline values</w:t>
            </w:r>
          </w:p>
        </w:tc>
        <w:tc>
          <w:tcPr>
            <w:tcW w:w="1131" w:type="dxa"/>
            <w:tcBorders>
              <w:top w:val="single" w:sz="6" w:space="0" w:color="000000"/>
              <w:left w:val="single" w:sz="6" w:space="0" w:color="000000"/>
              <w:bottom w:val="single" w:sz="6" w:space="0" w:color="000000"/>
              <w:right w:val="single" w:sz="6" w:space="0" w:color="000000"/>
            </w:tcBorders>
            <w:shd w:val="clear" w:color="auto" w:fill="E6E6E6"/>
            <w:tcMar>
              <w:top w:w="8" w:type="dxa"/>
              <w:left w:w="8" w:type="dxa"/>
              <w:bottom w:w="8" w:type="dxa"/>
              <w:right w:w="8" w:type="dxa"/>
            </w:tcMar>
            <w:vAlign w:val="center"/>
          </w:tcPr>
          <w:p w14:paraId="71F76EC3" w14:textId="77777777" w:rsidR="005A7C1E" w:rsidRDefault="00662273">
            <w:pPr>
              <w:pBdr>
                <w:top w:val="nil"/>
                <w:left w:val="none" w:sz="0" w:space="5" w:color="000000"/>
                <w:bottom w:val="nil"/>
                <w:right w:val="none" w:sz="0" w:space="5" w:color="000000"/>
                <w:between w:val="nil"/>
              </w:pBdr>
              <w:ind w:left="108" w:right="108"/>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Target value</w:t>
            </w:r>
          </w:p>
        </w:tc>
      </w:tr>
      <w:tr w:rsidR="005A7C1E" w14:paraId="7D9D2D37" w14:textId="77777777">
        <w:tc>
          <w:tcPr>
            <w:tcW w:w="643" w:type="dxa"/>
            <w:vMerge w:val="restart"/>
            <w:tcBorders>
              <w:top w:val="single" w:sz="4" w:space="0" w:color="000000"/>
              <w:left w:val="single" w:sz="4" w:space="0" w:color="000000"/>
              <w:bottom w:val="single" w:sz="4" w:space="0" w:color="000000"/>
              <w:right w:val="single" w:sz="4" w:space="0" w:color="000000"/>
            </w:tcBorders>
            <w:tcMar>
              <w:top w:w="8" w:type="dxa"/>
              <w:left w:w="8" w:type="dxa"/>
              <w:bottom w:w="8" w:type="dxa"/>
              <w:right w:w="8" w:type="dxa"/>
            </w:tcMar>
            <w:vAlign w:val="center"/>
          </w:tcPr>
          <w:p w14:paraId="7531835E" w14:textId="77777777" w:rsidR="005A7C1E" w:rsidRDefault="00662273">
            <w:pPr>
              <w:pBdr>
                <w:top w:val="nil"/>
                <w:left w:val="none" w:sz="0" w:space="5" w:color="000000"/>
                <w:bottom w:val="nil"/>
                <w:right w:val="none" w:sz="0" w:space="5" w:color="000000"/>
                <w:between w:val="nil"/>
              </w:pBdr>
              <w:ind w:left="108" w:right="108"/>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PA12</w:t>
            </w:r>
          </w:p>
        </w:tc>
        <w:tc>
          <w:tcPr>
            <w:tcW w:w="983" w:type="dxa"/>
            <w:vMerge w:val="restart"/>
            <w:tcBorders>
              <w:top w:val="single" w:sz="4" w:space="0" w:color="000000"/>
              <w:left w:val="single" w:sz="4" w:space="0" w:color="000000"/>
              <w:bottom w:val="single" w:sz="4" w:space="0" w:color="000000"/>
              <w:right w:val="single" w:sz="4" w:space="0" w:color="000000"/>
            </w:tcBorders>
            <w:tcMar>
              <w:top w:w="8" w:type="dxa"/>
              <w:left w:w="8" w:type="dxa"/>
              <w:bottom w:w="8" w:type="dxa"/>
              <w:right w:w="8" w:type="dxa"/>
            </w:tcMar>
            <w:vAlign w:val="center"/>
          </w:tcPr>
          <w:p w14:paraId="07899A66" w14:textId="77777777" w:rsidR="005A7C1E" w:rsidRDefault="00662273">
            <w:pPr>
              <w:pBdr>
                <w:top w:val="nil"/>
                <w:left w:val="none" w:sz="0" w:space="5" w:color="000000"/>
                <w:bottom w:val="nil"/>
                <w:right w:val="none" w:sz="0" w:space="5" w:color="000000"/>
                <w:between w:val="nil"/>
              </w:pBdr>
              <w:ind w:left="108" w:right="108"/>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Outcome 3</w:t>
            </w:r>
          </w:p>
        </w:tc>
        <w:tc>
          <w:tcPr>
            <w:tcW w:w="1628" w:type="dxa"/>
            <w:vMerge w:val="restart"/>
            <w:tcBorders>
              <w:top w:val="single" w:sz="6" w:space="0" w:color="000000"/>
              <w:left w:val="single" w:sz="4" w:space="0" w:color="000000"/>
              <w:right w:val="single" w:sz="6" w:space="0" w:color="000000"/>
            </w:tcBorders>
            <w:tcMar>
              <w:top w:w="8" w:type="dxa"/>
              <w:left w:w="8" w:type="dxa"/>
              <w:bottom w:w="8" w:type="dxa"/>
              <w:right w:w="8" w:type="dxa"/>
            </w:tcMar>
            <w:vAlign w:val="center"/>
          </w:tcPr>
          <w:p w14:paraId="44F4E83D" w14:textId="77777777" w:rsidR="005A7C1E" w:rsidRDefault="00662273">
            <w:pPr>
              <w:pBdr>
                <w:top w:val="nil"/>
                <w:left w:val="none" w:sz="0" w:space="5" w:color="000000"/>
                <w:bottom w:val="nil"/>
                <w:right w:val="none" w:sz="0" w:space="5" w:color="000000"/>
                <w:between w:val="nil"/>
              </w:pBdr>
              <w:ind w:left="108" w:right="108"/>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Improved energy efficiency in buildings, industry and municipalities</w:t>
            </w:r>
          </w:p>
        </w:tc>
        <w:tc>
          <w:tcPr>
            <w:tcW w:w="253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027E33F2" w14:textId="77777777" w:rsidR="005A7C1E" w:rsidRDefault="00662273">
            <w:pPr>
              <w:pBdr>
                <w:top w:val="nil"/>
                <w:left w:val="none" w:sz="0" w:space="5" w:color="000000"/>
                <w:bottom w:val="nil"/>
                <w:right w:val="none" w:sz="0" w:space="5" w:color="000000"/>
                <w:between w:val="nil"/>
              </w:pBdr>
              <w:ind w:left="108" w:right="10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Estimated annual CO</w:t>
            </w:r>
            <w:r>
              <w:rPr>
                <w:rFonts w:ascii="Times New Roman" w:eastAsia="Times New Roman" w:hAnsi="Times New Roman" w:cs="Times New Roman"/>
                <w:color w:val="000000"/>
                <w:sz w:val="18"/>
                <w:szCs w:val="18"/>
                <w:vertAlign w:val="subscript"/>
              </w:rPr>
              <w:t>2</w:t>
            </w:r>
            <w:r>
              <w:rPr>
                <w:rFonts w:ascii="Times New Roman" w:eastAsia="Times New Roman" w:hAnsi="Times New Roman" w:cs="Times New Roman"/>
                <w:color w:val="000000"/>
                <w:sz w:val="18"/>
                <w:szCs w:val="18"/>
              </w:rPr>
              <w:t>-emissions reductions (in tonnes/year)</w:t>
            </w:r>
          </w:p>
        </w:tc>
        <w:tc>
          <w:tcPr>
            <w:tcW w:w="1273"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3E9B7ED7" w14:textId="77777777" w:rsidR="005A7C1E" w:rsidRDefault="009A5E57">
            <w:pPr>
              <w:pBdr>
                <w:top w:val="nil"/>
                <w:left w:val="none" w:sz="0" w:space="5" w:color="000000"/>
                <w:bottom w:val="nil"/>
                <w:right w:val="none" w:sz="0" w:space="5" w:color="000000"/>
                <w:between w:val="nil"/>
              </w:pBdr>
              <w:ind w:left="108" w:right="108"/>
              <w:jc w:val="center"/>
              <w:rPr>
                <w:rFonts w:ascii="Times New Roman" w:eastAsia="Times New Roman" w:hAnsi="Times New Roman" w:cs="Times New Roman"/>
                <w:color w:val="000000"/>
                <w:sz w:val="18"/>
                <w:szCs w:val="18"/>
              </w:rPr>
            </w:pPr>
            <w:r w:rsidRPr="009A5E57">
              <w:rPr>
                <w:rFonts w:ascii="Times New Roman" w:eastAsia="Times New Roman" w:hAnsi="Times New Roman" w:cs="Times New Roman"/>
                <w:color w:val="000000"/>
                <w:sz w:val="18"/>
                <w:szCs w:val="18"/>
              </w:rPr>
              <w:t>tonnes/year</w:t>
            </w:r>
          </w:p>
        </w:tc>
        <w:tc>
          <w:tcPr>
            <w:tcW w:w="874" w:type="dxa"/>
            <w:tcBorders>
              <w:top w:val="single" w:sz="6" w:space="0" w:color="000000"/>
              <w:left w:val="single" w:sz="6" w:space="0" w:color="000000"/>
              <w:bottom w:val="single" w:sz="4" w:space="0" w:color="000000"/>
              <w:right w:val="single" w:sz="6" w:space="0" w:color="000000"/>
            </w:tcBorders>
            <w:tcMar>
              <w:top w:w="8" w:type="dxa"/>
              <w:left w:w="8" w:type="dxa"/>
              <w:bottom w:w="8" w:type="dxa"/>
              <w:right w:w="8" w:type="dxa"/>
            </w:tcMar>
            <w:vAlign w:val="center"/>
          </w:tcPr>
          <w:p w14:paraId="6E5DD339" w14:textId="77777777" w:rsidR="005A7C1E" w:rsidRDefault="00662273">
            <w:pPr>
              <w:pBdr>
                <w:top w:val="nil"/>
                <w:left w:val="none" w:sz="0" w:space="5" w:color="000000"/>
                <w:bottom w:val="nil"/>
                <w:right w:val="none" w:sz="0" w:space="5" w:color="000000"/>
                <w:between w:val="nil"/>
              </w:pBdr>
              <w:ind w:left="10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1131" w:type="dxa"/>
            <w:tcBorders>
              <w:top w:val="single" w:sz="6" w:space="0" w:color="000000"/>
              <w:left w:val="single" w:sz="6" w:space="0" w:color="000000"/>
              <w:bottom w:val="single" w:sz="4" w:space="0" w:color="000000"/>
              <w:right w:val="single" w:sz="6" w:space="0" w:color="000000"/>
            </w:tcBorders>
            <w:tcMar>
              <w:top w:w="8" w:type="dxa"/>
              <w:left w:w="8" w:type="dxa"/>
              <w:bottom w:w="8" w:type="dxa"/>
              <w:right w:w="8" w:type="dxa"/>
            </w:tcMar>
            <w:vAlign w:val="center"/>
          </w:tcPr>
          <w:p w14:paraId="207D2FBD" w14:textId="77777777" w:rsidR="005A7C1E" w:rsidRDefault="00662273">
            <w:pPr>
              <w:pBdr>
                <w:top w:val="nil"/>
                <w:left w:val="none" w:sz="0" w:space="5" w:color="000000"/>
                <w:bottom w:val="nil"/>
                <w:right w:val="none" w:sz="0" w:space="5" w:color="000000"/>
                <w:between w:val="nil"/>
              </w:pBdr>
              <w:ind w:left="10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593</w:t>
            </w:r>
            <w:r w:rsidR="00B33121">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200</w:t>
            </w:r>
            <w:r>
              <w:rPr>
                <w:rFonts w:ascii="Times New Roman" w:eastAsia="Times New Roman" w:hAnsi="Times New Roman" w:cs="Times New Roman"/>
                <w:color w:val="000000"/>
                <w:sz w:val="18"/>
                <w:szCs w:val="18"/>
                <w:vertAlign w:val="superscript"/>
              </w:rPr>
              <w:footnoteReference w:id="5"/>
            </w:r>
          </w:p>
        </w:tc>
      </w:tr>
      <w:tr w:rsidR="005A7C1E" w14:paraId="6CA22DB6" w14:textId="77777777">
        <w:trPr>
          <w:trHeight w:val="605"/>
        </w:trPr>
        <w:tc>
          <w:tcPr>
            <w:tcW w:w="643" w:type="dxa"/>
            <w:vMerge/>
            <w:tcBorders>
              <w:top w:val="single" w:sz="4" w:space="0" w:color="000000"/>
              <w:left w:val="single" w:sz="4" w:space="0" w:color="000000"/>
              <w:bottom w:val="single" w:sz="4" w:space="0" w:color="000000"/>
              <w:right w:val="single" w:sz="4" w:space="0" w:color="000000"/>
            </w:tcBorders>
            <w:tcMar>
              <w:top w:w="8" w:type="dxa"/>
              <w:left w:w="8" w:type="dxa"/>
              <w:bottom w:w="8" w:type="dxa"/>
              <w:right w:w="8" w:type="dxa"/>
            </w:tcMar>
            <w:vAlign w:val="center"/>
          </w:tcPr>
          <w:p w14:paraId="11DC82BB" w14:textId="77777777" w:rsidR="005A7C1E" w:rsidRDefault="005A7C1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983" w:type="dxa"/>
            <w:vMerge/>
            <w:tcBorders>
              <w:top w:val="single" w:sz="4" w:space="0" w:color="000000"/>
              <w:left w:val="single" w:sz="4" w:space="0" w:color="000000"/>
              <w:bottom w:val="single" w:sz="4" w:space="0" w:color="000000"/>
              <w:right w:val="single" w:sz="4" w:space="0" w:color="000000"/>
            </w:tcBorders>
            <w:tcMar>
              <w:top w:w="8" w:type="dxa"/>
              <w:left w:w="8" w:type="dxa"/>
              <w:bottom w:w="8" w:type="dxa"/>
              <w:right w:w="8" w:type="dxa"/>
            </w:tcMar>
            <w:vAlign w:val="center"/>
          </w:tcPr>
          <w:p w14:paraId="538FFB33" w14:textId="77777777" w:rsidR="005A7C1E" w:rsidRDefault="005A7C1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628" w:type="dxa"/>
            <w:vMerge/>
            <w:tcBorders>
              <w:top w:val="single" w:sz="6" w:space="0" w:color="000000"/>
              <w:left w:val="single" w:sz="4" w:space="0" w:color="000000"/>
              <w:right w:val="single" w:sz="6" w:space="0" w:color="000000"/>
            </w:tcBorders>
            <w:tcMar>
              <w:top w:w="8" w:type="dxa"/>
              <w:left w:w="8" w:type="dxa"/>
              <w:bottom w:w="8" w:type="dxa"/>
              <w:right w:w="8" w:type="dxa"/>
            </w:tcMar>
            <w:vAlign w:val="center"/>
          </w:tcPr>
          <w:p w14:paraId="55A4C75E" w14:textId="77777777" w:rsidR="005A7C1E" w:rsidRDefault="005A7C1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2532" w:type="dxa"/>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2D8133F2" w14:textId="77777777" w:rsidR="005A7C1E" w:rsidRDefault="00662273">
            <w:pPr>
              <w:pBdr>
                <w:top w:val="nil"/>
                <w:left w:val="none" w:sz="0" w:space="5" w:color="000000"/>
                <w:bottom w:val="nil"/>
                <w:right w:val="none" w:sz="0" w:space="5" w:color="000000"/>
                <w:between w:val="nil"/>
              </w:pBdr>
              <w:ind w:left="108" w:right="10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Estimated energy production from renewable sources (in MWh/year)</w:t>
            </w:r>
          </w:p>
        </w:tc>
        <w:tc>
          <w:tcPr>
            <w:tcW w:w="1273" w:type="dxa"/>
            <w:tcBorders>
              <w:top w:val="single" w:sz="6" w:space="0" w:color="000000"/>
              <w:left w:val="single" w:sz="6" w:space="0" w:color="000000"/>
              <w:right w:val="single" w:sz="4" w:space="0" w:color="000000"/>
            </w:tcBorders>
            <w:tcMar>
              <w:top w:w="8" w:type="dxa"/>
              <w:left w:w="8" w:type="dxa"/>
              <w:bottom w:w="8" w:type="dxa"/>
              <w:right w:w="8" w:type="dxa"/>
            </w:tcMar>
            <w:vAlign w:val="center"/>
          </w:tcPr>
          <w:p w14:paraId="50B299BD" w14:textId="77777777" w:rsidR="005A7C1E" w:rsidRDefault="009A5E57">
            <w:pPr>
              <w:pBdr>
                <w:top w:val="nil"/>
                <w:left w:val="none" w:sz="0" w:space="5" w:color="000000"/>
                <w:bottom w:val="nil"/>
                <w:right w:val="none" w:sz="0" w:space="5" w:color="000000"/>
                <w:between w:val="nil"/>
              </w:pBdr>
              <w:ind w:left="108" w:right="108"/>
              <w:jc w:val="center"/>
              <w:rPr>
                <w:rFonts w:ascii="Times New Roman" w:eastAsia="Times New Roman" w:hAnsi="Times New Roman" w:cs="Times New Roman"/>
                <w:color w:val="000000"/>
                <w:sz w:val="18"/>
                <w:szCs w:val="18"/>
              </w:rPr>
            </w:pPr>
            <w:r w:rsidRPr="009A5E57">
              <w:rPr>
                <w:rFonts w:ascii="Times New Roman" w:eastAsia="Times New Roman" w:hAnsi="Times New Roman" w:cs="Times New Roman"/>
                <w:color w:val="000000"/>
                <w:sz w:val="18"/>
                <w:szCs w:val="18"/>
              </w:rPr>
              <w:t>(MWh/year)</w:t>
            </w:r>
          </w:p>
        </w:tc>
        <w:tc>
          <w:tcPr>
            <w:tcW w:w="874" w:type="dxa"/>
            <w:tcBorders>
              <w:top w:val="single" w:sz="4" w:space="0" w:color="000000"/>
              <w:left w:val="single" w:sz="4" w:space="0" w:color="000000"/>
              <w:bottom w:val="single" w:sz="4" w:space="0" w:color="000000"/>
              <w:right w:val="single" w:sz="4" w:space="0" w:color="000000"/>
            </w:tcBorders>
            <w:tcMar>
              <w:top w:w="8" w:type="dxa"/>
              <w:left w:w="8" w:type="dxa"/>
              <w:bottom w:w="8" w:type="dxa"/>
              <w:right w:w="8" w:type="dxa"/>
            </w:tcMar>
            <w:vAlign w:val="center"/>
          </w:tcPr>
          <w:p w14:paraId="6EC0C4CB" w14:textId="77777777" w:rsidR="005A7C1E" w:rsidRDefault="00662273">
            <w:pPr>
              <w:pBdr>
                <w:top w:val="nil"/>
                <w:left w:val="none" w:sz="0" w:space="5" w:color="000000"/>
                <w:bottom w:val="nil"/>
                <w:right w:val="none" w:sz="0" w:space="5" w:color="000000"/>
                <w:between w:val="nil"/>
              </w:pBdr>
              <w:ind w:left="10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1131" w:type="dxa"/>
            <w:tcBorders>
              <w:top w:val="single" w:sz="4" w:space="0" w:color="000000"/>
              <w:left w:val="single" w:sz="4" w:space="0" w:color="000000"/>
              <w:bottom w:val="single" w:sz="4" w:space="0" w:color="000000"/>
              <w:right w:val="single" w:sz="4" w:space="0" w:color="000000"/>
            </w:tcBorders>
            <w:tcMar>
              <w:top w:w="8" w:type="dxa"/>
              <w:left w:w="8" w:type="dxa"/>
              <w:bottom w:w="8" w:type="dxa"/>
              <w:right w:w="8" w:type="dxa"/>
            </w:tcMar>
            <w:vAlign w:val="center"/>
          </w:tcPr>
          <w:p w14:paraId="744A977B" w14:textId="77777777" w:rsidR="005A7C1E" w:rsidRDefault="00662273">
            <w:pPr>
              <w:pBdr>
                <w:top w:val="nil"/>
                <w:left w:val="none" w:sz="0" w:space="5" w:color="000000"/>
                <w:bottom w:val="nil"/>
                <w:right w:val="none" w:sz="0" w:space="5" w:color="000000"/>
                <w:between w:val="nil"/>
              </w:pBdr>
              <w:ind w:left="10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25</w:t>
            </w:r>
            <w:r w:rsidR="00B33121">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144</w:t>
            </w:r>
          </w:p>
        </w:tc>
      </w:tr>
      <w:tr w:rsidR="005A7C1E" w14:paraId="5910AD6E" w14:textId="77777777">
        <w:trPr>
          <w:trHeight w:val="605"/>
        </w:trPr>
        <w:tc>
          <w:tcPr>
            <w:tcW w:w="643" w:type="dxa"/>
            <w:vMerge/>
            <w:tcBorders>
              <w:top w:val="single" w:sz="4" w:space="0" w:color="000000"/>
              <w:left w:val="single" w:sz="4" w:space="0" w:color="000000"/>
              <w:bottom w:val="single" w:sz="4" w:space="0" w:color="000000"/>
              <w:right w:val="single" w:sz="4" w:space="0" w:color="000000"/>
            </w:tcBorders>
            <w:tcMar>
              <w:top w:w="8" w:type="dxa"/>
              <w:left w:w="8" w:type="dxa"/>
              <w:bottom w:w="8" w:type="dxa"/>
              <w:right w:w="8" w:type="dxa"/>
            </w:tcMar>
            <w:vAlign w:val="center"/>
          </w:tcPr>
          <w:p w14:paraId="24C08BD7" w14:textId="77777777" w:rsidR="005A7C1E" w:rsidRDefault="005A7C1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983" w:type="dxa"/>
            <w:vMerge/>
            <w:tcBorders>
              <w:top w:val="single" w:sz="4" w:space="0" w:color="000000"/>
              <w:left w:val="single" w:sz="4" w:space="0" w:color="000000"/>
              <w:bottom w:val="single" w:sz="4" w:space="0" w:color="000000"/>
              <w:right w:val="single" w:sz="4" w:space="0" w:color="000000"/>
            </w:tcBorders>
            <w:tcMar>
              <w:top w:w="8" w:type="dxa"/>
              <w:left w:w="8" w:type="dxa"/>
              <w:bottom w:w="8" w:type="dxa"/>
              <w:right w:w="8" w:type="dxa"/>
            </w:tcMar>
            <w:vAlign w:val="center"/>
          </w:tcPr>
          <w:p w14:paraId="09C1802A" w14:textId="77777777" w:rsidR="005A7C1E" w:rsidRDefault="005A7C1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628" w:type="dxa"/>
            <w:vMerge/>
            <w:tcBorders>
              <w:top w:val="single" w:sz="6" w:space="0" w:color="000000"/>
              <w:left w:val="single" w:sz="4" w:space="0" w:color="000000"/>
              <w:right w:val="single" w:sz="6" w:space="0" w:color="000000"/>
            </w:tcBorders>
            <w:tcMar>
              <w:top w:w="8" w:type="dxa"/>
              <w:left w:w="8" w:type="dxa"/>
              <w:bottom w:w="8" w:type="dxa"/>
              <w:right w:w="8" w:type="dxa"/>
            </w:tcMar>
            <w:vAlign w:val="center"/>
          </w:tcPr>
          <w:p w14:paraId="5F5E828E" w14:textId="77777777" w:rsidR="005A7C1E" w:rsidRDefault="005A7C1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2532" w:type="dxa"/>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47C35D5F" w14:textId="77777777" w:rsidR="005A7C1E" w:rsidRDefault="00662273">
            <w:pPr>
              <w:pBdr>
                <w:top w:val="nil"/>
                <w:left w:val="none" w:sz="0" w:space="5" w:color="000000"/>
                <w:bottom w:val="nil"/>
                <w:right w:val="none" w:sz="0" w:space="5" w:color="000000"/>
                <w:between w:val="nil"/>
              </w:pBdr>
              <w:ind w:left="108" w:right="10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Estimated primary energy savings (MWh/year)</w:t>
            </w:r>
          </w:p>
        </w:tc>
        <w:tc>
          <w:tcPr>
            <w:tcW w:w="1273" w:type="dxa"/>
            <w:tcBorders>
              <w:top w:val="single" w:sz="6" w:space="0" w:color="000000"/>
              <w:left w:val="single" w:sz="6" w:space="0" w:color="000000"/>
              <w:right w:val="single" w:sz="4" w:space="0" w:color="000000"/>
            </w:tcBorders>
            <w:tcMar>
              <w:top w:w="8" w:type="dxa"/>
              <w:left w:w="8" w:type="dxa"/>
              <w:bottom w:w="8" w:type="dxa"/>
              <w:right w:w="8" w:type="dxa"/>
            </w:tcMar>
            <w:vAlign w:val="center"/>
          </w:tcPr>
          <w:p w14:paraId="2CE1F2E9" w14:textId="77777777" w:rsidR="005A7C1E" w:rsidRDefault="009A5E57">
            <w:pPr>
              <w:pBdr>
                <w:top w:val="nil"/>
                <w:left w:val="none" w:sz="0" w:space="5" w:color="000000"/>
                <w:bottom w:val="nil"/>
                <w:right w:val="none" w:sz="0" w:space="5" w:color="000000"/>
                <w:between w:val="nil"/>
              </w:pBdr>
              <w:ind w:left="108" w:right="108"/>
              <w:jc w:val="center"/>
              <w:rPr>
                <w:rFonts w:ascii="Times New Roman" w:eastAsia="Times New Roman" w:hAnsi="Times New Roman" w:cs="Times New Roman"/>
                <w:color w:val="000000"/>
                <w:sz w:val="18"/>
                <w:szCs w:val="18"/>
              </w:rPr>
            </w:pPr>
            <w:r w:rsidRPr="009A5E57">
              <w:rPr>
                <w:rFonts w:ascii="Times New Roman" w:eastAsia="Times New Roman" w:hAnsi="Times New Roman" w:cs="Times New Roman"/>
                <w:color w:val="000000"/>
                <w:sz w:val="18"/>
                <w:szCs w:val="18"/>
              </w:rPr>
              <w:t>(MWh/year)</w:t>
            </w:r>
          </w:p>
        </w:tc>
        <w:tc>
          <w:tcPr>
            <w:tcW w:w="874" w:type="dxa"/>
            <w:tcBorders>
              <w:top w:val="single" w:sz="4" w:space="0" w:color="000000"/>
              <w:left w:val="single" w:sz="4" w:space="0" w:color="000000"/>
              <w:bottom w:val="single" w:sz="4" w:space="0" w:color="000000"/>
              <w:right w:val="single" w:sz="4" w:space="0" w:color="000000"/>
            </w:tcBorders>
            <w:tcMar>
              <w:top w:w="8" w:type="dxa"/>
              <w:left w:w="8" w:type="dxa"/>
              <w:bottom w:w="8" w:type="dxa"/>
              <w:right w:w="8" w:type="dxa"/>
            </w:tcMar>
            <w:vAlign w:val="center"/>
          </w:tcPr>
          <w:p w14:paraId="73308F9C" w14:textId="77777777" w:rsidR="005A7C1E" w:rsidRDefault="00662273">
            <w:pPr>
              <w:pBdr>
                <w:top w:val="nil"/>
                <w:left w:val="none" w:sz="0" w:space="5" w:color="000000"/>
                <w:bottom w:val="nil"/>
                <w:right w:val="none" w:sz="0" w:space="5" w:color="000000"/>
                <w:between w:val="nil"/>
              </w:pBdr>
              <w:ind w:left="10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1131" w:type="dxa"/>
            <w:tcBorders>
              <w:top w:val="single" w:sz="4" w:space="0" w:color="000000"/>
              <w:left w:val="single" w:sz="4" w:space="0" w:color="000000"/>
              <w:bottom w:val="single" w:sz="4" w:space="0" w:color="000000"/>
              <w:right w:val="single" w:sz="4" w:space="0" w:color="000000"/>
            </w:tcBorders>
            <w:tcMar>
              <w:top w:w="8" w:type="dxa"/>
              <w:left w:w="8" w:type="dxa"/>
              <w:bottom w:w="8" w:type="dxa"/>
              <w:right w:w="8" w:type="dxa"/>
            </w:tcMar>
            <w:vAlign w:val="center"/>
          </w:tcPr>
          <w:p w14:paraId="29025201" w14:textId="77777777" w:rsidR="005A7C1E" w:rsidRDefault="00662273">
            <w:pPr>
              <w:pBdr>
                <w:top w:val="nil"/>
                <w:left w:val="none" w:sz="0" w:space="5" w:color="000000"/>
                <w:bottom w:val="nil"/>
                <w:right w:val="none" w:sz="0" w:space="5" w:color="000000"/>
                <w:between w:val="nil"/>
              </w:pBdr>
              <w:ind w:left="10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676</w:t>
            </w:r>
            <w:r w:rsidR="00B33121">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908</w:t>
            </w:r>
          </w:p>
        </w:tc>
      </w:tr>
      <w:tr w:rsidR="005A7C1E" w14:paraId="71575FAA" w14:textId="77777777">
        <w:trPr>
          <w:trHeight w:val="605"/>
        </w:trPr>
        <w:tc>
          <w:tcPr>
            <w:tcW w:w="643" w:type="dxa"/>
            <w:vMerge/>
            <w:tcBorders>
              <w:top w:val="single" w:sz="4" w:space="0" w:color="000000"/>
              <w:left w:val="single" w:sz="4" w:space="0" w:color="000000"/>
              <w:bottom w:val="single" w:sz="4" w:space="0" w:color="000000"/>
              <w:right w:val="single" w:sz="4" w:space="0" w:color="000000"/>
            </w:tcBorders>
            <w:tcMar>
              <w:top w:w="8" w:type="dxa"/>
              <w:left w:w="8" w:type="dxa"/>
              <w:bottom w:w="8" w:type="dxa"/>
              <w:right w:w="8" w:type="dxa"/>
            </w:tcMar>
            <w:vAlign w:val="center"/>
          </w:tcPr>
          <w:p w14:paraId="6FDA3039" w14:textId="77777777" w:rsidR="005A7C1E" w:rsidRDefault="005A7C1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983" w:type="dxa"/>
            <w:vMerge/>
            <w:tcBorders>
              <w:top w:val="single" w:sz="4" w:space="0" w:color="000000"/>
              <w:left w:val="single" w:sz="4" w:space="0" w:color="000000"/>
              <w:bottom w:val="single" w:sz="4" w:space="0" w:color="000000"/>
              <w:right w:val="single" w:sz="4" w:space="0" w:color="000000"/>
            </w:tcBorders>
            <w:tcMar>
              <w:top w:w="8" w:type="dxa"/>
              <w:left w:w="8" w:type="dxa"/>
              <w:bottom w:w="8" w:type="dxa"/>
              <w:right w:w="8" w:type="dxa"/>
            </w:tcMar>
            <w:vAlign w:val="center"/>
          </w:tcPr>
          <w:p w14:paraId="2078DDB1" w14:textId="77777777" w:rsidR="005A7C1E" w:rsidRDefault="005A7C1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628" w:type="dxa"/>
            <w:vMerge/>
            <w:tcBorders>
              <w:top w:val="single" w:sz="6" w:space="0" w:color="000000"/>
              <w:left w:val="single" w:sz="4" w:space="0" w:color="000000"/>
              <w:right w:val="single" w:sz="6" w:space="0" w:color="000000"/>
            </w:tcBorders>
            <w:tcMar>
              <w:top w:w="8" w:type="dxa"/>
              <w:left w:w="8" w:type="dxa"/>
              <w:bottom w:w="8" w:type="dxa"/>
              <w:right w:w="8" w:type="dxa"/>
            </w:tcMar>
            <w:vAlign w:val="center"/>
          </w:tcPr>
          <w:p w14:paraId="57DD80D4" w14:textId="77777777" w:rsidR="005A7C1E" w:rsidRDefault="005A7C1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2532" w:type="dxa"/>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67A42153" w14:textId="77777777" w:rsidR="005A7C1E" w:rsidRDefault="00662273">
            <w:pPr>
              <w:pBdr>
                <w:top w:val="nil"/>
                <w:left w:val="none" w:sz="0" w:space="5" w:color="000000"/>
                <w:bottom w:val="nil"/>
                <w:right w:val="none" w:sz="0" w:space="5" w:color="000000"/>
                <w:between w:val="nil"/>
              </w:pBdr>
              <w:ind w:left="108" w:right="10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Number of people benefitting from increased energy efficiency</w:t>
            </w:r>
          </w:p>
        </w:tc>
        <w:tc>
          <w:tcPr>
            <w:tcW w:w="1273" w:type="dxa"/>
            <w:tcBorders>
              <w:top w:val="single" w:sz="6" w:space="0" w:color="000000"/>
              <w:left w:val="single" w:sz="6" w:space="0" w:color="000000"/>
              <w:right w:val="single" w:sz="4" w:space="0" w:color="000000"/>
            </w:tcBorders>
            <w:tcMar>
              <w:top w:w="8" w:type="dxa"/>
              <w:left w:w="8" w:type="dxa"/>
              <w:bottom w:w="8" w:type="dxa"/>
              <w:right w:w="8" w:type="dxa"/>
            </w:tcMar>
            <w:vAlign w:val="center"/>
          </w:tcPr>
          <w:p w14:paraId="1E9F64F7" w14:textId="77777777" w:rsidR="005A7C1E" w:rsidRDefault="00662273">
            <w:pPr>
              <w:pBdr>
                <w:top w:val="nil"/>
                <w:left w:val="none" w:sz="0" w:space="5" w:color="000000"/>
                <w:bottom w:val="nil"/>
                <w:right w:val="none" w:sz="0" w:space="5" w:color="000000"/>
                <w:between w:val="nil"/>
              </w:pBdr>
              <w:ind w:left="10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Number</w:t>
            </w:r>
          </w:p>
        </w:tc>
        <w:tc>
          <w:tcPr>
            <w:tcW w:w="874" w:type="dxa"/>
            <w:tcBorders>
              <w:top w:val="single" w:sz="4" w:space="0" w:color="000000"/>
              <w:left w:val="single" w:sz="4" w:space="0" w:color="000000"/>
              <w:bottom w:val="single" w:sz="4" w:space="0" w:color="000000"/>
              <w:right w:val="single" w:sz="4" w:space="0" w:color="000000"/>
            </w:tcBorders>
            <w:tcMar>
              <w:top w:w="8" w:type="dxa"/>
              <w:left w:w="8" w:type="dxa"/>
              <w:bottom w:w="8" w:type="dxa"/>
              <w:right w:w="8" w:type="dxa"/>
            </w:tcMar>
            <w:vAlign w:val="center"/>
          </w:tcPr>
          <w:p w14:paraId="63F11C37" w14:textId="77777777" w:rsidR="005A7C1E" w:rsidRDefault="00662273">
            <w:pPr>
              <w:pBdr>
                <w:top w:val="nil"/>
                <w:left w:val="none" w:sz="0" w:space="5" w:color="000000"/>
                <w:bottom w:val="nil"/>
                <w:right w:val="none" w:sz="0" w:space="5" w:color="000000"/>
                <w:between w:val="nil"/>
              </w:pBdr>
              <w:ind w:left="10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1131" w:type="dxa"/>
            <w:tcBorders>
              <w:top w:val="single" w:sz="4" w:space="0" w:color="000000"/>
              <w:left w:val="single" w:sz="4" w:space="0" w:color="000000"/>
              <w:bottom w:val="single" w:sz="4" w:space="0" w:color="000000"/>
              <w:right w:val="single" w:sz="4" w:space="0" w:color="000000"/>
            </w:tcBorders>
            <w:tcMar>
              <w:top w:w="8" w:type="dxa"/>
              <w:left w:w="8" w:type="dxa"/>
              <w:bottom w:w="8" w:type="dxa"/>
              <w:right w:w="8" w:type="dxa"/>
            </w:tcMar>
            <w:vAlign w:val="center"/>
          </w:tcPr>
          <w:p w14:paraId="33D44492" w14:textId="77777777" w:rsidR="005A7C1E" w:rsidRDefault="00662273">
            <w:pPr>
              <w:pBdr>
                <w:top w:val="nil"/>
                <w:left w:val="none" w:sz="0" w:space="5" w:color="000000"/>
                <w:bottom w:val="nil"/>
                <w:right w:val="none" w:sz="0" w:space="5" w:color="000000"/>
                <w:between w:val="nil"/>
              </w:pBdr>
              <w:ind w:left="10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r w:rsidR="00B33121">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160</w:t>
            </w:r>
          </w:p>
        </w:tc>
      </w:tr>
      <w:tr w:rsidR="005A7C1E" w14:paraId="7038DF1F" w14:textId="77777777">
        <w:tc>
          <w:tcPr>
            <w:tcW w:w="643" w:type="dxa"/>
            <w:vMerge/>
            <w:tcBorders>
              <w:top w:val="single" w:sz="4" w:space="0" w:color="000000"/>
              <w:left w:val="single" w:sz="4" w:space="0" w:color="000000"/>
              <w:bottom w:val="single" w:sz="4" w:space="0" w:color="000000"/>
              <w:right w:val="single" w:sz="4" w:space="0" w:color="000000"/>
            </w:tcBorders>
            <w:tcMar>
              <w:top w:w="8" w:type="dxa"/>
              <w:left w:w="8" w:type="dxa"/>
              <w:bottom w:w="8" w:type="dxa"/>
              <w:right w:w="8" w:type="dxa"/>
            </w:tcMar>
            <w:vAlign w:val="center"/>
          </w:tcPr>
          <w:p w14:paraId="3FFDF9AA" w14:textId="77777777" w:rsidR="005A7C1E" w:rsidRDefault="005A7C1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983" w:type="dxa"/>
            <w:vMerge w:val="restart"/>
            <w:tcBorders>
              <w:top w:val="single" w:sz="4" w:space="0" w:color="000000"/>
              <w:left w:val="single" w:sz="4" w:space="0" w:color="000000"/>
              <w:bottom w:val="single" w:sz="4" w:space="0" w:color="000000"/>
              <w:right w:val="single" w:sz="4" w:space="0" w:color="000000"/>
            </w:tcBorders>
            <w:tcMar>
              <w:top w:w="8" w:type="dxa"/>
              <w:left w:w="8" w:type="dxa"/>
              <w:bottom w:w="8" w:type="dxa"/>
              <w:right w:w="8" w:type="dxa"/>
            </w:tcMar>
            <w:vAlign w:val="center"/>
          </w:tcPr>
          <w:p w14:paraId="0D5FC0CF" w14:textId="77777777" w:rsidR="005A7C1E" w:rsidRDefault="00662273">
            <w:pPr>
              <w:pBdr>
                <w:top w:val="nil"/>
                <w:left w:val="none" w:sz="0" w:space="5" w:color="000000"/>
                <w:bottom w:val="nil"/>
                <w:right w:val="none" w:sz="0" w:space="5" w:color="000000"/>
                <w:between w:val="nil"/>
              </w:pBdr>
              <w:ind w:left="108" w:right="108"/>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Output 3.2</w:t>
            </w:r>
          </w:p>
        </w:tc>
        <w:tc>
          <w:tcPr>
            <w:tcW w:w="1628" w:type="dxa"/>
            <w:vMerge w:val="restart"/>
            <w:tcBorders>
              <w:top w:val="single" w:sz="6" w:space="0" w:color="000000"/>
              <w:left w:val="single" w:sz="4" w:space="0" w:color="000000"/>
              <w:bottom w:val="single" w:sz="6" w:space="0" w:color="000000"/>
              <w:right w:val="single" w:sz="6" w:space="0" w:color="000000"/>
            </w:tcBorders>
            <w:tcMar>
              <w:top w:w="8" w:type="dxa"/>
              <w:left w:w="8" w:type="dxa"/>
              <w:bottom w:w="8" w:type="dxa"/>
              <w:right w:w="8" w:type="dxa"/>
            </w:tcMar>
            <w:vAlign w:val="center"/>
          </w:tcPr>
          <w:p w14:paraId="2D7474B5" w14:textId="77777777" w:rsidR="005A7C1E" w:rsidRDefault="00662273">
            <w:pPr>
              <w:pBdr>
                <w:top w:val="nil"/>
                <w:left w:val="none" w:sz="0" w:space="5" w:color="000000"/>
                <w:bottom w:val="nil"/>
                <w:right w:val="none" w:sz="0" w:space="5" w:color="000000"/>
                <w:between w:val="nil"/>
              </w:pBdr>
              <w:ind w:left="108" w:right="108"/>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Energy efficiency in industry and power generation supported</w:t>
            </w:r>
          </w:p>
        </w:tc>
        <w:tc>
          <w:tcPr>
            <w:tcW w:w="253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67ADFD5F" w14:textId="77777777" w:rsidR="005A7C1E" w:rsidRDefault="00662273">
            <w:pPr>
              <w:pBdr>
                <w:top w:val="nil"/>
                <w:left w:val="none" w:sz="0" w:space="5" w:color="000000"/>
                <w:bottom w:val="nil"/>
                <w:right w:val="none" w:sz="0" w:space="5" w:color="000000"/>
                <w:between w:val="nil"/>
              </w:pBdr>
              <w:ind w:left="108" w:right="10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Number of industrial processes where energy efficiency (co-generation) measures have been implemented</w:t>
            </w:r>
          </w:p>
        </w:tc>
        <w:tc>
          <w:tcPr>
            <w:tcW w:w="1273"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18DE1981" w14:textId="77777777" w:rsidR="005A7C1E" w:rsidRDefault="00662273">
            <w:pPr>
              <w:pBdr>
                <w:top w:val="nil"/>
                <w:left w:val="none" w:sz="0" w:space="5" w:color="000000"/>
                <w:bottom w:val="nil"/>
                <w:right w:val="none" w:sz="0" w:space="5" w:color="000000"/>
                <w:between w:val="nil"/>
              </w:pBdr>
              <w:ind w:left="10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Number</w:t>
            </w:r>
          </w:p>
        </w:tc>
        <w:tc>
          <w:tcPr>
            <w:tcW w:w="874" w:type="dxa"/>
            <w:tcBorders>
              <w:top w:val="single" w:sz="4"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1B85243C" w14:textId="77777777" w:rsidR="005A7C1E" w:rsidRDefault="00662273">
            <w:pPr>
              <w:pBdr>
                <w:top w:val="nil"/>
                <w:left w:val="none" w:sz="0" w:space="5" w:color="000000"/>
                <w:bottom w:val="nil"/>
                <w:right w:val="none" w:sz="0" w:space="5" w:color="000000"/>
                <w:between w:val="nil"/>
              </w:pBdr>
              <w:ind w:left="10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1131" w:type="dxa"/>
            <w:tcBorders>
              <w:top w:val="single" w:sz="4"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5DCBD861" w14:textId="77777777" w:rsidR="005A7C1E" w:rsidRDefault="00662273">
            <w:pPr>
              <w:pBdr>
                <w:top w:val="nil"/>
                <w:left w:val="none" w:sz="0" w:space="5" w:color="000000"/>
                <w:bottom w:val="nil"/>
                <w:right w:val="none" w:sz="0" w:space="5" w:color="000000"/>
                <w:between w:val="nil"/>
              </w:pBdr>
              <w:ind w:left="10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22</w:t>
            </w:r>
          </w:p>
        </w:tc>
      </w:tr>
      <w:tr w:rsidR="005A7C1E" w14:paraId="3431E516" w14:textId="77777777">
        <w:trPr>
          <w:trHeight w:val="828"/>
        </w:trPr>
        <w:tc>
          <w:tcPr>
            <w:tcW w:w="643" w:type="dxa"/>
            <w:vMerge/>
            <w:tcBorders>
              <w:top w:val="single" w:sz="4" w:space="0" w:color="000000"/>
              <w:left w:val="single" w:sz="4" w:space="0" w:color="000000"/>
              <w:bottom w:val="single" w:sz="4" w:space="0" w:color="000000"/>
              <w:right w:val="single" w:sz="4" w:space="0" w:color="000000"/>
            </w:tcBorders>
            <w:tcMar>
              <w:top w:w="8" w:type="dxa"/>
              <w:left w:w="8" w:type="dxa"/>
              <w:bottom w:w="8" w:type="dxa"/>
              <w:right w:w="8" w:type="dxa"/>
            </w:tcMar>
            <w:vAlign w:val="center"/>
          </w:tcPr>
          <w:p w14:paraId="50D498F4" w14:textId="77777777" w:rsidR="005A7C1E" w:rsidRDefault="005A7C1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983" w:type="dxa"/>
            <w:vMerge/>
            <w:tcBorders>
              <w:top w:val="single" w:sz="4" w:space="0" w:color="000000"/>
              <w:left w:val="single" w:sz="4" w:space="0" w:color="000000"/>
              <w:bottom w:val="single" w:sz="4" w:space="0" w:color="000000"/>
              <w:right w:val="single" w:sz="4" w:space="0" w:color="000000"/>
            </w:tcBorders>
            <w:tcMar>
              <w:top w:w="8" w:type="dxa"/>
              <w:left w:w="8" w:type="dxa"/>
              <w:bottom w:w="8" w:type="dxa"/>
              <w:right w:w="8" w:type="dxa"/>
            </w:tcMar>
            <w:vAlign w:val="center"/>
          </w:tcPr>
          <w:p w14:paraId="06FCA9AD" w14:textId="77777777" w:rsidR="005A7C1E" w:rsidRDefault="005A7C1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628" w:type="dxa"/>
            <w:vMerge/>
            <w:tcBorders>
              <w:top w:val="single" w:sz="6" w:space="0" w:color="000000"/>
              <w:left w:val="single" w:sz="4" w:space="0" w:color="000000"/>
              <w:bottom w:val="single" w:sz="6" w:space="0" w:color="000000"/>
              <w:right w:val="single" w:sz="6" w:space="0" w:color="000000"/>
            </w:tcBorders>
            <w:tcMar>
              <w:top w:w="8" w:type="dxa"/>
              <w:left w:w="8" w:type="dxa"/>
              <w:bottom w:w="8" w:type="dxa"/>
              <w:right w:w="8" w:type="dxa"/>
            </w:tcMar>
            <w:vAlign w:val="center"/>
          </w:tcPr>
          <w:p w14:paraId="26060DF1" w14:textId="77777777" w:rsidR="005A7C1E" w:rsidRDefault="005A7C1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2532" w:type="dxa"/>
            <w:tcBorders>
              <w:top w:val="single" w:sz="6" w:space="0" w:color="000000"/>
              <w:left w:val="single" w:sz="6" w:space="0" w:color="000000"/>
              <w:bottom w:val="single" w:sz="4" w:space="0" w:color="000000"/>
              <w:right w:val="single" w:sz="6" w:space="0" w:color="000000"/>
            </w:tcBorders>
            <w:tcMar>
              <w:top w:w="8" w:type="dxa"/>
              <w:left w:w="8" w:type="dxa"/>
              <w:bottom w:w="8" w:type="dxa"/>
              <w:right w:w="8" w:type="dxa"/>
            </w:tcMar>
            <w:vAlign w:val="center"/>
          </w:tcPr>
          <w:p w14:paraId="5151A3F3" w14:textId="77777777" w:rsidR="005A7C1E" w:rsidRDefault="00662273">
            <w:pPr>
              <w:pBdr>
                <w:top w:val="nil"/>
                <w:left w:val="none" w:sz="0" w:space="5" w:color="000000"/>
                <w:bottom w:val="nil"/>
                <w:right w:val="none" w:sz="0" w:space="5" w:color="000000"/>
                <w:between w:val="nil"/>
              </w:pBdr>
              <w:ind w:left="108" w:right="10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Number of awareness raising campaigns carried out</w:t>
            </w:r>
          </w:p>
        </w:tc>
        <w:tc>
          <w:tcPr>
            <w:tcW w:w="1273" w:type="dxa"/>
            <w:tcBorders>
              <w:top w:val="single" w:sz="6" w:space="0" w:color="000000"/>
              <w:left w:val="single" w:sz="6" w:space="0" w:color="000000"/>
              <w:bottom w:val="single" w:sz="4" w:space="0" w:color="000000"/>
              <w:right w:val="single" w:sz="6" w:space="0" w:color="000000"/>
            </w:tcBorders>
            <w:tcMar>
              <w:top w:w="8" w:type="dxa"/>
              <w:left w:w="8" w:type="dxa"/>
              <w:bottom w:w="8" w:type="dxa"/>
              <w:right w:w="8" w:type="dxa"/>
            </w:tcMar>
            <w:vAlign w:val="center"/>
          </w:tcPr>
          <w:p w14:paraId="440B9378" w14:textId="77777777" w:rsidR="005A7C1E" w:rsidRDefault="00662273">
            <w:pPr>
              <w:pBdr>
                <w:top w:val="nil"/>
                <w:left w:val="none" w:sz="0" w:space="5" w:color="000000"/>
                <w:bottom w:val="nil"/>
                <w:right w:val="none" w:sz="0" w:space="5" w:color="000000"/>
                <w:between w:val="nil"/>
              </w:pBdr>
              <w:ind w:left="10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Number</w:t>
            </w:r>
          </w:p>
        </w:tc>
        <w:tc>
          <w:tcPr>
            <w:tcW w:w="874" w:type="dxa"/>
            <w:tcBorders>
              <w:top w:val="single" w:sz="6" w:space="0" w:color="000000"/>
              <w:left w:val="single" w:sz="6" w:space="0" w:color="000000"/>
              <w:bottom w:val="single" w:sz="4" w:space="0" w:color="000000"/>
              <w:right w:val="single" w:sz="6" w:space="0" w:color="000000"/>
            </w:tcBorders>
            <w:tcMar>
              <w:top w:w="8" w:type="dxa"/>
              <w:left w:w="8" w:type="dxa"/>
              <w:bottom w:w="8" w:type="dxa"/>
              <w:right w:w="8" w:type="dxa"/>
            </w:tcMar>
            <w:vAlign w:val="center"/>
          </w:tcPr>
          <w:p w14:paraId="0B25358B" w14:textId="77777777" w:rsidR="005A7C1E" w:rsidRDefault="00662273">
            <w:pPr>
              <w:pBdr>
                <w:top w:val="nil"/>
                <w:left w:val="none" w:sz="0" w:space="5" w:color="000000"/>
                <w:bottom w:val="nil"/>
                <w:right w:val="none" w:sz="0" w:space="5" w:color="000000"/>
                <w:between w:val="nil"/>
              </w:pBdr>
              <w:ind w:left="10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1131" w:type="dxa"/>
            <w:tcBorders>
              <w:top w:val="single" w:sz="6" w:space="0" w:color="000000"/>
              <w:left w:val="single" w:sz="6" w:space="0" w:color="000000"/>
              <w:bottom w:val="single" w:sz="4" w:space="0" w:color="000000"/>
              <w:right w:val="single" w:sz="6" w:space="0" w:color="000000"/>
            </w:tcBorders>
            <w:tcMar>
              <w:top w:w="8" w:type="dxa"/>
              <w:left w:w="8" w:type="dxa"/>
              <w:bottom w:w="8" w:type="dxa"/>
              <w:right w:w="8" w:type="dxa"/>
            </w:tcMar>
            <w:vAlign w:val="center"/>
          </w:tcPr>
          <w:p w14:paraId="2D83CBE5" w14:textId="77777777" w:rsidR="005A7C1E" w:rsidRDefault="00662273">
            <w:pPr>
              <w:pBdr>
                <w:top w:val="nil"/>
                <w:left w:val="none" w:sz="0" w:space="5" w:color="000000"/>
                <w:bottom w:val="nil"/>
                <w:right w:val="none" w:sz="0" w:space="5" w:color="000000"/>
                <w:between w:val="nil"/>
              </w:pBdr>
              <w:ind w:left="10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22</w:t>
            </w:r>
          </w:p>
        </w:tc>
      </w:tr>
    </w:tbl>
    <w:p w14:paraId="792E4F1C" w14:textId="77777777" w:rsidR="005A7C1E" w:rsidRDefault="005A7C1E">
      <w:pPr>
        <w:pBdr>
          <w:top w:val="nil"/>
          <w:left w:val="nil"/>
          <w:bottom w:val="nil"/>
          <w:right w:val="nil"/>
          <w:between w:val="nil"/>
        </w:pBdr>
        <w:spacing w:before="120" w:line="276" w:lineRule="auto"/>
        <w:jc w:val="both"/>
        <w:rPr>
          <w:rFonts w:ascii="Times New Roman" w:eastAsia="Times New Roman" w:hAnsi="Times New Roman" w:cs="Times New Roman"/>
          <w:color w:val="000000"/>
          <w:sz w:val="24"/>
          <w:szCs w:val="24"/>
        </w:rPr>
      </w:pPr>
    </w:p>
    <w:p w14:paraId="009DE860" w14:textId="77777777" w:rsidR="005A7C1E" w:rsidRDefault="00662273">
      <w:pPr>
        <w:numPr>
          <w:ilvl w:val="0"/>
          <w:numId w:val="8"/>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Eligible applicants</w:t>
      </w:r>
    </w:p>
    <w:p w14:paraId="44E86073"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entities able to seek grants as part of the Call for Proposals, according to the Programme Agreement, are SMEs and large enterprises.</w:t>
      </w:r>
    </w:p>
    <w:p w14:paraId="21C8F0C0" w14:textId="77777777" w:rsidR="005A7C1E" w:rsidRDefault="005A7C1E">
      <w:pPr>
        <w:pBdr>
          <w:top w:val="nil"/>
          <w:left w:val="nil"/>
          <w:bottom w:val="nil"/>
          <w:right w:val="nil"/>
          <w:between w:val="nil"/>
        </w:pBdr>
        <w:spacing w:before="120"/>
        <w:ind w:left="708" w:hanging="708"/>
        <w:jc w:val="both"/>
        <w:rPr>
          <w:rFonts w:ascii="Times New Roman" w:eastAsia="Times New Roman" w:hAnsi="Times New Roman" w:cs="Times New Roman"/>
          <w:color w:val="000000"/>
          <w:sz w:val="24"/>
          <w:szCs w:val="24"/>
        </w:rPr>
      </w:pPr>
    </w:p>
    <w:p w14:paraId="34C8B3F1" w14:textId="77777777" w:rsidR="005A7C1E" w:rsidRDefault="00662273">
      <w:pPr>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Donor partnership projects</w:t>
      </w:r>
      <w:r>
        <w:rPr>
          <w:rFonts w:ascii="Times New Roman" w:eastAsia="Times New Roman" w:hAnsi="Times New Roman" w:cs="Times New Roman"/>
          <w:color w:val="000000"/>
          <w:sz w:val="24"/>
          <w:szCs w:val="24"/>
        </w:rPr>
        <w:t xml:space="preserve"> </w:t>
      </w:r>
    </w:p>
    <w:p w14:paraId="12ABF540" w14:textId="77777777" w:rsidR="005A7C1E" w:rsidRDefault="005A7C1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69EC63C7" w14:textId="6DFA4CCC" w:rsidR="005A7C1E" w:rsidRDefault="006622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accordance with art. 7.2.2 of the Regulation, an eligible project partner can be any public or private entity, commercial or non-commercial, as well as non-governmental organizations established as a legal person either in the Donor States, Beneficiary States</w:t>
      </w:r>
      <w:r w:rsidR="003F22AF">
        <w:rPr>
          <w:rFonts w:ascii="Times New Roman" w:eastAsia="Times New Roman" w:hAnsi="Times New Roman" w:cs="Times New Roman"/>
          <w:color w:val="000000"/>
          <w:sz w:val="24"/>
          <w:szCs w:val="24"/>
          <w:vertAlign w:val="superscript"/>
        </w:rPr>
        <w:footnoteReference w:id="6"/>
      </w:r>
      <w:r>
        <w:rPr>
          <w:rFonts w:ascii="Times New Roman" w:eastAsia="Times New Roman" w:hAnsi="Times New Roman" w:cs="Times New Roman"/>
          <w:color w:val="000000"/>
          <w:sz w:val="24"/>
          <w:szCs w:val="24"/>
        </w:rPr>
        <w:t xml:space="preserve"> or a country outside of the European Economic Area that has a common border with Poland or any international organization, as well as its body or agency, which is actively involved in the project and is effectively contributing to its implementation.</w:t>
      </w:r>
    </w:p>
    <w:p w14:paraId="2CBCA6BB" w14:textId="77777777" w:rsidR="005A7C1E" w:rsidRDefault="005A7C1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5C551AD0" w14:textId="77777777" w:rsidR="005A7C1E" w:rsidRDefault="006622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Projects submitted in partnership with an entity from the Donor States (Norway, Iceland, Liechtenstein) will receive additional points, in accordance with the </w:t>
      </w:r>
      <w:r w:rsidR="007856B0">
        <w:rPr>
          <w:rFonts w:ascii="Times New Roman" w:eastAsia="Times New Roman" w:hAnsi="Times New Roman" w:cs="Times New Roman"/>
          <w:color w:val="000000"/>
          <w:sz w:val="24"/>
          <w:szCs w:val="24"/>
        </w:rPr>
        <w:t xml:space="preserve">merit </w:t>
      </w:r>
      <w:r>
        <w:rPr>
          <w:rFonts w:ascii="Times New Roman" w:eastAsia="Times New Roman" w:hAnsi="Times New Roman" w:cs="Times New Roman"/>
          <w:color w:val="000000"/>
          <w:sz w:val="24"/>
          <w:szCs w:val="24"/>
        </w:rPr>
        <w:t>criteria.</w:t>
      </w:r>
    </w:p>
    <w:p w14:paraId="47F29752" w14:textId="77777777" w:rsidR="005A7C1E" w:rsidRDefault="005A7C1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40A404FF" w14:textId="4DB7C9D5" w:rsidR="005A7C1E" w:rsidRDefault="006622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case of a project submitted in a partnership with an entity from the Donor States, </w:t>
      </w:r>
      <w:r w:rsidR="00AD318B">
        <w:rPr>
          <w:rFonts w:ascii="Times New Roman" w:eastAsia="Times New Roman" w:hAnsi="Times New Roman" w:cs="Times New Roman"/>
          <w:color w:val="000000"/>
          <w:sz w:val="24"/>
          <w:szCs w:val="24"/>
        </w:rPr>
        <w:t xml:space="preserve">at </w:t>
      </w:r>
      <w:r>
        <w:rPr>
          <w:rFonts w:ascii="Times New Roman" w:eastAsia="Times New Roman" w:hAnsi="Times New Roman" w:cs="Times New Roman"/>
          <w:color w:val="000000"/>
          <w:sz w:val="24"/>
          <w:szCs w:val="24"/>
        </w:rPr>
        <w:t>the submission stage of the grant application, the Applicant is required to present a letter of intent, a partnership agreement or other evidence to confirm the cooperation with the Project Partner from the Donor States. Prior to the conclusion of a</w:t>
      </w:r>
      <w:r w:rsidR="00A00C80">
        <w:rPr>
          <w:rFonts w:ascii="Times New Roman" w:eastAsia="Times New Roman" w:hAnsi="Times New Roman" w:cs="Times New Roman"/>
          <w:color w:val="000000"/>
          <w:sz w:val="24"/>
          <w:szCs w:val="24"/>
        </w:rPr>
        <w:t xml:space="preserve"> </w:t>
      </w:r>
      <w:r w:rsidR="007856B0">
        <w:rPr>
          <w:rFonts w:ascii="Times New Roman" w:eastAsia="Times New Roman" w:hAnsi="Times New Roman" w:cs="Times New Roman"/>
          <w:color w:val="000000"/>
          <w:sz w:val="24"/>
          <w:szCs w:val="24"/>
        </w:rPr>
        <w:t xml:space="preserve">project </w:t>
      </w:r>
      <w:r>
        <w:rPr>
          <w:rFonts w:ascii="Times New Roman" w:eastAsia="Times New Roman" w:hAnsi="Times New Roman" w:cs="Times New Roman"/>
          <w:color w:val="000000"/>
          <w:sz w:val="24"/>
          <w:szCs w:val="24"/>
        </w:rPr>
        <w:t>agreement on the implementation of a project submitted in partnership with an entity from the Donor States, the submission of a signed partnership agreement in the English language and its translation into the Polish language shall be required.</w:t>
      </w:r>
    </w:p>
    <w:p w14:paraId="6F608D2A" w14:textId="77777777" w:rsidR="005A7C1E" w:rsidRDefault="005A7C1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4"/>
        </w:rPr>
      </w:pPr>
    </w:p>
    <w:p w14:paraId="66147EFD" w14:textId="1EC6CE91" w:rsidR="005A7C1E" w:rsidRDefault="006622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4"/>
        </w:rPr>
      </w:pPr>
      <w:bookmarkStart w:id="4" w:name="_2et92p0" w:colFirst="0" w:colLast="0"/>
      <w:bookmarkEnd w:id="4"/>
      <w:r>
        <w:rPr>
          <w:rFonts w:ascii="Times New Roman" w:eastAsia="Times New Roman" w:hAnsi="Times New Roman" w:cs="Times New Roman"/>
          <w:color w:val="000000"/>
          <w:sz w:val="24"/>
          <w:szCs w:val="24"/>
        </w:rPr>
        <w:t xml:space="preserve">In order to support the process of establishing partnerships with partners from the Donor States, the Programme Operator encourages Applicants to </w:t>
      </w:r>
      <w:r w:rsidR="007856B0">
        <w:rPr>
          <w:rFonts w:ascii="Times New Roman" w:eastAsia="Times New Roman" w:hAnsi="Times New Roman" w:cs="Times New Roman"/>
          <w:color w:val="000000"/>
          <w:sz w:val="24"/>
          <w:szCs w:val="24"/>
        </w:rPr>
        <w:t>consult</w:t>
      </w:r>
      <w:r w:rsidR="00A00C8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information provided on  </w:t>
      </w:r>
      <w:hyperlink r:id="rId8" w:history="1">
        <w:r w:rsidR="00647B30" w:rsidRPr="00287C7D">
          <w:rPr>
            <w:rStyle w:val="Hipercze"/>
            <w:rFonts w:ascii="Times New Roman" w:eastAsia="Times New Roman" w:hAnsi="Times New Roman"/>
            <w:sz w:val="24"/>
            <w:szCs w:val="24"/>
          </w:rPr>
          <w:t>the EEA Grants website</w:t>
        </w:r>
      </w:hyperlink>
      <w:r w:rsidR="00647B30" w:rsidRPr="002C6FF9">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and in the Partnership Guide, which is an attachment to the present Announcement.  </w:t>
      </w:r>
    </w:p>
    <w:p w14:paraId="3B589E21" w14:textId="77777777" w:rsidR="005A7C1E" w:rsidRDefault="005A7C1E">
      <w:pPr>
        <w:pBdr>
          <w:top w:val="nil"/>
          <w:left w:val="nil"/>
          <w:bottom w:val="nil"/>
          <w:right w:val="nil"/>
          <w:between w:val="nil"/>
        </w:pBdr>
        <w:jc w:val="both"/>
        <w:rPr>
          <w:rFonts w:ascii="Times New Roman" w:eastAsia="Times New Roman" w:hAnsi="Times New Roman" w:cs="Times New Roman"/>
          <w:color w:val="000000"/>
          <w:sz w:val="24"/>
          <w:szCs w:val="24"/>
        </w:rPr>
      </w:pPr>
    </w:p>
    <w:p w14:paraId="51B7393F" w14:textId="77777777" w:rsidR="005A7C1E" w:rsidRDefault="00662273">
      <w:pPr>
        <w:numPr>
          <w:ilvl w:val="0"/>
          <w:numId w:val="8"/>
        </w:num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Amount allocated to the Call for Proposals</w:t>
      </w:r>
    </w:p>
    <w:p w14:paraId="7D1BF6E1" w14:textId="45DA923F"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EUR 40,000,000, i.e. PLN </w:t>
      </w:r>
      <w:r w:rsidR="00647B30" w:rsidRPr="00647B30">
        <w:rPr>
          <w:rFonts w:ascii="Times New Roman" w:eastAsia="Times New Roman" w:hAnsi="Times New Roman" w:cs="Times New Roman"/>
          <w:color w:val="000000"/>
          <w:sz w:val="24"/>
          <w:szCs w:val="24"/>
        </w:rPr>
        <w:t>172 636 000</w:t>
      </w:r>
      <w:r w:rsidR="00647B30" w:rsidRPr="00647B30">
        <w:rPr>
          <w:rFonts w:ascii="Times New Roman" w:eastAsia="Times New Roman" w:hAnsi="Times New Roman" w:cs="Times New Roman"/>
          <w:color w:val="000000"/>
          <w:sz w:val="24"/>
          <w:szCs w:val="24"/>
        </w:rPr>
        <w:t>‬</w:t>
      </w:r>
      <w:r w:rsidR="00610FA7" w:rsidRPr="00647B30">
        <w:rPr>
          <w:rStyle w:val="Odwoanieprzypisudolnego"/>
          <w:rFonts w:ascii="Times New Roman" w:eastAsia="Times New Roman" w:hAnsi="Times New Roman" w:cs="Times New Roman"/>
          <w:color w:val="000000"/>
          <w:sz w:val="24"/>
          <w:szCs w:val="24"/>
        </w:rPr>
        <w:footnoteReference w:id="7"/>
      </w:r>
      <w:r>
        <w:rPr>
          <w:rFonts w:ascii="Times New Roman" w:eastAsia="Times New Roman" w:hAnsi="Times New Roman" w:cs="Times New Roman"/>
          <w:color w:val="000000"/>
          <w:sz w:val="24"/>
          <w:szCs w:val="24"/>
        </w:rPr>
        <w:t xml:space="preserve"> </w:t>
      </w:r>
    </w:p>
    <w:p w14:paraId="34DB2381" w14:textId="77777777" w:rsidR="005A7C1E" w:rsidRDefault="005A7C1E">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p>
    <w:p w14:paraId="55EDD8D0" w14:textId="77777777" w:rsidR="005A7C1E" w:rsidRDefault="00662273">
      <w:pPr>
        <w:numPr>
          <w:ilvl w:val="0"/>
          <w:numId w:val="8"/>
        </w:num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Grant rate </w:t>
      </w:r>
    </w:p>
    <w:p w14:paraId="20A3924F" w14:textId="214E30AD" w:rsidR="005A7C1E" w:rsidRDefault="00662273">
      <w:pPr>
        <w:pBdr>
          <w:top w:val="nil"/>
          <w:left w:val="nil"/>
          <w:bottom w:val="nil"/>
          <w:right w:val="nil"/>
          <w:between w:val="nil"/>
        </w:pBdr>
        <w:tabs>
          <w:tab w:val="left" w:pos="0"/>
        </w:tabs>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grant rate of the requested co-financing shall be</w:t>
      </w:r>
      <w:r w:rsidR="007856B0">
        <w:rPr>
          <w:rFonts w:ascii="Times New Roman" w:eastAsia="Times New Roman" w:hAnsi="Times New Roman" w:cs="Times New Roman"/>
          <w:color w:val="000000"/>
          <w:sz w:val="24"/>
          <w:szCs w:val="24"/>
        </w:rPr>
        <w:t xml:space="preserve"> </w:t>
      </w:r>
      <w:r w:rsidR="003F22AF">
        <w:rPr>
          <w:rFonts w:ascii="Times New Roman" w:eastAsia="Times New Roman" w:hAnsi="Times New Roman" w:cs="Times New Roman"/>
          <w:color w:val="000000"/>
          <w:sz w:val="24"/>
          <w:szCs w:val="24"/>
        </w:rPr>
        <w:t xml:space="preserve">up to </w:t>
      </w:r>
      <w:r>
        <w:rPr>
          <w:rFonts w:ascii="Times New Roman" w:eastAsia="Times New Roman" w:hAnsi="Times New Roman" w:cs="Times New Roman"/>
          <w:color w:val="000000"/>
          <w:sz w:val="24"/>
          <w:szCs w:val="24"/>
        </w:rPr>
        <w:t xml:space="preserve">45% of eligible expenditures. </w:t>
      </w:r>
    </w:p>
    <w:p w14:paraId="3E30A602" w14:textId="77777777" w:rsidR="005A7C1E" w:rsidRDefault="005A7C1E">
      <w:pPr>
        <w:pBdr>
          <w:top w:val="nil"/>
          <w:left w:val="nil"/>
          <w:bottom w:val="nil"/>
          <w:right w:val="nil"/>
          <w:between w:val="nil"/>
        </w:pBdr>
        <w:tabs>
          <w:tab w:val="left" w:pos="0"/>
        </w:tabs>
        <w:spacing w:before="120"/>
        <w:jc w:val="both"/>
        <w:rPr>
          <w:rFonts w:ascii="Times New Roman" w:eastAsia="Times New Roman" w:hAnsi="Times New Roman" w:cs="Times New Roman"/>
          <w:color w:val="000000"/>
          <w:sz w:val="24"/>
          <w:szCs w:val="24"/>
        </w:rPr>
      </w:pPr>
    </w:p>
    <w:p w14:paraId="3AFDFBED" w14:textId="77777777" w:rsidR="00443AD6" w:rsidRDefault="00443AD6">
      <w:pPr>
        <w:pBdr>
          <w:top w:val="nil"/>
          <w:left w:val="nil"/>
          <w:bottom w:val="nil"/>
          <w:right w:val="nil"/>
          <w:between w:val="nil"/>
        </w:pBdr>
        <w:tabs>
          <w:tab w:val="left" w:pos="0"/>
        </w:tabs>
        <w:spacing w:before="120"/>
        <w:jc w:val="both"/>
        <w:rPr>
          <w:rFonts w:ascii="Times New Roman" w:eastAsia="Times New Roman" w:hAnsi="Times New Roman" w:cs="Times New Roman"/>
          <w:color w:val="000000"/>
          <w:sz w:val="24"/>
          <w:szCs w:val="24"/>
        </w:rPr>
      </w:pPr>
    </w:p>
    <w:p w14:paraId="6B5D753D" w14:textId="77777777" w:rsidR="005A7C1E" w:rsidRDefault="00662273">
      <w:pPr>
        <w:numPr>
          <w:ilvl w:val="0"/>
          <w:numId w:val="8"/>
        </w:num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Minimum grant amount</w:t>
      </w:r>
    </w:p>
    <w:p w14:paraId="7B678F2E" w14:textId="2C1C4CD9"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EUR 1,000,000, i.e. PLN  </w:t>
      </w:r>
      <w:r w:rsidR="00647B30" w:rsidRPr="00647B30">
        <w:rPr>
          <w:rFonts w:ascii="Times New Roman" w:eastAsia="Times New Roman" w:hAnsi="Times New Roman" w:cs="Times New Roman"/>
          <w:sz w:val="24"/>
          <w:szCs w:val="24"/>
        </w:rPr>
        <w:t>4,315,900</w:t>
      </w:r>
      <w:r w:rsidR="00610FA7">
        <w:rPr>
          <w:rStyle w:val="Odwoanieprzypisudolnego"/>
          <w:rFonts w:ascii="Times New Roman" w:eastAsia="Times New Roman" w:hAnsi="Times New Roman" w:cs="Times New Roman"/>
          <w:color w:val="000000"/>
          <w:sz w:val="24"/>
          <w:szCs w:val="24"/>
        </w:rPr>
        <w:footnoteReference w:id="8"/>
      </w:r>
    </w:p>
    <w:p w14:paraId="4EECD8D0" w14:textId="77777777" w:rsidR="005A7C1E" w:rsidRDefault="005A7C1E">
      <w:pPr>
        <w:pBdr>
          <w:top w:val="nil"/>
          <w:left w:val="nil"/>
          <w:bottom w:val="nil"/>
          <w:right w:val="nil"/>
          <w:between w:val="nil"/>
        </w:pBdr>
        <w:spacing w:before="120"/>
        <w:ind w:left="426"/>
        <w:jc w:val="both"/>
        <w:rPr>
          <w:rFonts w:ascii="Times New Roman" w:eastAsia="Times New Roman" w:hAnsi="Times New Roman" w:cs="Times New Roman"/>
          <w:color w:val="000000"/>
          <w:sz w:val="24"/>
          <w:szCs w:val="24"/>
        </w:rPr>
      </w:pPr>
    </w:p>
    <w:p w14:paraId="6F467C33" w14:textId="77777777" w:rsidR="005A7C1E" w:rsidRDefault="00662273">
      <w:pPr>
        <w:numPr>
          <w:ilvl w:val="0"/>
          <w:numId w:val="8"/>
        </w:num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Maximum grant amount</w:t>
      </w:r>
    </w:p>
    <w:p w14:paraId="7E17AC28" w14:textId="54BCF640"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EUR 7,000,000, i.e. PLN  </w:t>
      </w:r>
      <w:r w:rsidR="00647B30" w:rsidRPr="00CC2757">
        <w:rPr>
          <w:rFonts w:ascii="Times New Roman" w:eastAsia="Times New Roman" w:hAnsi="Times New Roman" w:cs="Times New Roman"/>
          <w:sz w:val="24"/>
          <w:szCs w:val="24"/>
        </w:rPr>
        <w:t>30</w:t>
      </w:r>
      <w:r w:rsidR="00647B30">
        <w:rPr>
          <w:rFonts w:ascii="Times New Roman" w:eastAsia="Times New Roman" w:hAnsi="Times New Roman" w:cs="Times New Roman"/>
          <w:sz w:val="24"/>
          <w:szCs w:val="24"/>
        </w:rPr>
        <w:t>,</w:t>
      </w:r>
      <w:r w:rsidR="00647B30" w:rsidRPr="00CC2757">
        <w:rPr>
          <w:rFonts w:ascii="Times New Roman" w:eastAsia="Times New Roman" w:hAnsi="Times New Roman" w:cs="Times New Roman"/>
          <w:sz w:val="24"/>
          <w:szCs w:val="24"/>
        </w:rPr>
        <w:t>211</w:t>
      </w:r>
      <w:r w:rsidR="00647B30">
        <w:rPr>
          <w:rFonts w:ascii="Times New Roman" w:eastAsia="Times New Roman" w:hAnsi="Times New Roman" w:cs="Times New Roman"/>
          <w:sz w:val="24"/>
          <w:szCs w:val="24"/>
        </w:rPr>
        <w:t>,</w:t>
      </w:r>
      <w:r w:rsidR="00647B30" w:rsidRPr="00CC2757">
        <w:rPr>
          <w:rFonts w:ascii="Times New Roman" w:eastAsia="Times New Roman" w:hAnsi="Times New Roman" w:cs="Times New Roman"/>
          <w:sz w:val="24"/>
          <w:szCs w:val="24"/>
        </w:rPr>
        <w:t>300</w:t>
      </w:r>
      <w:r w:rsidR="00610FA7">
        <w:rPr>
          <w:rStyle w:val="Odwoanieprzypisudolnego"/>
          <w:rFonts w:ascii="Times New Roman" w:eastAsia="Times New Roman" w:hAnsi="Times New Roman" w:cs="Times New Roman"/>
          <w:color w:val="000000"/>
          <w:sz w:val="24"/>
          <w:szCs w:val="24"/>
        </w:rPr>
        <w:footnoteReference w:id="9"/>
      </w:r>
    </w:p>
    <w:p w14:paraId="6D346FA4" w14:textId="77777777" w:rsidR="005A7C1E" w:rsidRDefault="005A7C1E">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p>
    <w:p w14:paraId="0FABE330" w14:textId="77777777" w:rsidR="005A7C1E" w:rsidRDefault="00662273">
      <w:pPr>
        <w:numPr>
          <w:ilvl w:val="0"/>
          <w:numId w:val="8"/>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 of eligibility of expenditures in projects</w:t>
      </w:r>
    </w:p>
    <w:p w14:paraId="50375E9C"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period of eligibility of expenditures in projects shall start on the day that the Programme Operator (the Ministry of Climate) decides to award the project grant.</w:t>
      </w:r>
    </w:p>
    <w:p w14:paraId="77356D05"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period of eligibility of expenditures in projects shall expire on 30 April 2024.</w:t>
      </w:r>
    </w:p>
    <w:p w14:paraId="57A45DAA" w14:textId="77777777" w:rsidR="005A7C1E" w:rsidRDefault="005A7C1E">
      <w:pPr>
        <w:pBdr>
          <w:top w:val="nil"/>
          <w:left w:val="nil"/>
          <w:bottom w:val="nil"/>
          <w:right w:val="nil"/>
          <w:between w:val="nil"/>
        </w:pBdr>
        <w:spacing w:before="120"/>
        <w:ind w:left="360" w:hanging="360"/>
        <w:jc w:val="both"/>
        <w:rPr>
          <w:rFonts w:ascii="Times New Roman" w:eastAsia="Times New Roman" w:hAnsi="Times New Roman" w:cs="Times New Roman"/>
          <w:color w:val="000000"/>
          <w:sz w:val="24"/>
          <w:szCs w:val="24"/>
        </w:rPr>
      </w:pPr>
    </w:p>
    <w:p w14:paraId="57AA1E8B" w14:textId="77777777" w:rsidR="005A7C1E" w:rsidRDefault="00662273">
      <w:pPr>
        <w:numPr>
          <w:ilvl w:val="0"/>
          <w:numId w:val="8"/>
        </w:num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Evaluation and selection process</w:t>
      </w:r>
    </w:p>
    <w:p w14:paraId="47CFB729" w14:textId="5BEC9BB4"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Applicant shall fill in an application for the award of a grant and, subsequently, submit it to the National Fund for Environmental Protection and Water Management (hereinafter the National Fund) in the manner described in Section 13 of the Announcement of the Call for Proposals. The evaluation of a project shall consist of an administrative evaluation (based on administrative and eligibility criteria) as well as a merit evaluation comprised of stage one and stage two (based on merit criteria).  </w:t>
      </w:r>
    </w:p>
    <w:p w14:paraId="6FB2D041" w14:textId="77777777" w:rsidR="00723590" w:rsidRDefault="00662273">
      <w:pPr>
        <w:pBdr>
          <w:top w:val="nil"/>
          <w:left w:val="nil"/>
          <w:bottom w:val="nil"/>
          <w:right w:val="nil"/>
          <w:between w:val="nil"/>
        </w:pBdr>
        <w:spacing w:before="240"/>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u w:val="single"/>
        </w:rPr>
        <w:t>An administrative evaluation</w:t>
      </w:r>
      <w:r>
        <w:rPr>
          <w:rFonts w:ascii="Times New Roman" w:eastAsia="Times New Roman" w:hAnsi="Times New Roman" w:cs="Times New Roman"/>
          <w:color w:val="000000"/>
          <w:sz w:val="24"/>
          <w:szCs w:val="24"/>
        </w:rPr>
        <w:t xml:space="preserve"> of projects shall consist in verifying a project to determine whether it meets or fails to meet the administrative and eligibility criteria (the so-called yes-no evaluation).</w:t>
      </w:r>
      <w:r>
        <w:rPr>
          <w:rFonts w:ascii="Times New Roman" w:eastAsia="Times New Roman" w:hAnsi="Times New Roman" w:cs="Times New Roman"/>
          <w:color w:val="000000"/>
          <w:sz w:val="24"/>
          <w:szCs w:val="24"/>
          <w:highlight w:val="yellow"/>
        </w:rPr>
        <w:t xml:space="preserve"> </w:t>
      </w:r>
    </w:p>
    <w:p w14:paraId="0B50D7F1" w14:textId="249D545F" w:rsidR="009C6DA4" w:rsidRPr="00846FAF" w:rsidRDefault="00723590">
      <w:pPr>
        <w:pBdr>
          <w:top w:val="nil"/>
          <w:left w:val="nil"/>
          <w:bottom w:val="nil"/>
          <w:right w:val="nil"/>
          <w:between w:val="nil"/>
        </w:pBdr>
        <w:spacing w:before="240"/>
        <w:jc w:val="both"/>
        <w:rPr>
          <w:rFonts w:ascii="Times New Roman" w:eastAsia="Times New Roman" w:hAnsi="Times New Roman" w:cs="Times New Roman"/>
          <w:color w:val="000000"/>
          <w:sz w:val="24"/>
          <w:szCs w:val="24"/>
        </w:rPr>
      </w:pPr>
      <w:r w:rsidRPr="0095529A">
        <w:rPr>
          <w:rFonts w:ascii="Times New Roman" w:eastAsia="Times New Roman" w:hAnsi="Times New Roman" w:cs="Times New Roman"/>
          <w:color w:val="000000"/>
          <w:sz w:val="24"/>
          <w:szCs w:val="24"/>
        </w:rPr>
        <w:t xml:space="preserve">The administrative evaluation lasts </w:t>
      </w:r>
      <w:r w:rsidR="00C906E4">
        <w:rPr>
          <w:rFonts w:ascii="Times New Roman" w:eastAsia="Times New Roman" w:hAnsi="Times New Roman" w:cs="Times New Roman"/>
          <w:color w:val="000000"/>
          <w:sz w:val="24"/>
          <w:szCs w:val="24"/>
        </w:rPr>
        <w:t xml:space="preserve">up to </w:t>
      </w:r>
      <w:r w:rsidR="0065556F" w:rsidRPr="0095529A">
        <w:rPr>
          <w:rFonts w:ascii="Times New Roman" w:eastAsia="Times New Roman" w:hAnsi="Times New Roman" w:cs="Times New Roman"/>
          <w:color w:val="000000"/>
          <w:sz w:val="24"/>
          <w:szCs w:val="24"/>
        </w:rPr>
        <w:t xml:space="preserve">4 weeks </w:t>
      </w:r>
      <w:r w:rsidR="00716826" w:rsidRPr="0095529A">
        <w:rPr>
          <w:rFonts w:ascii="Times New Roman" w:eastAsia="Times New Roman" w:hAnsi="Times New Roman" w:cs="Times New Roman"/>
          <w:color w:val="000000"/>
          <w:sz w:val="24"/>
          <w:szCs w:val="24"/>
        </w:rPr>
        <w:t xml:space="preserve">counted </w:t>
      </w:r>
      <w:r w:rsidR="00C92E65" w:rsidRPr="0095529A">
        <w:rPr>
          <w:rFonts w:ascii="Times New Roman" w:eastAsia="Times New Roman" w:hAnsi="Times New Roman" w:cs="Times New Roman"/>
          <w:color w:val="000000"/>
          <w:sz w:val="24"/>
          <w:szCs w:val="24"/>
        </w:rPr>
        <w:t>from the date of the submission of the application</w:t>
      </w:r>
      <w:r w:rsidR="009C6DA4" w:rsidRPr="0095529A">
        <w:rPr>
          <w:rFonts w:ascii="Times New Roman" w:eastAsia="Times New Roman" w:hAnsi="Times New Roman" w:cs="Times New Roman"/>
          <w:color w:val="000000"/>
          <w:sz w:val="24"/>
          <w:szCs w:val="24"/>
        </w:rPr>
        <w:t xml:space="preserve">, excluding </w:t>
      </w:r>
      <w:r w:rsidR="00E01B08" w:rsidRPr="0095529A">
        <w:rPr>
          <w:rFonts w:ascii="Times New Roman" w:eastAsia="Times New Roman" w:hAnsi="Times New Roman" w:cs="Times New Roman"/>
          <w:color w:val="000000"/>
          <w:sz w:val="24"/>
          <w:szCs w:val="24"/>
        </w:rPr>
        <w:t>the t</w:t>
      </w:r>
      <w:r w:rsidR="009C6DA4" w:rsidRPr="0095529A">
        <w:rPr>
          <w:rFonts w:ascii="Times New Roman" w:eastAsia="Times New Roman" w:hAnsi="Times New Roman" w:cs="Times New Roman"/>
          <w:color w:val="000000"/>
          <w:sz w:val="24"/>
          <w:szCs w:val="24"/>
        </w:rPr>
        <w:t>ime needed for the appeal procedure.</w:t>
      </w:r>
      <w:r w:rsidR="009C6DA4">
        <w:rPr>
          <w:rFonts w:ascii="Times New Roman" w:eastAsia="Times New Roman" w:hAnsi="Times New Roman" w:cs="Times New Roman"/>
          <w:color w:val="000000"/>
          <w:sz w:val="24"/>
          <w:szCs w:val="24"/>
        </w:rPr>
        <w:t xml:space="preserve"> </w:t>
      </w:r>
    </w:p>
    <w:p w14:paraId="300FDC90" w14:textId="298136FB" w:rsidR="0095529A" w:rsidRDefault="00662273">
      <w:pPr>
        <w:pBdr>
          <w:top w:val="nil"/>
          <w:left w:val="nil"/>
          <w:bottom w:val="nil"/>
          <w:right w:val="nil"/>
          <w:between w:val="nil"/>
        </w:pBdr>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even one administrative/eligibility criterion is not met, the Applicant shall be invited to correct or </w:t>
      </w:r>
      <w:r w:rsidR="007856B0">
        <w:rPr>
          <w:rFonts w:ascii="Times New Roman" w:eastAsia="Times New Roman" w:hAnsi="Times New Roman" w:cs="Times New Roman"/>
          <w:color w:val="000000"/>
          <w:sz w:val="24"/>
          <w:szCs w:val="24"/>
        </w:rPr>
        <w:t xml:space="preserve">improve </w:t>
      </w:r>
      <w:r>
        <w:rPr>
          <w:rFonts w:ascii="Times New Roman" w:eastAsia="Times New Roman" w:hAnsi="Times New Roman" w:cs="Times New Roman"/>
          <w:color w:val="000000"/>
          <w:sz w:val="24"/>
          <w:szCs w:val="24"/>
        </w:rPr>
        <w:t xml:space="preserve">it or to provide an explanation. </w:t>
      </w:r>
      <w:r w:rsidR="007856B0">
        <w:rPr>
          <w:rFonts w:ascii="Times New Roman" w:eastAsia="Times New Roman" w:hAnsi="Times New Roman" w:cs="Times New Roman"/>
          <w:color w:val="000000"/>
          <w:sz w:val="24"/>
          <w:szCs w:val="24"/>
        </w:rPr>
        <w:t xml:space="preserve">Failure to submit an application </w:t>
      </w:r>
      <w:r>
        <w:rPr>
          <w:rFonts w:ascii="Times New Roman" w:eastAsia="Times New Roman" w:hAnsi="Times New Roman" w:cs="Times New Roman"/>
          <w:color w:val="000000"/>
          <w:sz w:val="24"/>
          <w:szCs w:val="24"/>
        </w:rPr>
        <w:t xml:space="preserve">within the period specified in the announcement cannot be </w:t>
      </w:r>
      <w:r w:rsidR="00C906E4">
        <w:rPr>
          <w:rFonts w:ascii="Times New Roman" w:eastAsia="Times New Roman" w:hAnsi="Times New Roman" w:cs="Times New Roman"/>
          <w:color w:val="000000"/>
          <w:sz w:val="24"/>
          <w:szCs w:val="24"/>
        </w:rPr>
        <w:t>improved</w:t>
      </w:r>
      <w:r>
        <w:rPr>
          <w:rFonts w:ascii="Times New Roman" w:eastAsia="Times New Roman" w:hAnsi="Times New Roman" w:cs="Times New Roman"/>
          <w:color w:val="000000"/>
          <w:sz w:val="24"/>
          <w:szCs w:val="24"/>
        </w:rPr>
        <w:t>/supplemented</w:t>
      </w:r>
      <w:r w:rsidR="007856B0">
        <w:rPr>
          <w:rFonts w:ascii="Times New Roman" w:eastAsia="Times New Roman" w:hAnsi="Times New Roman" w:cs="Times New Roman"/>
          <w:color w:val="000000"/>
          <w:sz w:val="24"/>
          <w:szCs w:val="24"/>
        </w:rPr>
        <w:t xml:space="preserve"> and thus results in application’s rejection</w:t>
      </w:r>
      <w:r w:rsidR="0095529A">
        <w:rPr>
          <w:rFonts w:ascii="Times New Roman" w:eastAsia="Times New Roman" w:hAnsi="Times New Roman" w:cs="Times New Roman"/>
          <w:color w:val="000000"/>
          <w:sz w:val="24"/>
          <w:szCs w:val="24"/>
        </w:rPr>
        <w:t>.</w:t>
      </w:r>
    </w:p>
    <w:p w14:paraId="16399638" w14:textId="6008166F" w:rsidR="005A7C1E" w:rsidRDefault="00662273">
      <w:pPr>
        <w:pBdr>
          <w:top w:val="nil"/>
          <w:left w:val="nil"/>
          <w:bottom w:val="nil"/>
          <w:right w:val="nil"/>
          <w:between w:val="nil"/>
        </w:pBdr>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Applicants whose applications will be rated negatively or left without consideration at this stage shall be informed in writing of the reasons for negative evaluation or leaving without consideration and they will be able to appeal the decision to the National Focal Point via the Programme Operator.</w:t>
      </w:r>
    </w:p>
    <w:p w14:paraId="3A44A734"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 merit evaluation</w:t>
      </w:r>
      <w:r>
        <w:rPr>
          <w:rFonts w:ascii="Times New Roman" w:eastAsia="Times New Roman" w:hAnsi="Times New Roman" w:cs="Times New Roman"/>
          <w:color w:val="000000"/>
          <w:sz w:val="24"/>
          <w:szCs w:val="24"/>
        </w:rPr>
        <w:t xml:space="preserve"> shall consist of two stages:</w:t>
      </w:r>
    </w:p>
    <w:p w14:paraId="76CF4CF4" w14:textId="2D134DBB" w:rsidR="005A7C1E" w:rsidRDefault="00662273">
      <w:pPr>
        <w:numPr>
          <w:ilvl w:val="0"/>
          <w:numId w:val="3"/>
        </w:numPr>
        <w:pBdr>
          <w:top w:val="nil"/>
          <w:left w:val="nil"/>
          <w:bottom w:val="nil"/>
          <w:right w:val="nil"/>
          <w:between w:val="nil"/>
        </w:pBdr>
        <w:spacing w:before="120"/>
        <w:jc w:val="both"/>
        <w:rPr>
          <w:color w:val="000000"/>
          <w:sz w:val="24"/>
          <w:szCs w:val="24"/>
        </w:rPr>
      </w:pPr>
      <w:r>
        <w:rPr>
          <w:rFonts w:ascii="Times New Roman" w:eastAsia="Times New Roman" w:hAnsi="Times New Roman" w:cs="Times New Roman"/>
          <w:color w:val="000000"/>
          <w:sz w:val="24"/>
          <w:szCs w:val="24"/>
        </w:rPr>
        <w:t>Stage one of the evaluation: covering compliance with the applicable rules for the award of state aid, the principles of equal opportunity and non-discrimination, an assessment of the financial condition of the Applicant and an assessment of the eligibility of the project. This shall be a yes or no evaluation.</w:t>
      </w:r>
    </w:p>
    <w:p w14:paraId="09C82F65" w14:textId="77777777" w:rsidR="005A7C1E" w:rsidRDefault="00662273" w:rsidP="00A00C80">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Applicants whose applications are rejected at this stage shall be informed in writing of</w:t>
      </w:r>
      <w:r w:rsidR="000C4E6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reasons for rejection. </w:t>
      </w:r>
    </w:p>
    <w:p w14:paraId="5FCEE7D1" w14:textId="77777777" w:rsidR="0069592C" w:rsidRDefault="0069592C">
      <w:pPr>
        <w:pBdr>
          <w:top w:val="nil"/>
          <w:left w:val="nil"/>
          <w:bottom w:val="nil"/>
          <w:right w:val="nil"/>
          <w:between w:val="nil"/>
        </w:pBdr>
        <w:spacing w:before="120"/>
        <w:ind w:left="720"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no possibility to appeal at this stage.</w:t>
      </w:r>
    </w:p>
    <w:p w14:paraId="4B965ED6" w14:textId="77777777" w:rsidR="00FD04C0" w:rsidRDefault="00662273" w:rsidP="00FD04C0">
      <w:pPr>
        <w:numPr>
          <w:ilvl w:val="0"/>
          <w:numId w:val="3"/>
        </w:numPr>
        <w:pBdr>
          <w:top w:val="nil"/>
          <w:left w:val="nil"/>
          <w:bottom w:val="nil"/>
          <w:right w:val="nil"/>
          <w:between w:val="nil"/>
        </w:pBdr>
        <w:spacing w:before="120"/>
        <w:jc w:val="both"/>
        <w:rPr>
          <w:color w:val="000000"/>
          <w:sz w:val="24"/>
          <w:szCs w:val="24"/>
        </w:rPr>
      </w:pPr>
      <w:r>
        <w:rPr>
          <w:rFonts w:ascii="Times New Roman" w:eastAsia="Times New Roman" w:hAnsi="Times New Roman" w:cs="Times New Roman"/>
          <w:color w:val="000000"/>
          <w:sz w:val="24"/>
          <w:szCs w:val="24"/>
        </w:rPr>
        <w:t xml:space="preserve">Stage two of the evaluation: consisting in points-based scoring of a project by at least two external and independent experts designated by the National Fund which shall be selected in a competition procedure. The experts shall evaluate a project separately in accordance with the stage two merit criteria as published in the Announcement of the Call for Proposals. </w:t>
      </w:r>
    </w:p>
    <w:p w14:paraId="1DB47D2A" w14:textId="722ADF1D" w:rsidR="00AE013F" w:rsidRPr="0095529A" w:rsidRDefault="00AE013F" w:rsidP="0095529A">
      <w:pPr>
        <w:pBdr>
          <w:top w:val="nil"/>
          <w:left w:val="nil"/>
          <w:bottom w:val="nil"/>
          <w:right w:val="nil"/>
          <w:between w:val="nil"/>
        </w:pBdr>
        <w:spacing w:before="240"/>
        <w:jc w:val="both"/>
        <w:rPr>
          <w:rFonts w:ascii="Times New Roman" w:eastAsia="Times New Roman" w:hAnsi="Times New Roman" w:cs="Times New Roman"/>
          <w:color w:val="000000"/>
          <w:sz w:val="24"/>
          <w:szCs w:val="24"/>
        </w:rPr>
      </w:pPr>
      <w:r w:rsidRPr="0095529A">
        <w:rPr>
          <w:color w:val="000000"/>
          <w:sz w:val="24"/>
          <w:szCs w:val="24"/>
        </w:rPr>
        <w:t>T</w:t>
      </w:r>
      <w:r w:rsidRPr="0095529A">
        <w:rPr>
          <w:rFonts w:ascii="Times New Roman" w:eastAsia="Times New Roman" w:hAnsi="Times New Roman" w:cs="Times New Roman"/>
          <w:color w:val="000000"/>
          <w:sz w:val="24"/>
          <w:szCs w:val="24"/>
        </w:rPr>
        <w:t xml:space="preserve">he merit evaluation (stage I and stage </w:t>
      </w:r>
      <w:r w:rsidR="009C6DA4" w:rsidRPr="0095529A">
        <w:rPr>
          <w:rFonts w:ascii="Times New Roman" w:eastAsia="Times New Roman" w:hAnsi="Times New Roman" w:cs="Times New Roman"/>
          <w:color w:val="000000"/>
          <w:sz w:val="24"/>
          <w:szCs w:val="24"/>
        </w:rPr>
        <w:t>II) lasts</w:t>
      </w:r>
      <w:r w:rsidR="00C906E4">
        <w:rPr>
          <w:rFonts w:ascii="Times New Roman" w:eastAsia="Times New Roman" w:hAnsi="Times New Roman" w:cs="Times New Roman"/>
          <w:color w:val="000000"/>
          <w:sz w:val="24"/>
          <w:szCs w:val="24"/>
        </w:rPr>
        <w:t xml:space="preserve"> up to</w:t>
      </w:r>
      <w:r w:rsidR="009C6DA4" w:rsidRPr="0095529A">
        <w:rPr>
          <w:rFonts w:ascii="Times New Roman" w:eastAsia="Times New Roman" w:hAnsi="Times New Roman" w:cs="Times New Roman"/>
          <w:color w:val="000000"/>
          <w:sz w:val="24"/>
          <w:szCs w:val="24"/>
        </w:rPr>
        <w:t xml:space="preserve"> </w:t>
      </w:r>
      <w:r w:rsidR="002407BB" w:rsidRPr="0095529A">
        <w:rPr>
          <w:rFonts w:ascii="Times New Roman" w:eastAsia="Times New Roman" w:hAnsi="Times New Roman" w:cs="Times New Roman"/>
          <w:color w:val="000000"/>
          <w:sz w:val="24"/>
          <w:szCs w:val="24"/>
        </w:rPr>
        <w:t>1</w:t>
      </w:r>
      <w:r w:rsidR="00B83E83">
        <w:rPr>
          <w:rFonts w:ascii="Times New Roman" w:eastAsia="Times New Roman" w:hAnsi="Times New Roman" w:cs="Times New Roman"/>
          <w:color w:val="000000"/>
          <w:sz w:val="24"/>
          <w:szCs w:val="24"/>
        </w:rPr>
        <w:t>2</w:t>
      </w:r>
      <w:r w:rsidR="0065556F" w:rsidRPr="0095529A">
        <w:rPr>
          <w:rFonts w:ascii="Times New Roman" w:eastAsia="Times New Roman" w:hAnsi="Times New Roman" w:cs="Times New Roman"/>
          <w:color w:val="000000"/>
          <w:sz w:val="24"/>
          <w:szCs w:val="24"/>
        </w:rPr>
        <w:t xml:space="preserve"> weeks</w:t>
      </w:r>
      <w:r w:rsidRPr="00846FAF">
        <w:rPr>
          <w:rFonts w:ascii="Times New Roman" w:eastAsia="Times New Roman" w:hAnsi="Times New Roman" w:cs="Times New Roman"/>
          <w:color w:val="000000"/>
          <w:sz w:val="24"/>
          <w:szCs w:val="24"/>
        </w:rPr>
        <w:t xml:space="preserve"> counted fro</w:t>
      </w:r>
      <w:r>
        <w:rPr>
          <w:rFonts w:ascii="Times New Roman" w:eastAsia="Times New Roman" w:hAnsi="Times New Roman" w:cs="Times New Roman"/>
          <w:color w:val="000000"/>
          <w:sz w:val="24"/>
          <w:szCs w:val="24"/>
        </w:rPr>
        <w:t>m the day of the notification about the positive r</w:t>
      </w:r>
      <w:r w:rsidR="009C6DA4">
        <w:rPr>
          <w:rFonts w:ascii="Times New Roman" w:eastAsia="Times New Roman" w:hAnsi="Times New Roman" w:cs="Times New Roman"/>
          <w:color w:val="000000"/>
          <w:sz w:val="24"/>
          <w:szCs w:val="24"/>
        </w:rPr>
        <w:t>esults of the formal evaluation, excluding the time needed for the appeal procedure.</w:t>
      </w:r>
    </w:p>
    <w:p w14:paraId="48140CDC" w14:textId="77777777" w:rsidR="00E50AC4" w:rsidRPr="00846FAF" w:rsidRDefault="00E50AC4" w:rsidP="00F71E10">
      <w:pPr>
        <w:pBdr>
          <w:top w:val="nil"/>
          <w:left w:val="nil"/>
          <w:bottom w:val="nil"/>
          <w:right w:val="nil"/>
          <w:between w:val="nil"/>
        </w:pBdr>
        <w:spacing w:before="120"/>
        <w:ind w:left="720"/>
        <w:jc w:val="both"/>
        <w:rPr>
          <w:rFonts w:ascii="Times New Roman" w:eastAsia="Times New Roman" w:hAnsi="Times New Roman" w:cs="Times New Roman"/>
          <w:color w:val="000000"/>
          <w:sz w:val="24"/>
          <w:szCs w:val="24"/>
        </w:rPr>
      </w:pPr>
    </w:p>
    <w:p w14:paraId="5E8FEC9A" w14:textId="77777777" w:rsidR="005A7C1E" w:rsidRPr="0069592C" w:rsidRDefault="00662273" w:rsidP="00A00C80">
      <w:pPr>
        <w:pBdr>
          <w:top w:val="nil"/>
          <w:left w:val="nil"/>
          <w:bottom w:val="nil"/>
          <w:right w:val="nil"/>
          <w:between w:val="nil"/>
        </w:pBdr>
        <w:spacing w:before="120"/>
        <w:jc w:val="both"/>
        <w:rPr>
          <w:color w:val="000000"/>
          <w:sz w:val="24"/>
          <w:szCs w:val="24"/>
        </w:rPr>
      </w:pPr>
      <w:r w:rsidRPr="0069592C">
        <w:rPr>
          <w:rFonts w:ascii="Times New Roman" w:eastAsia="Times New Roman" w:hAnsi="Times New Roman" w:cs="Times New Roman"/>
          <w:color w:val="000000"/>
          <w:sz w:val="24"/>
          <w:szCs w:val="24"/>
        </w:rPr>
        <w:t>The Applicants who do not accept the score which they are given shall be able to appeal it to the Programme Operator.</w:t>
      </w:r>
    </w:p>
    <w:p w14:paraId="5274BDCA"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each stage of the merit evaluation, the Applicant may be asked once and in writing for clarifications on the application submitted. </w:t>
      </w:r>
    </w:p>
    <w:p w14:paraId="63A1D329"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National Fund shall draw up a draft ranking list of positively evaluated projects, taking into account the results of assessments delivered by external experts. Applications shall be ranked in order of decreasing scores. The ranking of projects shall be based on the average of the scores given by experts. In case of a discrepancy between the experts’ scores exceeding 30% of the higher score, the National Fund shall commission an independent evaluation of the application to a third external expert. In such cases, for the purpose of preparing the ranking list of projects, the average of the numbers of points in the two closest scores shall be used.</w:t>
      </w:r>
    </w:p>
    <w:p w14:paraId="522EB17F"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Applicants whose applications are rejected after stage two of the merit evaluation shall be informed in writing of the reasons for rejection and their right to appeal the decision to the Programme Operator.</w:t>
      </w:r>
    </w:p>
    <w:p w14:paraId="645C3AAA"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draft ranking list shall be submitted for review at a session of the Selection Committee. In justified cases, the Selection Committee may modify the ranking list. The Chairperson shall submit a list of recommended projects with justification for modifications to the Programme Operator, along with a reserve list and a list of  rejected projects, as well as the reasons for their rejection.</w:t>
      </w:r>
    </w:p>
    <w:p w14:paraId="41436A51"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final decision on the award of a grant shall be taken by the Programme Operator.</w:t>
      </w:r>
    </w:p>
    <w:p w14:paraId="5252881B" w14:textId="77777777" w:rsidR="005A7C1E" w:rsidRDefault="005A7C1E">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p>
    <w:p w14:paraId="433C561D" w14:textId="77777777" w:rsidR="005A7C1E" w:rsidRDefault="00662273">
      <w:pPr>
        <w:numPr>
          <w:ilvl w:val="0"/>
          <w:numId w:val="8"/>
        </w:num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Payment scheme</w:t>
      </w:r>
    </w:p>
    <w:p w14:paraId="7CC07C5C"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Project Promoter may receive payments to the project in the form of: </w:t>
      </w:r>
    </w:p>
    <w:p w14:paraId="7F6FCFDA" w14:textId="77777777" w:rsidR="005A7C1E" w:rsidRDefault="00662273">
      <w:pPr>
        <w:numPr>
          <w:ilvl w:val="0"/>
          <w:numId w:val="5"/>
        </w:numPr>
        <w:pBdr>
          <w:top w:val="nil"/>
          <w:left w:val="nil"/>
          <w:bottom w:val="nil"/>
          <w:right w:val="nil"/>
          <w:between w:val="nil"/>
        </w:pBdr>
        <w:spacing w:before="120"/>
        <w:jc w:val="both"/>
        <w:rPr>
          <w:color w:val="000000"/>
          <w:sz w:val="24"/>
          <w:szCs w:val="24"/>
        </w:rPr>
      </w:pPr>
      <w:r>
        <w:rPr>
          <w:rFonts w:ascii="Times New Roman" w:eastAsia="Times New Roman" w:hAnsi="Times New Roman" w:cs="Times New Roman"/>
          <w:color w:val="000000"/>
          <w:sz w:val="24"/>
          <w:szCs w:val="24"/>
        </w:rPr>
        <w:t>advance payments</w:t>
      </w:r>
    </w:p>
    <w:p w14:paraId="4C924DBC" w14:textId="20FA1597" w:rsidR="00172ECF" w:rsidRPr="00172ECF" w:rsidRDefault="00662273" w:rsidP="00610FA7">
      <w:pPr>
        <w:pBdr>
          <w:top w:val="nil"/>
          <w:left w:val="nil"/>
          <w:bottom w:val="nil"/>
          <w:right w:val="nil"/>
          <w:between w:val="nil"/>
        </w:pBdr>
        <w:spacing w:before="120"/>
        <w:jc w:val="both"/>
        <w:rPr>
          <w:rFonts w:ascii="Times New Roman" w:hAnsi="Times New Roman" w:cs="Times New Roman"/>
          <w:sz w:val="24"/>
          <w:szCs w:val="24"/>
        </w:rPr>
      </w:pPr>
      <w:r>
        <w:rPr>
          <w:rFonts w:ascii="Times New Roman" w:eastAsia="Times New Roman" w:hAnsi="Times New Roman" w:cs="Times New Roman"/>
          <w:color w:val="000000"/>
          <w:sz w:val="24"/>
          <w:szCs w:val="24"/>
        </w:rPr>
        <w:t>The amount of a single advance payment may not exceed 40% of the total grant amount. The first advance payment shall be made to the Project Promoter within 30 days of the date of submission of the request for an advance payment</w:t>
      </w:r>
      <w:r w:rsidR="00630236">
        <w:rPr>
          <w:rStyle w:val="Odwoanieprzypisudolnego"/>
          <w:rFonts w:ascii="Times New Roman" w:eastAsia="Times New Roman" w:hAnsi="Times New Roman" w:cs="Times New Roman"/>
          <w:color w:val="000000"/>
          <w:sz w:val="24"/>
          <w:szCs w:val="24"/>
        </w:rPr>
        <w:footnoteReference w:id="10"/>
      </w:r>
      <w:r>
        <w:rPr>
          <w:rFonts w:ascii="Times New Roman" w:eastAsia="Times New Roman" w:hAnsi="Times New Roman" w:cs="Times New Roman"/>
          <w:color w:val="000000"/>
          <w:sz w:val="24"/>
          <w:szCs w:val="24"/>
        </w:rPr>
        <w:t>.</w:t>
      </w:r>
    </w:p>
    <w:p w14:paraId="23BCFBD7"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Subsequent advance payments shall be made on the condition that 70% of all the previously made advance payments is settled in payment requests or returned as an unused advance payment. </w:t>
      </w:r>
    </w:p>
    <w:p w14:paraId="24163914" w14:textId="3D7E5129"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Detailed obligations and restrictions for the use and settlement of advance payments are specified in the Guide for Applicants</w:t>
      </w:r>
      <w:r w:rsidR="00C906E4">
        <w:rPr>
          <w:rFonts w:ascii="Times New Roman" w:eastAsia="Times New Roman" w:hAnsi="Times New Roman" w:cs="Times New Roman"/>
          <w:color w:val="000000"/>
          <w:sz w:val="24"/>
          <w:szCs w:val="24"/>
        </w:rPr>
        <w:t xml:space="preserve"> </w:t>
      </w:r>
      <w:r w:rsidR="00C906E4" w:rsidRPr="00287C7D">
        <w:rPr>
          <w:rFonts w:ascii="Times New Roman" w:eastAsia="Times New Roman" w:hAnsi="Times New Roman" w:cs="Times New Roman"/>
          <w:sz w:val="24"/>
          <w:szCs w:val="24"/>
        </w:rPr>
        <w:t>which is an attachment to the present Announcement</w:t>
      </w:r>
      <w:r w:rsidR="00C906E4" w:rsidRPr="002C6FF9">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0398832B" w14:textId="77777777" w:rsidR="005A7C1E" w:rsidRDefault="00662273">
      <w:pPr>
        <w:numPr>
          <w:ilvl w:val="0"/>
          <w:numId w:val="5"/>
        </w:numPr>
        <w:pBdr>
          <w:top w:val="nil"/>
          <w:left w:val="nil"/>
          <w:bottom w:val="nil"/>
          <w:right w:val="nil"/>
          <w:between w:val="nil"/>
        </w:pBdr>
        <w:spacing w:before="120"/>
        <w:jc w:val="both"/>
        <w:rPr>
          <w:color w:val="000000"/>
          <w:sz w:val="24"/>
          <w:szCs w:val="24"/>
        </w:rPr>
      </w:pPr>
      <w:r>
        <w:rPr>
          <w:rFonts w:ascii="Times New Roman" w:eastAsia="Times New Roman" w:hAnsi="Times New Roman" w:cs="Times New Roman"/>
          <w:color w:val="000000"/>
          <w:sz w:val="24"/>
          <w:szCs w:val="24"/>
        </w:rPr>
        <w:t>reimbursement</w:t>
      </w:r>
    </w:p>
    <w:p w14:paraId="0CECC65E"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Payments to the Project Promoter shall be made on the basis of approved payment requests.</w:t>
      </w:r>
    </w:p>
    <w:p w14:paraId="7282AB09"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total amount of advance payments and reimbursements may not exceed 90% of the total grant amount.</w:t>
      </w:r>
    </w:p>
    <w:p w14:paraId="19E85C87" w14:textId="77777777" w:rsidR="005A7C1E" w:rsidRDefault="00662273">
      <w:pPr>
        <w:numPr>
          <w:ilvl w:val="0"/>
          <w:numId w:val="5"/>
        </w:numPr>
        <w:pBdr>
          <w:top w:val="nil"/>
          <w:left w:val="nil"/>
          <w:bottom w:val="nil"/>
          <w:right w:val="nil"/>
          <w:between w:val="nil"/>
        </w:pBdr>
        <w:spacing w:before="120"/>
        <w:jc w:val="both"/>
        <w:rPr>
          <w:color w:val="000000"/>
          <w:sz w:val="24"/>
          <w:szCs w:val="24"/>
        </w:rPr>
      </w:pPr>
      <w:r>
        <w:rPr>
          <w:rFonts w:ascii="Times New Roman" w:eastAsia="Times New Roman" w:hAnsi="Times New Roman" w:cs="Times New Roman"/>
          <w:color w:val="000000"/>
          <w:sz w:val="24"/>
          <w:szCs w:val="24"/>
        </w:rPr>
        <w:t>final payment.</w:t>
      </w:r>
    </w:p>
    <w:p w14:paraId="02325C05"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final payment representing 10% of the total project grant amount shall be made after the final project report is approved.</w:t>
      </w:r>
    </w:p>
    <w:p w14:paraId="6100EF66" w14:textId="77777777" w:rsidR="005A7C1E" w:rsidRDefault="005A7C1E">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p>
    <w:p w14:paraId="7BED161D" w14:textId="77777777" w:rsidR="005A7C1E" w:rsidRDefault="00662273">
      <w:pPr>
        <w:numPr>
          <w:ilvl w:val="0"/>
          <w:numId w:val="8"/>
        </w:num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Eligible expenditures, excluded costs, in-kind contribution, expenditure documentation</w:t>
      </w:r>
      <w:bookmarkStart w:id="5" w:name="tyjcwt" w:colFirst="0" w:colLast="0"/>
      <w:bookmarkEnd w:id="5"/>
    </w:p>
    <w:p w14:paraId="51764341"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12.1 Expenditures are eligible </w:t>
      </w:r>
      <w:r>
        <w:rPr>
          <w:rFonts w:ascii="Times New Roman" w:eastAsia="Times New Roman" w:hAnsi="Times New Roman" w:cs="Times New Roman"/>
          <w:color w:val="000000"/>
          <w:sz w:val="24"/>
          <w:szCs w:val="24"/>
        </w:rPr>
        <w:t>in accordance with the general rules laid in Article 8 of the  Regulation on the implementation of the EEA Grants 2014-2021, with the following exceptions:</w:t>
      </w:r>
    </w:p>
    <w:p w14:paraId="40FF0408"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Direct expenditures:</w:t>
      </w:r>
    </w:p>
    <w:p w14:paraId="124A8492" w14:textId="77777777" w:rsidR="005A7C1E" w:rsidRDefault="00662273">
      <w:pPr>
        <w:numPr>
          <w:ilvl w:val="0"/>
          <w:numId w:val="4"/>
        </w:numPr>
        <w:pBdr>
          <w:top w:val="nil"/>
          <w:left w:val="nil"/>
          <w:bottom w:val="nil"/>
          <w:right w:val="nil"/>
          <w:between w:val="nil"/>
        </w:pBdr>
        <w:spacing w:before="120"/>
        <w:jc w:val="both"/>
        <w:rPr>
          <w:color w:val="000000"/>
          <w:sz w:val="24"/>
          <w:szCs w:val="24"/>
        </w:rPr>
      </w:pPr>
      <w:r>
        <w:rPr>
          <w:rFonts w:ascii="Times New Roman" w:eastAsia="Times New Roman" w:hAnsi="Times New Roman" w:cs="Times New Roman"/>
          <w:color w:val="000000"/>
          <w:sz w:val="24"/>
          <w:szCs w:val="24"/>
        </w:rPr>
        <w:t>Equipment:</w:t>
      </w:r>
    </w:p>
    <w:p w14:paraId="4FCC8A76"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purchase of used equipment shall not be eligible.</w:t>
      </w:r>
    </w:p>
    <w:p w14:paraId="1FD7F1AD" w14:textId="76A0149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rules for the settlement of expenditures shall be laid down by the Programme Operator in the project contract.</w:t>
      </w:r>
    </w:p>
    <w:p w14:paraId="3A5F2B87"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Indirect costs: </w:t>
      </w:r>
    </w:p>
    <w:p w14:paraId="70159DED" w14:textId="77777777" w:rsidR="005A7C1E" w:rsidRDefault="005A7C1E">
      <w:pPr>
        <w:pBdr>
          <w:top w:val="nil"/>
          <w:left w:val="nil"/>
          <w:bottom w:val="nil"/>
          <w:right w:val="nil"/>
          <w:between w:val="nil"/>
        </w:pBdr>
        <w:jc w:val="both"/>
        <w:rPr>
          <w:rFonts w:ascii="Times New Roman" w:eastAsia="Times New Roman" w:hAnsi="Times New Roman" w:cs="Times New Roman"/>
          <w:color w:val="000000"/>
          <w:sz w:val="24"/>
          <w:szCs w:val="24"/>
        </w:rPr>
      </w:pPr>
    </w:p>
    <w:p w14:paraId="08587CAB" w14:textId="77777777" w:rsidR="005A7C1E" w:rsidRDefault="0066227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Indirect costs shall be all eligible costs which cannot be identified by the Project Promoter  and/or the Project Partner as directly attributable to the project.</w:t>
      </w:r>
    </w:p>
    <w:p w14:paraId="45B3716E" w14:textId="77777777" w:rsidR="005A7C1E" w:rsidRDefault="00662273">
      <w:pPr>
        <w:pBdr>
          <w:top w:val="nil"/>
          <w:left w:val="nil"/>
          <w:bottom w:val="nil"/>
          <w:right w:val="nil"/>
          <w:between w:val="nil"/>
        </w:pBdr>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only allowable method for identifying indirect costs shall be a flat rate of up to 25% of total direct eligible costs, excluding the direct eligible costs of subcontracting and the costs of resources made available by third parties which are not used on the premises of the Project Promoter or Project Partner, in accordance with Article 8.5.1 b) of the Regulation.</w:t>
      </w:r>
    </w:p>
    <w:p w14:paraId="1013637A"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detailed method for calculating indirect costs has been developed by the Programme Operator and can be downloaded</w:t>
      </w:r>
      <w:r w:rsidR="00C8071E">
        <w:rPr>
          <w:rFonts w:ascii="Times New Roman" w:eastAsia="Times New Roman" w:hAnsi="Times New Roman" w:cs="Times New Roman"/>
          <w:color w:val="000000"/>
          <w:sz w:val="24"/>
          <w:szCs w:val="24"/>
        </w:rPr>
        <w:t xml:space="preserve"> below. </w:t>
      </w:r>
    </w:p>
    <w:p w14:paraId="52DC02FB" w14:textId="77777777" w:rsidR="005A7C1E" w:rsidRDefault="00662273">
      <w:pPr>
        <w:pBdr>
          <w:top w:val="nil"/>
          <w:left w:val="nil"/>
          <w:bottom w:val="nil"/>
          <w:right w:val="nil"/>
          <w:between w:val="nil"/>
        </w:pBdr>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method for calculating the indirect costs and their maximum amount shall be determined in the project contract. The method for calculating the indirect costs of a Project Partner shall be stipulated in the partnership agreement between the Project Promoter and the Project Partner.</w:t>
      </w:r>
    </w:p>
    <w:p w14:paraId="5D6B31D8" w14:textId="77777777" w:rsidR="005A7C1E" w:rsidRDefault="005A7C1E">
      <w:pPr>
        <w:pBdr>
          <w:top w:val="nil"/>
          <w:left w:val="nil"/>
          <w:bottom w:val="nil"/>
          <w:right w:val="nil"/>
          <w:between w:val="nil"/>
        </w:pBdr>
        <w:jc w:val="both"/>
        <w:rPr>
          <w:rFonts w:ascii="Times New Roman" w:eastAsia="Times New Roman" w:hAnsi="Times New Roman" w:cs="Times New Roman"/>
          <w:color w:val="000000"/>
          <w:sz w:val="24"/>
          <w:szCs w:val="24"/>
        </w:rPr>
      </w:pPr>
    </w:p>
    <w:p w14:paraId="7464236D"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12.2 Excluded costs </w:t>
      </w:r>
      <w:r>
        <w:rPr>
          <w:rFonts w:ascii="Times New Roman" w:eastAsia="Times New Roman" w:hAnsi="Times New Roman" w:cs="Times New Roman"/>
          <w:color w:val="000000"/>
          <w:sz w:val="24"/>
          <w:szCs w:val="24"/>
        </w:rPr>
        <w:t>are specified in Article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8.7 of the Regulation.</w:t>
      </w:r>
    </w:p>
    <w:p w14:paraId="40B00562" w14:textId="77777777" w:rsidR="005A7C1E" w:rsidRDefault="005A7C1E">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p>
    <w:p w14:paraId="3BCB52F3"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color w:val="000000"/>
          <w:sz w:val="24"/>
          <w:szCs w:val="24"/>
        </w:rPr>
        <w:lastRenderedPageBreak/>
        <w:t>12.3 Own contribution:</w:t>
      </w:r>
    </w:p>
    <w:p w14:paraId="0239FFA9"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principle, the own contribution shall be made in cash.</w:t>
      </w:r>
    </w:p>
    <w:p w14:paraId="06119F89" w14:textId="4BEF5084"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secure a part or the entirety of the own contribution, the Project Promoter may use a financial instrument in the form of The National Fund loan programme. Detailed information about the loan programme is available</w:t>
      </w:r>
      <w:r w:rsidR="00914466">
        <w:rPr>
          <w:rFonts w:ascii="Times New Roman" w:eastAsia="Times New Roman" w:hAnsi="Times New Roman" w:cs="Times New Roman"/>
          <w:color w:val="000000"/>
          <w:sz w:val="24"/>
          <w:szCs w:val="24"/>
        </w:rPr>
        <w:t xml:space="preserve"> on the </w:t>
      </w:r>
      <w:r w:rsidR="004115CA">
        <w:rPr>
          <w:rFonts w:ascii="Times New Roman" w:eastAsia="Times New Roman" w:hAnsi="Times New Roman" w:cs="Times New Roman"/>
          <w:color w:val="000000"/>
          <w:sz w:val="24"/>
          <w:szCs w:val="24"/>
        </w:rPr>
        <w:t>website of the National Fund.</w:t>
      </w:r>
      <w:r>
        <w:rPr>
          <w:rFonts w:ascii="Times New Roman" w:eastAsia="Times New Roman" w:hAnsi="Times New Roman" w:cs="Times New Roman"/>
          <w:color w:val="000000"/>
          <w:sz w:val="24"/>
          <w:szCs w:val="24"/>
        </w:rPr>
        <w:t xml:space="preserve"> </w:t>
      </w:r>
    </w:p>
    <w:p w14:paraId="6DC35BFA" w14:textId="77777777" w:rsidR="005A7C1E" w:rsidRDefault="005A7C1E">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p>
    <w:p w14:paraId="7AAC8618" w14:textId="1538B09B"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12.4 </w:t>
      </w:r>
      <w:r w:rsidR="00BD23E6">
        <w:rPr>
          <w:rFonts w:ascii="Times New Roman" w:eastAsia="Times New Roman" w:hAnsi="Times New Roman" w:cs="Times New Roman"/>
          <w:b/>
          <w:color w:val="000000"/>
          <w:sz w:val="24"/>
          <w:szCs w:val="24"/>
        </w:rPr>
        <w:t xml:space="preserve">Cost </w:t>
      </w:r>
      <w:r>
        <w:rPr>
          <w:rFonts w:ascii="Times New Roman" w:eastAsia="Times New Roman" w:hAnsi="Times New Roman" w:cs="Times New Roman"/>
          <w:b/>
          <w:color w:val="000000"/>
          <w:sz w:val="24"/>
          <w:szCs w:val="24"/>
        </w:rPr>
        <w:t>documentation</w:t>
      </w:r>
    </w:p>
    <w:p w14:paraId="47A145B9" w14:textId="77777777" w:rsidR="005A7C1E" w:rsidRDefault="006622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expenditures incurred under the project should be documented with the received invoices or accounting documents of equivalent probative value. The detailed obligations of the beneficiary in this respect are specified in the project agreement.</w:t>
      </w:r>
    </w:p>
    <w:p w14:paraId="10FC9F8E"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case of donor partnership projects, the Project Partner whose primary location is in one of the Donor States may provide proof of expenditures incurred in the form of a report of an independent auditor or a competent and independent public officer, certifying that the claimed expenditures have been incurred in accordance with the Regulation, the relevant law and national accounting practice.</w:t>
      </w:r>
    </w:p>
    <w:p w14:paraId="4681B9CA" w14:textId="77777777" w:rsidR="005A7C1E" w:rsidRDefault="005A7C1E">
      <w:pPr>
        <w:pBdr>
          <w:top w:val="nil"/>
          <w:left w:val="nil"/>
          <w:bottom w:val="nil"/>
          <w:right w:val="nil"/>
          <w:between w:val="nil"/>
        </w:pBdr>
        <w:spacing w:before="120"/>
        <w:ind w:left="720"/>
        <w:jc w:val="both"/>
        <w:rPr>
          <w:rFonts w:ascii="Times New Roman" w:eastAsia="Times New Roman" w:hAnsi="Times New Roman" w:cs="Times New Roman"/>
          <w:color w:val="000000"/>
          <w:sz w:val="24"/>
          <w:szCs w:val="24"/>
        </w:rPr>
      </w:pPr>
    </w:p>
    <w:p w14:paraId="79C164DA" w14:textId="77777777" w:rsidR="005A7C1E" w:rsidRDefault="00662273">
      <w:pPr>
        <w:numPr>
          <w:ilvl w:val="0"/>
          <w:numId w:val="8"/>
        </w:num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Date and manner of the submission of grant applications</w:t>
      </w:r>
    </w:p>
    <w:p w14:paraId="0B4703AC" w14:textId="3CE310B3"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date of the notice of the call for proposal – </w:t>
      </w:r>
      <w:r w:rsidR="00443AD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3.03.2020</w:t>
      </w:r>
    </w:p>
    <w:p w14:paraId="3E64965B"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opening date for receiving applications from Applicants – 03.04.2020</w:t>
      </w:r>
    </w:p>
    <w:p w14:paraId="33E8F5BB"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closing date for receiving applications from Applicants – 30.06.2020, at </w:t>
      </w:r>
      <w:r>
        <w:rPr>
          <w:rFonts w:ascii="Times New Roman" w:eastAsia="Times New Roman" w:hAnsi="Times New Roman" w:cs="Times New Roman"/>
          <w:b/>
          <w:color w:val="000000"/>
          <w:sz w:val="24"/>
          <w:szCs w:val="24"/>
        </w:rPr>
        <w:t>3 p.m.</w:t>
      </w:r>
    </w:p>
    <w:p w14:paraId="0B27C427" w14:textId="77777777" w:rsidR="005A7C1E" w:rsidRDefault="005A7C1E">
      <w:pPr>
        <w:pBdr>
          <w:top w:val="nil"/>
          <w:left w:val="nil"/>
          <w:bottom w:val="nil"/>
          <w:right w:val="nil"/>
          <w:between w:val="nil"/>
        </w:pBdr>
        <w:spacing w:before="120"/>
        <w:jc w:val="both"/>
        <w:rPr>
          <w:rFonts w:ascii="Times New Roman" w:eastAsia="Times New Roman" w:hAnsi="Times New Roman" w:cs="Times New Roman"/>
          <w:color w:val="000000"/>
          <w:sz w:val="24"/>
          <w:szCs w:val="24"/>
          <w:highlight w:val="yellow"/>
        </w:rPr>
      </w:pPr>
    </w:p>
    <w:p w14:paraId="0F9CCF02"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 manner of submitting applications</w:t>
      </w:r>
    </w:p>
    <w:p w14:paraId="1F17302A" w14:textId="77777777" w:rsidR="00443AD6" w:rsidRPr="00443AD6" w:rsidRDefault="00443AD6" w:rsidP="00443AD6">
      <w:pPr>
        <w:spacing w:before="120"/>
        <w:jc w:val="both"/>
        <w:rPr>
          <w:rFonts w:ascii="Times New Roman" w:eastAsia="Times New Roman" w:hAnsi="Times New Roman" w:cs="Times New Roman"/>
          <w:sz w:val="24"/>
          <w:szCs w:val="24"/>
        </w:rPr>
      </w:pPr>
      <w:r w:rsidRPr="00443AD6">
        <w:rPr>
          <w:rFonts w:ascii="Times New Roman" w:eastAsia="Times New Roman" w:hAnsi="Times New Roman" w:cs="Times New Roman"/>
          <w:sz w:val="24"/>
          <w:szCs w:val="24"/>
        </w:rPr>
        <w:t xml:space="preserve">A grant application shall be prepared using only the Grant Application Generator (GAG). The detailed rules for the submission of a grant application using the GAG are laid down in the Competition Rules which are an attachment to the present Announcement. </w:t>
      </w:r>
    </w:p>
    <w:p w14:paraId="579F76AD" w14:textId="77777777" w:rsidR="00443AD6" w:rsidRPr="00443AD6" w:rsidRDefault="00443AD6" w:rsidP="00443AD6">
      <w:pPr>
        <w:spacing w:before="120"/>
        <w:jc w:val="both"/>
        <w:rPr>
          <w:rFonts w:ascii="Times New Roman" w:eastAsia="Times New Roman" w:hAnsi="Times New Roman" w:cs="Times New Roman"/>
          <w:sz w:val="24"/>
          <w:szCs w:val="24"/>
          <w:lang w:val="en-US"/>
        </w:rPr>
      </w:pPr>
      <w:r w:rsidRPr="00443AD6">
        <w:rPr>
          <w:rFonts w:ascii="Times New Roman" w:eastAsia="Times New Roman" w:hAnsi="Times New Roman" w:cs="Times New Roman"/>
          <w:sz w:val="24"/>
          <w:szCs w:val="24"/>
        </w:rPr>
        <w:t xml:space="preserve">Grant applications, along with attachments, shall be submitted to the National Fund in electronic form via the GAG available on </w:t>
      </w:r>
      <w:hyperlink r:id="rId9" w:history="1">
        <w:r w:rsidRPr="00443AD6">
          <w:rPr>
            <w:rFonts w:ascii="Times New Roman" w:eastAsia="Times New Roman" w:hAnsi="Times New Roman" w:cs="Times New Roman"/>
            <w:color w:val="0000FF"/>
            <w:sz w:val="24"/>
            <w:szCs w:val="24"/>
            <w:u w:val="single"/>
          </w:rPr>
          <w:t>the National Fund website</w:t>
        </w:r>
      </w:hyperlink>
      <w:r w:rsidRPr="00443AD6">
        <w:rPr>
          <w:rFonts w:ascii="Times New Roman" w:eastAsia="Times New Roman" w:hAnsi="Times New Roman" w:cs="Times New Roman"/>
          <w:sz w:val="24"/>
          <w:szCs w:val="24"/>
        </w:rPr>
        <w:t>.</w:t>
      </w:r>
      <w:r w:rsidRPr="00443AD6">
        <w:rPr>
          <w:rFonts w:ascii="Times New Roman" w:eastAsia="Times New Roman" w:hAnsi="Times New Roman" w:cs="Times New Roman"/>
          <w:sz w:val="24"/>
          <w:szCs w:val="24"/>
          <w:vertAlign w:val="superscript"/>
        </w:rPr>
        <w:footnoteReference w:id="11"/>
      </w:r>
      <w:r w:rsidRPr="00443AD6">
        <w:rPr>
          <w:rFonts w:ascii="Times New Roman" w:eastAsia="Times New Roman" w:hAnsi="Times New Roman" w:cs="Times New Roman"/>
          <w:sz w:val="24"/>
          <w:szCs w:val="24"/>
        </w:rPr>
        <w:t xml:space="preserve"> The grant application form is available along with instructions for filling in the application at the following address: </w:t>
      </w:r>
      <w:r w:rsidRPr="00443AD6">
        <w:rPr>
          <w:rFonts w:ascii="Times New Roman" w:eastAsia="Times New Roman" w:hAnsi="Times New Roman" w:cs="Times New Roman"/>
          <w:sz w:val="24"/>
          <w:szCs w:val="24"/>
          <w:lang w:val="en-US"/>
        </w:rPr>
        <w:t>https://gwd.nfosigw.gov.pl.</w:t>
      </w:r>
    </w:p>
    <w:p w14:paraId="1B98A643" w14:textId="77777777" w:rsidR="00443AD6" w:rsidRPr="00443AD6" w:rsidRDefault="00443AD6" w:rsidP="00443AD6">
      <w:pPr>
        <w:spacing w:before="120"/>
        <w:jc w:val="both"/>
        <w:rPr>
          <w:rFonts w:ascii="Times New Roman" w:eastAsia="Times New Roman" w:hAnsi="Times New Roman" w:cs="Times New Roman"/>
          <w:sz w:val="24"/>
          <w:szCs w:val="24"/>
        </w:rPr>
      </w:pPr>
      <w:r w:rsidRPr="00443AD6">
        <w:rPr>
          <w:rFonts w:ascii="Times New Roman" w:eastAsia="Times New Roman" w:hAnsi="Times New Roman" w:cs="Times New Roman"/>
          <w:sz w:val="24"/>
          <w:szCs w:val="24"/>
        </w:rPr>
        <w:t>Two options for signing an electronic application shall be allowed:</w:t>
      </w:r>
    </w:p>
    <w:p w14:paraId="4A2F22E5" w14:textId="77777777" w:rsidR="00443AD6" w:rsidRPr="00443AD6" w:rsidRDefault="00443AD6" w:rsidP="00443AD6">
      <w:pPr>
        <w:numPr>
          <w:ilvl w:val="1"/>
          <w:numId w:val="14"/>
        </w:numPr>
        <w:spacing w:after="160" w:line="259" w:lineRule="auto"/>
        <w:ind w:left="1134" w:hanging="425"/>
        <w:jc w:val="both"/>
        <w:rPr>
          <w:rFonts w:ascii="Times New Roman" w:eastAsia="Times New Roman" w:hAnsi="Times New Roman" w:cs="Times New Roman"/>
          <w:sz w:val="24"/>
          <w:szCs w:val="24"/>
        </w:rPr>
      </w:pPr>
      <w:r w:rsidRPr="00443AD6">
        <w:rPr>
          <w:rFonts w:ascii="Times New Roman" w:eastAsia="Times New Roman" w:hAnsi="Times New Roman" w:cs="Times New Roman"/>
          <w:sz w:val="24"/>
          <w:szCs w:val="24"/>
        </w:rPr>
        <w:t>using a certified electronic signature which produces legal effects equivalent to those of a handwritten signature;</w:t>
      </w:r>
    </w:p>
    <w:p w14:paraId="0D5A7AC5" w14:textId="77777777" w:rsidR="00443AD6" w:rsidRPr="00443AD6" w:rsidRDefault="00443AD6" w:rsidP="00443AD6">
      <w:pPr>
        <w:numPr>
          <w:ilvl w:val="1"/>
          <w:numId w:val="14"/>
        </w:numPr>
        <w:spacing w:after="160" w:line="259" w:lineRule="auto"/>
        <w:ind w:left="1134" w:hanging="425"/>
        <w:jc w:val="both"/>
        <w:rPr>
          <w:rFonts w:ascii="Times New Roman" w:eastAsia="Times New Roman" w:hAnsi="Times New Roman" w:cs="Times New Roman"/>
          <w:sz w:val="24"/>
          <w:szCs w:val="24"/>
        </w:rPr>
      </w:pPr>
      <w:r w:rsidRPr="00443AD6">
        <w:rPr>
          <w:rFonts w:ascii="Times New Roman" w:eastAsia="Times New Roman" w:hAnsi="Times New Roman" w:cs="Times New Roman"/>
          <w:sz w:val="24"/>
          <w:szCs w:val="24"/>
        </w:rPr>
        <w:t xml:space="preserve"> using a trusted profile on the Electronic Platform for Public Administration Services (</w:t>
      </w:r>
      <w:proofErr w:type="spellStart"/>
      <w:r w:rsidRPr="00443AD6">
        <w:rPr>
          <w:rFonts w:ascii="Times New Roman" w:eastAsia="Times New Roman" w:hAnsi="Times New Roman" w:cs="Times New Roman"/>
          <w:sz w:val="24"/>
          <w:szCs w:val="24"/>
        </w:rPr>
        <w:t>ePUAP</w:t>
      </w:r>
      <w:proofErr w:type="spellEnd"/>
      <w:r w:rsidRPr="00443AD6">
        <w:rPr>
          <w:rFonts w:ascii="Times New Roman" w:eastAsia="Times New Roman" w:hAnsi="Times New Roman" w:cs="Times New Roman"/>
          <w:sz w:val="24"/>
          <w:szCs w:val="24"/>
        </w:rPr>
        <w:t xml:space="preserve">). </w:t>
      </w:r>
    </w:p>
    <w:p w14:paraId="3BEF1625" w14:textId="77777777" w:rsidR="005A7C1E" w:rsidRDefault="005A7C1E">
      <w:pPr>
        <w:pBdr>
          <w:top w:val="nil"/>
          <w:left w:val="nil"/>
          <w:bottom w:val="nil"/>
          <w:right w:val="nil"/>
          <w:between w:val="nil"/>
        </w:pBdr>
        <w:jc w:val="both"/>
        <w:rPr>
          <w:rFonts w:ascii="Times New Roman" w:eastAsia="Times New Roman" w:hAnsi="Times New Roman" w:cs="Times New Roman"/>
          <w:color w:val="000000"/>
          <w:sz w:val="24"/>
          <w:szCs w:val="24"/>
        </w:rPr>
      </w:pPr>
    </w:p>
    <w:p w14:paraId="0B673D23" w14:textId="77777777" w:rsidR="00443AD6" w:rsidRDefault="00443AD6">
      <w:pPr>
        <w:pBdr>
          <w:top w:val="nil"/>
          <w:left w:val="nil"/>
          <w:bottom w:val="nil"/>
          <w:right w:val="nil"/>
          <w:between w:val="nil"/>
        </w:pBdr>
        <w:jc w:val="both"/>
        <w:rPr>
          <w:rFonts w:ascii="Times New Roman" w:eastAsia="Times New Roman" w:hAnsi="Times New Roman" w:cs="Times New Roman"/>
          <w:color w:val="000000"/>
          <w:sz w:val="24"/>
          <w:szCs w:val="24"/>
        </w:rPr>
      </w:pPr>
    </w:p>
    <w:p w14:paraId="12A128FB" w14:textId="77777777" w:rsidR="00443AD6" w:rsidRDefault="00443AD6">
      <w:pPr>
        <w:pBdr>
          <w:top w:val="nil"/>
          <w:left w:val="nil"/>
          <w:bottom w:val="nil"/>
          <w:right w:val="nil"/>
          <w:between w:val="nil"/>
        </w:pBdr>
        <w:jc w:val="both"/>
        <w:rPr>
          <w:rFonts w:ascii="Times New Roman" w:eastAsia="Times New Roman" w:hAnsi="Times New Roman" w:cs="Times New Roman"/>
          <w:color w:val="000000"/>
          <w:sz w:val="24"/>
          <w:szCs w:val="24"/>
        </w:rPr>
      </w:pPr>
    </w:p>
    <w:p w14:paraId="5E3165D4"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Application submission date</w:t>
      </w:r>
    </w:p>
    <w:p w14:paraId="281C4E6F" w14:textId="77777777" w:rsidR="005A7C1E" w:rsidRDefault="005A7C1E">
      <w:pPr>
        <w:pBdr>
          <w:top w:val="nil"/>
          <w:left w:val="nil"/>
          <w:bottom w:val="nil"/>
          <w:right w:val="nil"/>
          <w:between w:val="nil"/>
        </w:pBdr>
        <w:jc w:val="both"/>
        <w:rPr>
          <w:rFonts w:ascii="Times New Roman" w:eastAsia="Times New Roman" w:hAnsi="Times New Roman" w:cs="Times New Roman"/>
          <w:color w:val="000000"/>
          <w:sz w:val="24"/>
          <w:szCs w:val="24"/>
        </w:rPr>
      </w:pPr>
    </w:p>
    <w:p w14:paraId="60F9B8B0" w14:textId="77777777" w:rsidR="005A7C1E" w:rsidRDefault="0066227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prepared applications shall be submitted in electronic form using the GAG.</w:t>
      </w:r>
    </w:p>
    <w:p w14:paraId="672F12E6" w14:textId="77777777" w:rsidR="005A7C1E" w:rsidRDefault="005A7C1E">
      <w:pPr>
        <w:pBdr>
          <w:top w:val="nil"/>
          <w:left w:val="nil"/>
          <w:bottom w:val="nil"/>
          <w:right w:val="nil"/>
          <w:between w:val="nil"/>
        </w:pBdr>
        <w:jc w:val="both"/>
        <w:rPr>
          <w:rFonts w:ascii="Times New Roman" w:eastAsia="Times New Roman" w:hAnsi="Times New Roman" w:cs="Times New Roman"/>
          <w:color w:val="000000"/>
          <w:sz w:val="24"/>
          <w:szCs w:val="24"/>
        </w:rPr>
      </w:pPr>
    </w:p>
    <w:p w14:paraId="13F4EF07" w14:textId="77777777" w:rsidR="005A7C1E" w:rsidRDefault="0066227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date of submission of the application is the date and time of receipt of the application at the inbox of the National Fund on the </w:t>
      </w:r>
      <w:proofErr w:type="spellStart"/>
      <w:r>
        <w:rPr>
          <w:rFonts w:ascii="Times New Roman" w:eastAsia="Times New Roman" w:hAnsi="Times New Roman" w:cs="Times New Roman"/>
          <w:color w:val="000000"/>
          <w:sz w:val="24"/>
          <w:szCs w:val="24"/>
        </w:rPr>
        <w:t>ePUAP</w:t>
      </w:r>
      <w:proofErr w:type="spellEnd"/>
      <w:r>
        <w:rPr>
          <w:rFonts w:ascii="Times New Roman" w:eastAsia="Times New Roman" w:hAnsi="Times New Roman" w:cs="Times New Roman"/>
          <w:color w:val="000000"/>
          <w:sz w:val="24"/>
          <w:szCs w:val="24"/>
        </w:rPr>
        <w:t xml:space="preserve"> Platform, confirmation of which is the Applicant's receipt of an electronic confirmation of submission of the application (e-mail containing the date and time of receipt of the application on the National Fund inbox).</w:t>
      </w:r>
    </w:p>
    <w:p w14:paraId="3682A17B" w14:textId="77777777" w:rsidR="005A7C1E" w:rsidRDefault="005A7C1E">
      <w:pPr>
        <w:pBdr>
          <w:top w:val="nil"/>
          <w:left w:val="nil"/>
          <w:bottom w:val="nil"/>
          <w:right w:val="nil"/>
          <w:between w:val="nil"/>
        </w:pBdr>
        <w:jc w:val="both"/>
        <w:rPr>
          <w:rFonts w:ascii="Times New Roman" w:eastAsia="Times New Roman" w:hAnsi="Times New Roman" w:cs="Times New Roman"/>
          <w:color w:val="000000"/>
          <w:sz w:val="24"/>
          <w:szCs w:val="24"/>
        </w:rPr>
      </w:pPr>
    </w:p>
    <w:p w14:paraId="4C79BF87" w14:textId="77777777" w:rsidR="005A7C1E" w:rsidRDefault="0066227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Applications submitted after the deadline shall not be considered.</w:t>
      </w:r>
    </w:p>
    <w:p w14:paraId="75B581B2" w14:textId="77777777" w:rsidR="005A7C1E" w:rsidRDefault="005A7C1E">
      <w:pPr>
        <w:pBdr>
          <w:top w:val="nil"/>
          <w:left w:val="nil"/>
          <w:bottom w:val="nil"/>
          <w:right w:val="nil"/>
          <w:between w:val="nil"/>
        </w:pBdr>
        <w:jc w:val="both"/>
        <w:rPr>
          <w:rFonts w:ascii="Times New Roman" w:eastAsia="Times New Roman" w:hAnsi="Times New Roman" w:cs="Times New Roman"/>
          <w:color w:val="000000"/>
          <w:sz w:val="24"/>
          <w:szCs w:val="24"/>
        </w:rPr>
      </w:pPr>
    </w:p>
    <w:p w14:paraId="4F3D79D5" w14:textId="15505F2E" w:rsidR="005A7C1E" w:rsidRDefault="00662273" w:rsidP="008778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Programme Operator shall allow one Applicant to submit more than one application under the same call but in different project scope. If two applications are submitted for the same material scope, the application submitted earlier will be the one assessed.</w:t>
      </w:r>
      <w:r w:rsidR="00AD318B">
        <w:rPr>
          <w:rFonts w:ascii="Times New Roman" w:eastAsia="Times New Roman" w:hAnsi="Times New Roman" w:cs="Times New Roman"/>
          <w:color w:val="000000"/>
          <w:sz w:val="24"/>
          <w:szCs w:val="24"/>
        </w:rPr>
        <w:t xml:space="preserve"> </w:t>
      </w:r>
      <w:r w:rsidR="00C906E4">
        <w:rPr>
          <w:rFonts w:ascii="Times New Roman" w:eastAsia="Times New Roman" w:hAnsi="Times New Roman" w:cs="Times New Roman"/>
          <w:color w:val="000000"/>
          <w:sz w:val="24"/>
          <w:szCs w:val="24"/>
        </w:rPr>
        <w:t xml:space="preserve">The Programme Operator does not allow the possibility of self-correction of the application already submitted. </w:t>
      </w:r>
    </w:p>
    <w:p w14:paraId="75DE3F59" w14:textId="77777777" w:rsidR="00C63112" w:rsidRDefault="00C63112" w:rsidP="0087787B">
      <w:pPr>
        <w:pBdr>
          <w:top w:val="nil"/>
          <w:left w:val="nil"/>
          <w:bottom w:val="nil"/>
          <w:right w:val="nil"/>
          <w:between w:val="nil"/>
        </w:pBdr>
        <w:jc w:val="both"/>
        <w:rPr>
          <w:rFonts w:ascii="Times New Roman" w:eastAsia="Times New Roman" w:hAnsi="Times New Roman" w:cs="Times New Roman"/>
          <w:color w:val="000000"/>
          <w:sz w:val="24"/>
          <w:szCs w:val="24"/>
        </w:rPr>
      </w:pPr>
    </w:p>
    <w:p w14:paraId="6A313197" w14:textId="77777777" w:rsidR="00C63112" w:rsidRDefault="00C63112" w:rsidP="0087787B">
      <w:pPr>
        <w:pBdr>
          <w:top w:val="nil"/>
          <w:left w:val="nil"/>
          <w:bottom w:val="nil"/>
          <w:right w:val="nil"/>
          <w:between w:val="nil"/>
        </w:pBdr>
        <w:jc w:val="both"/>
        <w:rPr>
          <w:rFonts w:ascii="Times New Roman" w:eastAsia="Times New Roman" w:hAnsi="Times New Roman" w:cs="Times New Roman"/>
          <w:color w:val="000000"/>
          <w:sz w:val="24"/>
          <w:szCs w:val="24"/>
        </w:rPr>
      </w:pPr>
    </w:p>
    <w:p w14:paraId="0477B713" w14:textId="77777777" w:rsidR="0087787B" w:rsidRDefault="0087787B" w:rsidP="0087787B">
      <w:pPr>
        <w:pBdr>
          <w:top w:val="nil"/>
          <w:left w:val="nil"/>
          <w:bottom w:val="nil"/>
          <w:right w:val="nil"/>
          <w:between w:val="nil"/>
        </w:pBdr>
        <w:jc w:val="both"/>
        <w:rPr>
          <w:rFonts w:ascii="Times New Roman" w:eastAsia="Times New Roman" w:hAnsi="Times New Roman" w:cs="Times New Roman"/>
          <w:color w:val="000000"/>
          <w:sz w:val="24"/>
          <w:szCs w:val="24"/>
        </w:rPr>
      </w:pPr>
    </w:p>
    <w:p w14:paraId="7C9C0E5F" w14:textId="77777777" w:rsidR="00443AD6" w:rsidRPr="00375D2D" w:rsidRDefault="003D4C1F" w:rsidP="00375D2D">
      <w:pPr>
        <w:pStyle w:val="Akapitzlist"/>
        <w:numPr>
          <w:ilvl w:val="0"/>
          <w:numId w:val="8"/>
        </w:numPr>
        <w:spacing w:after="160" w:line="259" w:lineRule="auto"/>
        <w:rPr>
          <w:rFonts w:ascii="Times New Roman" w:eastAsia="Times New Roman" w:hAnsi="Times New Roman" w:cs="Times New Roman"/>
          <w:b/>
          <w:sz w:val="24"/>
          <w:szCs w:val="24"/>
        </w:rPr>
      </w:pPr>
      <w:hyperlink r:id="rId10" w:anchor="/domyslne=1" w:history="1">
        <w:r w:rsidR="00443AD6" w:rsidRPr="00375D2D">
          <w:rPr>
            <w:rStyle w:val="Hipercze"/>
            <w:rFonts w:ascii="Times New Roman" w:eastAsia="Times New Roman" w:hAnsi="Times New Roman"/>
            <w:b/>
            <w:color w:val="auto"/>
            <w:sz w:val="24"/>
            <w:szCs w:val="24"/>
            <w:u w:val="none"/>
          </w:rPr>
          <w:t>Legal framework and programme documents</w:t>
        </w:r>
      </w:hyperlink>
    </w:p>
    <w:p w14:paraId="09E0412F" w14:textId="77777777" w:rsidR="00443AD6" w:rsidRPr="002C6FF9" w:rsidRDefault="00443AD6" w:rsidP="00443AD6">
      <w:pPr>
        <w:spacing w:before="120"/>
        <w:rPr>
          <w:rFonts w:ascii="Times New Roman" w:eastAsia="Times New Roman" w:hAnsi="Times New Roman" w:cs="Times New Roman"/>
          <w:b/>
          <w:sz w:val="24"/>
          <w:szCs w:val="24"/>
        </w:rPr>
      </w:pPr>
    </w:p>
    <w:p w14:paraId="7B31667C" w14:textId="77777777" w:rsidR="00443AD6" w:rsidRPr="002C6FF9" w:rsidRDefault="003D4C1F" w:rsidP="00443AD6">
      <w:pPr>
        <w:pStyle w:val="Akapitzlist"/>
        <w:numPr>
          <w:ilvl w:val="0"/>
          <w:numId w:val="16"/>
        </w:numPr>
        <w:spacing w:after="160" w:line="259" w:lineRule="auto"/>
        <w:rPr>
          <w:rFonts w:ascii="Times New Roman" w:eastAsia="Times New Roman" w:hAnsi="Times New Roman" w:cs="Times New Roman"/>
          <w:sz w:val="24"/>
          <w:szCs w:val="24"/>
        </w:rPr>
      </w:pPr>
      <w:hyperlink r:id="rId11" w:history="1">
        <w:r w:rsidR="00443AD6" w:rsidRPr="00287C7D">
          <w:rPr>
            <w:rStyle w:val="Hipercze"/>
            <w:rFonts w:ascii="Times New Roman" w:eastAsia="Times New Roman" w:hAnsi="Times New Roman"/>
            <w:sz w:val="24"/>
            <w:szCs w:val="24"/>
          </w:rPr>
          <w:t>Programme Agreement for the EEA Grants</w:t>
        </w:r>
      </w:hyperlink>
      <w:r w:rsidR="00443AD6" w:rsidRPr="00287C7D">
        <w:rPr>
          <w:rFonts w:ascii="Times New Roman" w:eastAsia="Times New Roman" w:hAnsi="Times New Roman" w:cs="Times New Roman"/>
          <w:sz w:val="24"/>
          <w:szCs w:val="24"/>
        </w:rPr>
        <w:t xml:space="preserve"> Programme for “Environment, Energy and Climate Change” in Poland</w:t>
      </w:r>
      <w:r w:rsidR="00443AD6">
        <w:rPr>
          <w:rFonts w:ascii="Times New Roman" w:eastAsia="Times New Roman" w:hAnsi="Times New Roman" w:cs="Times New Roman"/>
          <w:sz w:val="24"/>
          <w:szCs w:val="24"/>
        </w:rPr>
        <w:t>;</w:t>
      </w:r>
    </w:p>
    <w:p w14:paraId="3135AF04" w14:textId="77777777" w:rsidR="00443AD6" w:rsidRPr="00287C7D" w:rsidRDefault="003D4C1F" w:rsidP="00443AD6">
      <w:pPr>
        <w:numPr>
          <w:ilvl w:val="0"/>
          <w:numId w:val="16"/>
        </w:numPr>
        <w:spacing w:line="276" w:lineRule="auto"/>
        <w:ind w:left="714" w:hanging="357"/>
        <w:jc w:val="both"/>
        <w:rPr>
          <w:rFonts w:ascii="Times New Roman" w:eastAsia="Times New Roman" w:hAnsi="Times New Roman" w:cs="Times New Roman"/>
          <w:sz w:val="24"/>
          <w:szCs w:val="24"/>
        </w:rPr>
      </w:pPr>
      <w:hyperlink r:id="rId12" w:history="1">
        <w:r w:rsidR="00443AD6" w:rsidRPr="00287C7D">
          <w:rPr>
            <w:rStyle w:val="Hipercze"/>
            <w:rFonts w:ascii="Times New Roman" w:eastAsia="Times New Roman" w:hAnsi="Times New Roman"/>
            <w:sz w:val="24"/>
            <w:szCs w:val="24"/>
          </w:rPr>
          <w:t>Memorandum of Understanding on the Implementation of the EEA Financial Mechanism 2014-2021</w:t>
        </w:r>
      </w:hyperlink>
      <w:r w:rsidR="00443AD6" w:rsidRPr="00287C7D">
        <w:rPr>
          <w:rFonts w:ascii="Times New Roman" w:eastAsia="Times New Roman" w:hAnsi="Times New Roman" w:cs="Times New Roman"/>
          <w:sz w:val="24"/>
          <w:szCs w:val="24"/>
        </w:rPr>
        <w:t xml:space="preserve"> between Iceland, the Principality of Lichtenstein, the Kingdom of Norway and the Republic of Poland on 20.12.2017;</w:t>
      </w:r>
    </w:p>
    <w:p w14:paraId="7387EB9D" w14:textId="77777777" w:rsidR="00443AD6" w:rsidRPr="00287C7D" w:rsidRDefault="003D4C1F" w:rsidP="00443AD6">
      <w:pPr>
        <w:pStyle w:val="Akapitzlist"/>
        <w:numPr>
          <w:ilvl w:val="0"/>
          <w:numId w:val="16"/>
        </w:numPr>
        <w:spacing w:after="160" w:line="259" w:lineRule="auto"/>
        <w:rPr>
          <w:rFonts w:ascii="Times New Roman" w:eastAsia="Times New Roman" w:hAnsi="Times New Roman" w:cs="Times New Roman"/>
          <w:sz w:val="24"/>
          <w:szCs w:val="24"/>
        </w:rPr>
      </w:pPr>
      <w:hyperlink r:id="rId13" w:history="1">
        <w:r w:rsidR="00443AD6" w:rsidRPr="00287C7D">
          <w:rPr>
            <w:rStyle w:val="Hipercze"/>
            <w:rFonts w:ascii="Times New Roman" w:eastAsia="Times New Roman" w:hAnsi="Times New Roman"/>
            <w:sz w:val="24"/>
            <w:szCs w:val="24"/>
          </w:rPr>
          <w:t>Regulation on the implementation of the European Economic Area Financial Mechanism 2014-2021</w:t>
        </w:r>
      </w:hyperlink>
      <w:r w:rsidR="00443AD6" w:rsidRPr="00287C7D">
        <w:rPr>
          <w:rFonts w:ascii="Times New Roman" w:eastAsia="Times New Roman" w:hAnsi="Times New Roman" w:cs="Times New Roman"/>
          <w:sz w:val="24"/>
          <w:szCs w:val="24"/>
        </w:rPr>
        <w:t>;</w:t>
      </w:r>
    </w:p>
    <w:p w14:paraId="4066EAF5" w14:textId="77777777" w:rsidR="00443AD6" w:rsidRPr="00287C7D" w:rsidRDefault="003D4C1F" w:rsidP="00443AD6">
      <w:pPr>
        <w:pStyle w:val="Akapitzlist"/>
        <w:numPr>
          <w:ilvl w:val="0"/>
          <w:numId w:val="16"/>
        </w:numPr>
        <w:spacing w:after="160" w:line="259" w:lineRule="auto"/>
        <w:rPr>
          <w:rFonts w:ascii="Times New Roman" w:eastAsia="Times New Roman" w:hAnsi="Times New Roman" w:cs="Times New Roman"/>
          <w:sz w:val="24"/>
          <w:szCs w:val="24"/>
        </w:rPr>
      </w:pPr>
      <w:hyperlink r:id="rId14" w:history="1">
        <w:r w:rsidR="00443AD6" w:rsidRPr="00287C7D">
          <w:rPr>
            <w:rStyle w:val="Hipercze"/>
            <w:rFonts w:ascii="Times New Roman" w:eastAsia="Times New Roman" w:hAnsi="Times New Roman"/>
            <w:sz w:val="24"/>
            <w:szCs w:val="24"/>
          </w:rPr>
          <w:t>Procurement Guidelines for the EEA Grants 2014-2021 and the Norway Grants 2014-2021</w:t>
        </w:r>
      </w:hyperlink>
      <w:r w:rsidR="00443AD6" w:rsidRPr="00287C7D">
        <w:rPr>
          <w:rFonts w:ascii="Times New Roman" w:eastAsia="Times New Roman" w:hAnsi="Times New Roman" w:cs="Times New Roman"/>
          <w:sz w:val="24"/>
          <w:szCs w:val="24"/>
        </w:rPr>
        <w:t>;</w:t>
      </w:r>
    </w:p>
    <w:p w14:paraId="47509BD6" w14:textId="77777777" w:rsidR="00443AD6" w:rsidRPr="00287C7D" w:rsidRDefault="003D4C1F" w:rsidP="00443AD6">
      <w:pPr>
        <w:pStyle w:val="Akapitzlist"/>
        <w:numPr>
          <w:ilvl w:val="0"/>
          <w:numId w:val="16"/>
        </w:numPr>
        <w:spacing w:after="160" w:line="259" w:lineRule="auto"/>
        <w:rPr>
          <w:rFonts w:ascii="Times New Roman" w:eastAsia="Times New Roman" w:hAnsi="Times New Roman" w:cs="Times New Roman"/>
          <w:sz w:val="24"/>
          <w:szCs w:val="24"/>
        </w:rPr>
      </w:pPr>
      <w:hyperlink r:id="rId15" w:history="1">
        <w:r w:rsidR="00443AD6" w:rsidRPr="00287C7D">
          <w:rPr>
            <w:rStyle w:val="Hipercze"/>
            <w:rFonts w:ascii="Times New Roman" w:eastAsia="Times New Roman" w:hAnsi="Times New Roman"/>
            <w:sz w:val="24"/>
            <w:szCs w:val="24"/>
          </w:rPr>
          <w:t>Guidelines on the Information and Visual Identification for the EEA Grants 2014–2021and the Norway Grants 2014–2021</w:t>
        </w:r>
      </w:hyperlink>
      <w:r w:rsidR="00443AD6" w:rsidRPr="00287C7D">
        <w:rPr>
          <w:rFonts w:ascii="Times New Roman" w:eastAsia="Times New Roman" w:hAnsi="Times New Roman" w:cs="Times New Roman"/>
          <w:sz w:val="24"/>
          <w:szCs w:val="24"/>
        </w:rPr>
        <w:t>;</w:t>
      </w:r>
    </w:p>
    <w:p w14:paraId="7A772A9E" w14:textId="76C62C26" w:rsidR="00443AD6" w:rsidRPr="00287C7D" w:rsidRDefault="003D4C1F" w:rsidP="00443AD6">
      <w:pPr>
        <w:numPr>
          <w:ilvl w:val="0"/>
          <w:numId w:val="16"/>
        </w:numPr>
        <w:jc w:val="both"/>
        <w:rPr>
          <w:rFonts w:ascii="Times New Roman" w:eastAsia="Times New Roman" w:hAnsi="Times New Roman" w:cs="Times New Roman"/>
          <w:sz w:val="24"/>
          <w:szCs w:val="24"/>
        </w:rPr>
      </w:pPr>
      <w:hyperlink r:id="rId16" w:history="1">
        <w:r w:rsidR="00443AD6" w:rsidRPr="00287C7D">
          <w:rPr>
            <w:rStyle w:val="Hipercze"/>
            <w:rFonts w:ascii="Times New Roman" w:eastAsia="Times New Roman" w:hAnsi="Times New Roman"/>
            <w:sz w:val="24"/>
            <w:szCs w:val="24"/>
          </w:rPr>
          <w:t>Guidelines on Appeals</w:t>
        </w:r>
      </w:hyperlink>
      <w:r w:rsidR="00443AD6" w:rsidRPr="00287C7D">
        <w:rPr>
          <w:rFonts w:ascii="Times New Roman" w:eastAsia="Times New Roman" w:hAnsi="Times New Roman" w:cs="Times New Roman"/>
          <w:sz w:val="24"/>
          <w:szCs w:val="24"/>
        </w:rPr>
        <w:t xml:space="preserve"> and any other guidelines governing fulfilling tasks connected with EEA Financial Mechanism 2014-2021 implementation adopted by the F</w:t>
      </w:r>
      <w:r w:rsidR="00443AD6">
        <w:rPr>
          <w:rFonts w:ascii="Times New Roman" w:eastAsia="Times New Roman" w:hAnsi="Times New Roman" w:cs="Times New Roman"/>
          <w:sz w:val="24"/>
          <w:szCs w:val="24"/>
        </w:rPr>
        <w:t xml:space="preserve">inancial </w:t>
      </w:r>
      <w:r w:rsidR="00443AD6" w:rsidRPr="00287C7D">
        <w:rPr>
          <w:rFonts w:ascii="Times New Roman" w:eastAsia="Times New Roman" w:hAnsi="Times New Roman" w:cs="Times New Roman"/>
          <w:sz w:val="24"/>
          <w:szCs w:val="24"/>
        </w:rPr>
        <w:t>M</w:t>
      </w:r>
      <w:r w:rsidR="00443AD6">
        <w:rPr>
          <w:rFonts w:ascii="Times New Roman" w:eastAsia="Times New Roman" w:hAnsi="Times New Roman" w:cs="Times New Roman"/>
          <w:sz w:val="24"/>
          <w:szCs w:val="24"/>
        </w:rPr>
        <w:t xml:space="preserve">echanism </w:t>
      </w:r>
      <w:r w:rsidR="00443AD6" w:rsidRPr="00287C7D">
        <w:rPr>
          <w:rFonts w:ascii="Times New Roman" w:eastAsia="Times New Roman" w:hAnsi="Times New Roman" w:cs="Times New Roman"/>
          <w:sz w:val="24"/>
          <w:szCs w:val="24"/>
        </w:rPr>
        <w:t>C</w:t>
      </w:r>
      <w:r w:rsidR="00443AD6">
        <w:rPr>
          <w:rFonts w:ascii="Times New Roman" w:eastAsia="Times New Roman" w:hAnsi="Times New Roman" w:cs="Times New Roman"/>
          <w:sz w:val="24"/>
          <w:szCs w:val="24"/>
        </w:rPr>
        <w:t>ommittee (FMC)</w:t>
      </w:r>
      <w:r w:rsidR="00443AD6" w:rsidRPr="00287C7D">
        <w:rPr>
          <w:rFonts w:ascii="Times New Roman" w:eastAsia="Times New Roman" w:hAnsi="Times New Roman" w:cs="Times New Roman"/>
          <w:sz w:val="24"/>
          <w:szCs w:val="24"/>
        </w:rPr>
        <w:t xml:space="preserve"> or N</w:t>
      </w:r>
      <w:r w:rsidR="00443AD6">
        <w:rPr>
          <w:rFonts w:ascii="Times New Roman" w:eastAsia="Times New Roman" w:hAnsi="Times New Roman" w:cs="Times New Roman"/>
          <w:sz w:val="24"/>
          <w:szCs w:val="24"/>
        </w:rPr>
        <w:t xml:space="preserve">ational </w:t>
      </w:r>
      <w:r w:rsidR="00443AD6" w:rsidRPr="00287C7D">
        <w:rPr>
          <w:rFonts w:ascii="Times New Roman" w:eastAsia="Times New Roman" w:hAnsi="Times New Roman" w:cs="Times New Roman"/>
          <w:sz w:val="24"/>
          <w:szCs w:val="24"/>
        </w:rPr>
        <w:t>F</w:t>
      </w:r>
      <w:r w:rsidR="00443AD6">
        <w:rPr>
          <w:rFonts w:ascii="Times New Roman" w:eastAsia="Times New Roman" w:hAnsi="Times New Roman" w:cs="Times New Roman"/>
          <w:sz w:val="24"/>
          <w:szCs w:val="24"/>
        </w:rPr>
        <w:t xml:space="preserve">ocal </w:t>
      </w:r>
      <w:r w:rsidR="00443AD6" w:rsidRPr="00287C7D">
        <w:rPr>
          <w:rFonts w:ascii="Times New Roman" w:eastAsia="Times New Roman" w:hAnsi="Times New Roman" w:cs="Times New Roman"/>
          <w:sz w:val="24"/>
          <w:szCs w:val="24"/>
        </w:rPr>
        <w:t>P</w:t>
      </w:r>
      <w:r w:rsidR="00443AD6">
        <w:rPr>
          <w:rFonts w:ascii="Times New Roman" w:eastAsia="Times New Roman" w:hAnsi="Times New Roman" w:cs="Times New Roman"/>
          <w:sz w:val="24"/>
          <w:szCs w:val="24"/>
        </w:rPr>
        <w:t>oint (NFP)</w:t>
      </w:r>
      <w:r w:rsidR="00443AD6" w:rsidRPr="00287C7D">
        <w:rPr>
          <w:rFonts w:ascii="Times New Roman" w:eastAsia="Times New Roman" w:hAnsi="Times New Roman" w:cs="Times New Roman"/>
          <w:sz w:val="24"/>
          <w:szCs w:val="24"/>
        </w:rPr>
        <w:t xml:space="preserve"> published </w:t>
      </w:r>
      <w:r w:rsidR="00443AD6" w:rsidRPr="00443AD6">
        <w:rPr>
          <w:rFonts w:ascii="Times New Roman" w:eastAsia="Times New Roman" w:hAnsi="Times New Roman" w:cs="Times New Roman"/>
          <w:sz w:val="24"/>
          <w:szCs w:val="24"/>
          <w:lang w:val="en"/>
        </w:rPr>
        <w:t xml:space="preserve">on </w:t>
      </w:r>
      <w:hyperlink r:id="rId17" w:history="1">
        <w:r w:rsidR="00443AD6" w:rsidRPr="00443AD6">
          <w:rPr>
            <w:rFonts w:ascii="Times New Roman" w:eastAsia="Times New Roman" w:hAnsi="Times New Roman" w:cs="Times New Roman"/>
            <w:color w:val="0000FF"/>
            <w:sz w:val="24"/>
            <w:szCs w:val="24"/>
            <w:u w:val="single"/>
            <w:lang w:val="en"/>
          </w:rPr>
          <w:t>the EEA Grants website</w:t>
        </w:r>
      </w:hyperlink>
      <w:r w:rsidR="00443AD6" w:rsidRPr="00443AD6">
        <w:rPr>
          <w:rFonts w:ascii="Times New Roman" w:eastAsia="Times New Roman" w:hAnsi="Times New Roman" w:cs="Times New Roman"/>
          <w:sz w:val="24"/>
          <w:szCs w:val="24"/>
          <w:lang w:val="en"/>
        </w:rPr>
        <w:t>.</w:t>
      </w:r>
    </w:p>
    <w:p w14:paraId="48AAF359" w14:textId="77777777" w:rsidR="00443AD6" w:rsidRPr="002C6FF9" w:rsidRDefault="00443AD6" w:rsidP="00443AD6">
      <w:pPr>
        <w:ind w:left="720"/>
        <w:jc w:val="both"/>
        <w:rPr>
          <w:rFonts w:ascii="Times New Roman" w:eastAsia="Times New Roman" w:hAnsi="Times New Roman" w:cs="Times New Roman"/>
          <w:sz w:val="24"/>
          <w:szCs w:val="24"/>
        </w:rPr>
      </w:pPr>
    </w:p>
    <w:p w14:paraId="699A0095" w14:textId="77777777" w:rsidR="005A7C1E" w:rsidRDefault="005A7C1E">
      <w:pPr>
        <w:pBdr>
          <w:top w:val="nil"/>
          <w:left w:val="nil"/>
          <w:bottom w:val="nil"/>
          <w:right w:val="nil"/>
          <w:between w:val="nil"/>
        </w:pBdr>
        <w:jc w:val="both"/>
        <w:rPr>
          <w:rFonts w:ascii="Times New Roman" w:eastAsia="Times New Roman" w:hAnsi="Times New Roman" w:cs="Times New Roman"/>
          <w:color w:val="000000"/>
          <w:sz w:val="24"/>
          <w:szCs w:val="24"/>
        </w:rPr>
      </w:pPr>
    </w:p>
    <w:p w14:paraId="541548CB" w14:textId="7543EAB6" w:rsidR="005A7C1E" w:rsidRDefault="00662273">
      <w:pPr>
        <w:numPr>
          <w:ilvl w:val="0"/>
          <w:numId w:val="8"/>
        </w:num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List of attachments to the </w:t>
      </w:r>
      <w:r w:rsidR="00517F13">
        <w:rPr>
          <w:rFonts w:ascii="Times New Roman" w:eastAsia="Times New Roman" w:hAnsi="Times New Roman" w:cs="Times New Roman"/>
          <w:b/>
          <w:color w:val="000000"/>
          <w:sz w:val="24"/>
          <w:szCs w:val="24"/>
        </w:rPr>
        <w:t xml:space="preserve">call </w:t>
      </w:r>
      <w:r w:rsidR="00C906E4">
        <w:rPr>
          <w:rFonts w:ascii="Times New Roman" w:eastAsia="Times New Roman" w:hAnsi="Times New Roman" w:cs="Times New Roman"/>
          <w:b/>
          <w:color w:val="000000"/>
          <w:sz w:val="24"/>
          <w:szCs w:val="24"/>
        </w:rPr>
        <w:t xml:space="preserve">announcement </w:t>
      </w:r>
    </w:p>
    <w:p w14:paraId="4F966677" w14:textId="77777777" w:rsidR="005A7C1E" w:rsidRDefault="005A7C1E">
      <w:pPr>
        <w:pBdr>
          <w:top w:val="nil"/>
          <w:left w:val="nil"/>
          <w:bottom w:val="nil"/>
          <w:right w:val="nil"/>
          <w:between w:val="nil"/>
        </w:pBdr>
        <w:spacing w:before="120"/>
        <w:ind w:left="1131"/>
        <w:jc w:val="both"/>
        <w:rPr>
          <w:rFonts w:ascii="Times New Roman" w:eastAsia="Times New Roman" w:hAnsi="Times New Roman" w:cs="Times New Roman"/>
          <w:color w:val="000000"/>
          <w:sz w:val="24"/>
          <w:szCs w:val="24"/>
        </w:rPr>
      </w:pPr>
    </w:p>
    <w:p w14:paraId="57E5D173" w14:textId="77777777" w:rsidR="005A7C1E" w:rsidRDefault="00662273">
      <w:pPr>
        <w:numPr>
          <w:ilvl w:val="0"/>
          <w:numId w:val="9"/>
        </w:numPr>
        <w:pBdr>
          <w:top w:val="nil"/>
          <w:left w:val="nil"/>
          <w:bottom w:val="nil"/>
          <w:right w:val="nil"/>
          <w:between w:val="nil"/>
        </w:pBdr>
        <w:spacing w:line="276" w:lineRule="auto"/>
        <w:ind w:left="714" w:hanging="357"/>
        <w:jc w:val="both"/>
        <w:rPr>
          <w:color w:val="000000"/>
        </w:rPr>
      </w:pPr>
      <w:r>
        <w:rPr>
          <w:rFonts w:ascii="Times New Roman" w:eastAsia="Times New Roman" w:hAnsi="Times New Roman" w:cs="Times New Roman"/>
          <w:color w:val="000000"/>
          <w:sz w:val="24"/>
          <w:szCs w:val="24"/>
        </w:rPr>
        <w:t xml:space="preserve">Competition Rules; </w:t>
      </w:r>
    </w:p>
    <w:p w14:paraId="26A10A09" w14:textId="77777777" w:rsidR="005A7C1E" w:rsidRDefault="00662273">
      <w:pPr>
        <w:numPr>
          <w:ilvl w:val="0"/>
          <w:numId w:val="9"/>
        </w:numPr>
        <w:pBdr>
          <w:top w:val="nil"/>
          <w:left w:val="nil"/>
          <w:bottom w:val="nil"/>
          <w:right w:val="nil"/>
          <w:between w:val="nil"/>
        </w:pBdr>
        <w:spacing w:line="276" w:lineRule="auto"/>
        <w:ind w:left="714" w:hanging="357"/>
        <w:jc w:val="both"/>
        <w:rPr>
          <w:color w:val="000000"/>
        </w:rPr>
      </w:pPr>
      <w:r>
        <w:rPr>
          <w:rFonts w:ascii="Times New Roman" w:eastAsia="Times New Roman" w:hAnsi="Times New Roman" w:cs="Times New Roman"/>
          <w:color w:val="000000"/>
          <w:sz w:val="24"/>
          <w:szCs w:val="24"/>
        </w:rPr>
        <w:t>Administrative and eligibility criteria; merit criteria;</w:t>
      </w:r>
    </w:p>
    <w:p w14:paraId="0B0ACC45" w14:textId="77777777" w:rsidR="005A7C1E" w:rsidRDefault="00662273">
      <w:pPr>
        <w:numPr>
          <w:ilvl w:val="0"/>
          <w:numId w:val="9"/>
        </w:numPr>
        <w:pBdr>
          <w:top w:val="nil"/>
          <w:left w:val="nil"/>
          <w:bottom w:val="nil"/>
          <w:right w:val="nil"/>
          <w:between w:val="nil"/>
        </w:pBdr>
        <w:spacing w:line="276" w:lineRule="auto"/>
        <w:ind w:left="714" w:hanging="357"/>
        <w:jc w:val="both"/>
        <w:rPr>
          <w:color w:val="000000"/>
        </w:rPr>
      </w:pPr>
      <w:r>
        <w:rPr>
          <w:rFonts w:ascii="Times New Roman" w:eastAsia="Times New Roman" w:hAnsi="Times New Roman" w:cs="Times New Roman"/>
          <w:color w:val="000000"/>
          <w:sz w:val="24"/>
          <w:szCs w:val="24"/>
        </w:rPr>
        <w:t>Checklist</w:t>
      </w:r>
      <w:r w:rsidR="0096091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w:t>
      </w:r>
      <w:r w:rsidR="00960915">
        <w:rPr>
          <w:rFonts w:ascii="Times New Roman" w:eastAsia="Times New Roman" w:hAnsi="Times New Roman" w:cs="Times New Roman"/>
          <w:color w:val="000000"/>
          <w:sz w:val="24"/>
          <w:szCs w:val="24"/>
        </w:rPr>
        <w:t xml:space="preserve"> template</w:t>
      </w:r>
      <w:r>
        <w:rPr>
          <w:rFonts w:ascii="Times New Roman" w:eastAsia="Times New Roman" w:hAnsi="Times New Roman" w:cs="Times New Roman"/>
          <w:color w:val="000000"/>
          <w:sz w:val="24"/>
          <w:szCs w:val="24"/>
        </w:rPr>
        <w:t>;</w:t>
      </w:r>
    </w:p>
    <w:p w14:paraId="384B341B" w14:textId="77777777" w:rsidR="005A7C1E" w:rsidRDefault="00662273">
      <w:pPr>
        <w:numPr>
          <w:ilvl w:val="0"/>
          <w:numId w:val="9"/>
        </w:numPr>
        <w:pBdr>
          <w:top w:val="nil"/>
          <w:left w:val="nil"/>
          <w:bottom w:val="nil"/>
          <w:right w:val="nil"/>
          <w:between w:val="nil"/>
        </w:pBdr>
        <w:spacing w:line="276" w:lineRule="auto"/>
        <w:ind w:left="714" w:hanging="357"/>
        <w:jc w:val="both"/>
        <w:rPr>
          <w:color w:val="000000"/>
        </w:rPr>
      </w:pPr>
      <w:r>
        <w:rPr>
          <w:rFonts w:ascii="Times New Roman" w:eastAsia="Times New Roman" w:hAnsi="Times New Roman" w:cs="Times New Roman"/>
          <w:color w:val="000000"/>
          <w:sz w:val="24"/>
          <w:szCs w:val="24"/>
        </w:rPr>
        <w:t>Partnership Guide;</w:t>
      </w:r>
    </w:p>
    <w:p w14:paraId="381ABCC3" w14:textId="645D0D3A" w:rsidR="005A7C1E" w:rsidRPr="003D4C1F" w:rsidRDefault="00662273" w:rsidP="008B448D">
      <w:pPr>
        <w:numPr>
          <w:ilvl w:val="0"/>
          <w:numId w:val="9"/>
        </w:numPr>
        <w:pBdr>
          <w:top w:val="nil"/>
          <w:left w:val="nil"/>
          <w:bottom w:val="nil"/>
          <w:right w:val="nil"/>
          <w:between w:val="nil"/>
        </w:pBdr>
        <w:spacing w:line="276"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Methodology for calculating indirect costs</w:t>
      </w:r>
      <w:bookmarkStart w:id="6" w:name="_GoBack"/>
      <w:r w:rsidR="003D4C1F">
        <w:rPr>
          <w:rFonts w:ascii="Times New Roman" w:eastAsia="Times New Roman" w:hAnsi="Times New Roman" w:cs="Times New Roman"/>
          <w:color w:val="000000"/>
          <w:sz w:val="24"/>
          <w:szCs w:val="24"/>
        </w:rPr>
        <w:t>;</w:t>
      </w:r>
      <w:bookmarkEnd w:id="6"/>
    </w:p>
    <w:p w14:paraId="2DE16FBC" w14:textId="5596E7F9" w:rsidR="003D4C1F" w:rsidRDefault="00C63112" w:rsidP="003D4C1F">
      <w:pPr>
        <w:numPr>
          <w:ilvl w:val="0"/>
          <w:numId w:val="9"/>
        </w:numPr>
        <w:pBdr>
          <w:top w:val="nil"/>
          <w:left w:val="nil"/>
          <w:bottom w:val="nil"/>
          <w:right w:val="nil"/>
          <w:between w:val="nil"/>
        </w:pBdr>
        <w:spacing w:line="276" w:lineRule="auto"/>
        <w:ind w:left="714" w:hanging="357"/>
        <w:jc w:val="both"/>
        <w:rPr>
          <w:rFonts w:ascii="Times New Roman" w:eastAsia="Times New Roman" w:hAnsi="Times New Roman" w:cs="Times New Roman"/>
          <w:color w:val="000000"/>
          <w:sz w:val="24"/>
          <w:szCs w:val="24"/>
        </w:rPr>
      </w:pPr>
      <w:r w:rsidRPr="003D4C1F">
        <w:rPr>
          <w:rFonts w:ascii="Times New Roman" w:eastAsia="Times New Roman" w:hAnsi="Times New Roman" w:cs="Times New Roman"/>
          <w:color w:val="000000"/>
          <w:sz w:val="24"/>
          <w:szCs w:val="24"/>
        </w:rPr>
        <w:t>Project agreement template</w:t>
      </w:r>
      <w:r w:rsidR="003D4C1F" w:rsidRPr="003D4C1F">
        <w:rPr>
          <w:rFonts w:ascii="Times New Roman" w:eastAsia="Times New Roman" w:hAnsi="Times New Roman" w:cs="Times New Roman"/>
          <w:color w:val="000000"/>
          <w:sz w:val="24"/>
          <w:szCs w:val="24"/>
        </w:rPr>
        <w:t xml:space="preserve"> (</w:t>
      </w:r>
      <w:r w:rsidR="003D4C1F" w:rsidRPr="003D4C1F">
        <w:rPr>
          <w:rFonts w:ascii="Times New Roman" w:eastAsia="Times New Roman" w:hAnsi="Times New Roman" w:cs="Times New Roman"/>
          <w:color w:val="000000"/>
          <w:sz w:val="24"/>
          <w:szCs w:val="24"/>
        </w:rPr>
        <w:t>will be published later)</w:t>
      </w:r>
      <w:r w:rsidR="003D4C1F">
        <w:rPr>
          <w:rFonts w:ascii="Times New Roman" w:eastAsia="Times New Roman" w:hAnsi="Times New Roman" w:cs="Times New Roman"/>
          <w:color w:val="000000"/>
          <w:sz w:val="24"/>
          <w:szCs w:val="24"/>
        </w:rPr>
        <w:t>;</w:t>
      </w:r>
    </w:p>
    <w:p w14:paraId="74C84D38" w14:textId="3C8857A3" w:rsidR="00876860" w:rsidRPr="003D4C1F" w:rsidRDefault="00876860" w:rsidP="003D4C1F">
      <w:pPr>
        <w:numPr>
          <w:ilvl w:val="0"/>
          <w:numId w:val="9"/>
        </w:numPr>
        <w:pBdr>
          <w:top w:val="nil"/>
          <w:left w:val="nil"/>
          <w:bottom w:val="nil"/>
          <w:right w:val="nil"/>
          <w:between w:val="nil"/>
        </w:pBdr>
        <w:spacing w:line="276" w:lineRule="auto"/>
        <w:ind w:left="714" w:hanging="357"/>
        <w:jc w:val="both"/>
        <w:rPr>
          <w:rFonts w:ascii="Times New Roman" w:eastAsia="Times New Roman" w:hAnsi="Times New Roman" w:cs="Times New Roman"/>
          <w:color w:val="000000"/>
          <w:sz w:val="24"/>
          <w:szCs w:val="24"/>
        </w:rPr>
      </w:pPr>
      <w:r w:rsidRPr="003D4C1F">
        <w:rPr>
          <w:rFonts w:ascii="Times New Roman" w:eastAsia="Times New Roman" w:hAnsi="Times New Roman" w:cs="Times New Roman"/>
          <w:color w:val="000000"/>
          <w:sz w:val="24"/>
          <w:szCs w:val="24"/>
        </w:rPr>
        <w:t>Guide for Applicants.</w:t>
      </w:r>
    </w:p>
    <w:p w14:paraId="43474904" w14:textId="77777777" w:rsidR="004B3322" w:rsidRPr="008B448D" w:rsidRDefault="004B3322" w:rsidP="004B3322">
      <w:pPr>
        <w:pBdr>
          <w:top w:val="nil"/>
          <w:left w:val="nil"/>
          <w:bottom w:val="nil"/>
          <w:right w:val="nil"/>
          <w:between w:val="nil"/>
        </w:pBdr>
        <w:spacing w:line="276" w:lineRule="auto"/>
        <w:ind w:left="714"/>
        <w:jc w:val="both"/>
        <w:rPr>
          <w:color w:val="000000"/>
        </w:rPr>
      </w:pPr>
    </w:p>
    <w:p w14:paraId="20C8F90B" w14:textId="77777777" w:rsidR="005A7C1E" w:rsidRDefault="005A7C1E" w:rsidP="008B448D">
      <w:pPr>
        <w:pBdr>
          <w:top w:val="nil"/>
          <w:left w:val="nil"/>
          <w:bottom w:val="nil"/>
          <w:right w:val="nil"/>
          <w:between w:val="nil"/>
        </w:pBdr>
        <w:spacing w:before="120" w:line="276" w:lineRule="auto"/>
        <w:ind w:left="1131"/>
        <w:jc w:val="both"/>
        <w:rPr>
          <w:rFonts w:ascii="Times New Roman" w:eastAsia="Times New Roman" w:hAnsi="Times New Roman" w:cs="Times New Roman"/>
          <w:color w:val="000000"/>
          <w:sz w:val="24"/>
          <w:szCs w:val="24"/>
        </w:rPr>
      </w:pPr>
    </w:p>
    <w:p w14:paraId="5906E5A0" w14:textId="77777777" w:rsidR="005A7C1E" w:rsidRDefault="00662273" w:rsidP="008B448D">
      <w:pPr>
        <w:numPr>
          <w:ilvl w:val="0"/>
          <w:numId w:val="8"/>
        </w:numPr>
        <w:pBdr>
          <w:top w:val="nil"/>
          <w:left w:val="nil"/>
          <w:bottom w:val="nil"/>
          <w:right w:val="nil"/>
          <w:between w:val="nil"/>
        </w:pBdr>
        <w:spacing w:before="120" w:line="276" w:lineRule="auto"/>
        <w:jc w:val="both"/>
        <w:rPr>
          <w:rFonts w:ascii="Times New Roman" w:eastAsia="Times New Roman" w:hAnsi="Times New Roman" w:cs="Times New Roman"/>
          <w:color w:val="000000"/>
          <w:sz w:val="24"/>
          <w:szCs w:val="24"/>
        </w:rPr>
      </w:pPr>
      <w:bookmarkStart w:id="7" w:name="_3dy6vkm" w:colFirst="0" w:colLast="0"/>
      <w:bookmarkEnd w:id="7"/>
      <w:r>
        <w:rPr>
          <w:rFonts w:ascii="Times New Roman" w:eastAsia="Times New Roman" w:hAnsi="Times New Roman" w:cs="Times New Roman"/>
          <w:b/>
          <w:color w:val="000000"/>
          <w:sz w:val="24"/>
          <w:szCs w:val="24"/>
        </w:rPr>
        <w:t>List of attachments required for a grant application</w:t>
      </w:r>
    </w:p>
    <w:p w14:paraId="78A401AA" w14:textId="77777777" w:rsidR="005A7C1E" w:rsidRPr="008B448D" w:rsidRDefault="00662273" w:rsidP="008B448D">
      <w:pPr>
        <w:pBdr>
          <w:top w:val="nil"/>
          <w:left w:val="nil"/>
          <w:bottom w:val="nil"/>
          <w:right w:val="nil"/>
          <w:between w:val="nil"/>
        </w:pBdr>
        <w:spacing w:before="12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following attachments </w:t>
      </w:r>
      <w:r w:rsidRPr="008B448D">
        <w:rPr>
          <w:rFonts w:ascii="Times New Roman" w:eastAsia="Times New Roman" w:hAnsi="Times New Roman" w:cs="Times New Roman"/>
          <w:color w:val="000000"/>
          <w:sz w:val="24"/>
          <w:szCs w:val="24"/>
        </w:rPr>
        <w:t>shall be enclosed with a grant application:</w:t>
      </w:r>
    </w:p>
    <w:p w14:paraId="19A29519" w14:textId="38D17708" w:rsidR="00915CAB" w:rsidRPr="00D15480" w:rsidRDefault="00915CAB" w:rsidP="008B448D">
      <w:pPr>
        <w:numPr>
          <w:ilvl w:val="0"/>
          <w:numId w:val="1"/>
        </w:numPr>
        <w:pBdr>
          <w:top w:val="nil"/>
          <w:left w:val="nil"/>
          <w:bottom w:val="nil"/>
          <w:right w:val="nil"/>
          <w:between w:val="nil"/>
        </w:pBdr>
        <w:spacing w:line="276" w:lineRule="auto"/>
        <w:ind w:left="782" w:hanging="357"/>
        <w:jc w:val="both"/>
        <w:rPr>
          <w:rFonts w:ascii="Times New Roman" w:eastAsia="Times New Roman" w:hAnsi="Times New Roman" w:cs="Times New Roman"/>
          <w:color w:val="000000"/>
          <w:sz w:val="24"/>
          <w:szCs w:val="24"/>
        </w:rPr>
      </w:pPr>
      <w:r w:rsidRPr="00D15480">
        <w:rPr>
          <w:rFonts w:ascii="Times New Roman" w:eastAsia="Times New Roman" w:hAnsi="Times New Roman" w:cs="Times New Roman"/>
          <w:color w:val="000000"/>
          <w:sz w:val="24"/>
          <w:szCs w:val="24"/>
        </w:rPr>
        <w:t>Feasibility Study for a project applying for the EEA Grants 2014–2021 and the Norway Grants with active financing model based on the requirements posed by the Manual for Creating a Feasibility Study for a project applying for the EEA Grants 2014–2021 and the Norway Grants;</w:t>
      </w:r>
    </w:p>
    <w:p w14:paraId="3CD05D78" w14:textId="77777777" w:rsidR="00915CAB" w:rsidRPr="00D15480" w:rsidRDefault="00915CAB" w:rsidP="00915CAB">
      <w:pPr>
        <w:numPr>
          <w:ilvl w:val="0"/>
          <w:numId w:val="1"/>
        </w:numPr>
        <w:pBdr>
          <w:top w:val="nil"/>
          <w:left w:val="nil"/>
          <w:bottom w:val="nil"/>
          <w:right w:val="nil"/>
          <w:between w:val="nil"/>
        </w:pBdr>
        <w:spacing w:line="276" w:lineRule="auto"/>
        <w:ind w:left="782" w:hanging="357"/>
        <w:jc w:val="both"/>
        <w:rPr>
          <w:rFonts w:ascii="Times New Roman" w:eastAsia="Times New Roman" w:hAnsi="Times New Roman" w:cs="Times New Roman"/>
          <w:color w:val="000000"/>
          <w:sz w:val="24"/>
          <w:szCs w:val="24"/>
        </w:rPr>
      </w:pPr>
      <w:r w:rsidRPr="00D15480">
        <w:rPr>
          <w:rFonts w:ascii="Times New Roman" w:eastAsia="Times New Roman" w:hAnsi="Times New Roman" w:cs="Times New Roman"/>
          <w:color w:val="000000"/>
          <w:sz w:val="24"/>
          <w:szCs w:val="24"/>
        </w:rPr>
        <w:t>Technical and ecological appendix;</w:t>
      </w:r>
    </w:p>
    <w:p w14:paraId="209EA0C2" w14:textId="77777777" w:rsidR="00915CAB" w:rsidRPr="00D15480" w:rsidRDefault="00915CAB" w:rsidP="00915CAB">
      <w:pPr>
        <w:numPr>
          <w:ilvl w:val="0"/>
          <w:numId w:val="1"/>
        </w:numPr>
        <w:pBdr>
          <w:top w:val="nil"/>
          <w:left w:val="nil"/>
          <w:bottom w:val="nil"/>
          <w:right w:val="nil"/>
          <w:between w:val="nil"/>
        </w:pBdr>
        <w:spacing w:line="276" w:lineRule="auto"/>
        <w:ind w:left="782" w:hanging="357"/>
        <w:jc w:val="both"/>
        <w:rPr>
          <w:rFonts w:ascii="Times New Roman" w:eastAsia="Times New Roman" w:hAnsi="Times New Roman" w:cs="Times New Roman"/>
          <w:color w:val="000000"/>
          <w:sz w:val="24"/>
          <w:szCs w:val="24"/>
        </w:rPr>
      </w:pPr>
      <w:r w:rsidRPr="00D15480">
        <w:rPr>
          <w:rFonts w:ascii="Times New Roman" w:eastAsia="Times New Roman" w:hAnsi="Times New Roman" w:cs="Times New Roman"/>
          <w:color w:val="000000"/>
          <w:sz w:val="24"/>
          <w:szCs w:val="24"/>
        </w:rPr>
        <w:t>Methodology for calculating CO2 emissions reduction;</w:t>
      </w:r>
    </w:p>
    <w:p w14:paraId="44FD90CB" w14:textId="49591F13" w:rsidR="0031224B" w:rsidRPr="00D15480" w:rsidRDefault="00915CAB" w:rsidP="00915CAB">
      <w:pPr>
        <w:numPr>
          <w:ilvl w:val="0"/>
          <w:numId w:val="1"/>
        </w:numPr>
        <w:pBdr>
          <w:top w:val="nil"/>
          <w:left w:val="nil"/>
          <w:bottom w:val="nil"/>
          <w:right w:val="nil"/>
          <w:between w:val="nil"/>
        </w:pBdr>
        <w:spacing w:line="276" w:lineRule="auto"/>
        <w:ind w:left="782" w:hanging="357"/>
        <w:jc w:val="both"/>
        <w:rPr>
          <w:rFonts w:ascii="Times New Roman" w:eastAsia="Times New Roman" w:hAnsi="Times New Roman" w:cs="Times New Roman"/>
          <w:color w:val="000000"/>
          <w:sz w:val="24"/>
          <w:szCs w:val="24"/>
        </w:rPr>
      </w:pPr>
      <w:r w:rsidRPr="00D15480">
        <w:rPr>
          <w:rFonts w:ascii="Times New Roman" w:eastAsia="Times New Roman" w:hAnsi="Times New Roman" w:cs="Times New Roman"/>
          <w:color w:val="000000"/>
          <w:sz w:val="24"/>
          <w:szCs w:val="24"/>
        </w:rPr>
        <w:t>Administrative permits and decisions, which allow the project to be implemented, or a schedule for</w:t>
      </w:r>
      <w:r w:rsidR="0031224B" w:rsidRPr="00D15480">
        <w:rPr>
          <w:rFonts w:ascii="Times New Roman" w:eastAsia="Times New Roman" w:hAnsi="Times New Roman" w:cs="Times New Roman"/>
          <w:color w:val="000000"/>
          <w:sz w:val="24"/>
          <w:szCs w:val="24"/>
        </w:rPr>
        <w:t xml:space="preserve"> their obtaining;</w:t>
      </w:r>
    </w:p>
    <w:p w14:paraId="39481AD5" w14:textId="67FFCD52" w:rsidR="0031224B" w:rsidRPr="00D15480" w:rsidRDefault="00915CAB" w:rsidP="00C63112">
      <w:pPr>
        <w:numPr>
          <w:ilvl w:val="0"/>
          <w:numId w:val="1"/>
        </w:numPr>
        <w:pBdr>
          <w:top w:val="nil"/>
          <w:left w:val="nil"/>
          <w:bottom w:val="nil"/>
          <w:right w:val="nil"/>
          <w:between w:val="nil"/>
        </w:pBdr>
        <w:spacing w:line="276" w:lineRule="auto"/>
        <w:ind w:left="782" w:hanging="357"/>
        <w:jc w:val="both"/>
        <w:rPr>
          <w:rFonts w:ascii="Times New Roman" w:eastAsia="Times New Roman" w:hAnsi="Times New Roman" w:cs="Times New Roman"/>
          <w:color w:val="000000"/>
          <w:sz w:val="24"/>
          <w:szCs w:val="24"/>
        </w:rPr>
      </w:pPr>
      <w:r w:rsidRPr="00D15480">
        <w:rPr>
          <w:rFonts w:ascii="Times New Roman" w:eastAsia="Times New Roman" w:hAnsi="Times New Roman" w:cs="Times New Roman"/>
          <w:color w:val="000000"/>
          <w:sz w:val="24"/>
          <w:szCs w:val="24"/>
        </w:rPr>
        <w:t xml:space="preserve">Approval of the owner, manager or </w:t>
      </w:r>
      <w:r w:rsidRPr="00D15480">
        <w:rPr>
          <w:rFonts w:ascii="Times New Roman" w:hAnsi="Times New Roman" w:cs="Times New Roman"/>
          <w:bCs/>
          <w:sz w:val="24"/>
          <w:szCs w:val="24"/>
        </w:rPr>
        <w:t xml:space="preserve">perpetual </w:t>
      </w:r>
      <w:proofErr w:type="spellStart"/>
      <w:r w:rsidRPr="00D15480">
        <w:rPr>
          <w:rFonts w:ascii="Times New Roman" w:hAnsi="Times New Roman" w:cs="Times New Roman"/>
          <w:bCs/>
          <w:sz w:val="24"/>
          <w:szCs w:val="24"/>
        </w:rPr>
        <w:t>usufructuary</w:t>
      </w:r>
      <w:proofErr w:type="spellEnd"/>
      <w:r w:rsidRPr="00D15480">
        <w:rPr>
          <w:rFonts w:ascii="Times New Roman" w:hAnsi="Times New Roman" w:cs="Times New Roman"/>
          <w:bCs/>
          <w:sz w:val="24"/>
          <w:szCs w:val="24"/>
        </w:rPr>
        <w:t xml:space="preserve"> of the grounds, on which the project is supposed to be implemented, in cases where the Applicant is not the owner, manager or perpetual </w:t>
      </w:r>
      <w:proofErr w:type="spellStart"/>
      <w:r w:rsidRPr="00D15480">
        <w:rPr>
          <w:rFonts w:ascii="Times New Roman" w:hAnsi="Times New Roman" w:cs="Times New Roman"/>
          <w:bCs/>
          <w:sz w:val="24"/>
          <w:szCs w:val="24"/>
        </w:rPr>
        <w:t>usufructuary</w:t>
      </w:r>
      <w:proofErr w:type="spellEnd"/>
      <w:r w:rsidRPr="00D15480">
        <w:rPr>
          <w:rFonts w:ascii="Times New Roman" w:hAnsi="Times New Roman" w:cs="Times New Roman"/>
          <w:bCs/>
          <w:sz w:val="24"/>
          <w:szCs w:val="24"/>
        </w:rPr>
        <w:t xml:space="preserve"> of said ground (where applicable);</w:t>
      </w:r>
    </w:p>
    <w:p w14:paraId="70372DA6" w14:textId="77777777" w:rsidR="00915CAB" w:rsidRPr="00D15480" w:rsidRDefault="00915CAB" w:rsidP="00C63112">
      <w:pPr>
        <w:numPr>
          <w:ilvl w:val="0"/>
          <w:numId w:val="1"/>
        </w:numPr>
        <w:pBdr>
          <w:top w:val="nil"/>
          <w:left w:val="nil"/>
          <w:bottom w:val="nil"/>
          <w:right w:val="nil"/>
          <w:between w:val="nil"/>
        </w:pBdr>
        <w:spacing w:line="276" w:lineRule="auto"/>
        <w:ind w:left="782" w:hanging="357"/>
        <w:jc w:val="both"/>
        <w:rPr>
          <w:rFonts w:ascii="Times New Roman" w:eastAsia="Times New Roman" w:hAnsi="Times New Roman" w:cs="Times New Roman"/>
          <w:color w:val="000000"/>
          <w:sz w:val="24"/>
          <w:szCs w:val="24"/>
        </w:rPr>
      </w:pPr>
      <w:r w:rsidRPr="00D15480">
        <w:rPr>
          <w:rFonts w:ascii="Times New Roman" w:eastAsia="Times New Roman" w:hAnsi="Times New Roman" w:cs="Times New Roman"/>
          <w:color w:val="000000"/>
          <w:sz w:val="24"/>
          <w:szCs w:val="24"/>
        </w:rPr>
        <w:t>Documents confirming a project partnership – a letter of intent with an entity from the Donor States, a partnership agreement with an entity from the Donor States or other proof of cooperation between partners (where applicable);</w:t>
      </w:r>
    </w:p>
    <w:p w14:paraId="0FDF3C82" w14:textId="2E42DF91" w:rsidR="00915CAB" w:rsidRPr="00D15480" w:rsidRDefault="00915CAB" w:rsidP="00C63112">
      <w:pPr>
        <w:pStyle w:val="Akapitzlist"/>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rPr>
      </w:pPr>
      <w:r w:rsidRPr="00D15480">
        <w:rPr>
          <w:rFonts w:ascii="Times New Roman" w:eastAsia="Times New Roman" w:hAnsi="Times New Roman" w:cs="Times New Roman"/>
          <w:color w:val="000000"/>
          <w:sz w:val="24"/>
          <w:szCs w:val="24"/>
        </w:rPr>
        <w:t>Calculation of indirect costs, based on the methodology for the calculation of indirect costs (where applicable);</w:t>
      </w:r>
    </w:p>
    <w:p w14:paraId="13639DCD" w14:textId="77777777" w:rsidR="00915CAB" w:rsidRPr="00D15480" w:rsidRDefault="00915CAB" w:rsidP="00C63112">
      <w:pPr>
        <w:numPr>
          <w:ilvl w:val="0"/>
          <w:numId w:val="1"/>
        </w:numPr>
        <w:pBdr>
          <w:top w:val="nil"/>
          <w:left w:val="nil"/>
          <w:bottom w:val="nil"/>
          <w:right w:val="nil"/>
          <w:between w:val="nil"/>
        </w:pBdr>
        <w:spacing w:line="276" w:lineRule="auto"/>
        <w:ind w:left="782" w:hanging="357"/>
        <w:jc w:val="both"/>
        <w:rPr>
          <w:rFonts w:ascii="Times New Roman" w:eastAsia="Times New Roman" w:hAnsi="Times New Roman" w:cs="Times New Roman"/>
          <w:color w:val="000000"/>
          <w:sz w:val="24"/>
          <w:szCs w:val="24"/>
        </w:rPr>
      </w:pPr>
      <w:r w:rsidRPr="00D15480">
        <w:rPr>
          <w:rFonts w:ascii="Times New Roman" w:eastAsia="Times New Roman" w:hAnsi="Times New Roman" w:cs="Times New Roman"/>
          <w:color w:val="000000"/>
          <w:sz w:val="24"/>
          <w:szCs w:val="24"/>
        </w:rPr>
        <w:t>ISO 50001 or EMAS certificate or another certificate confirming implementation of an energy management system;</w:t>
      </w:r>
    </w:p>
    <w:p w14:paraId="46E0CF18" w14:textId="612714F7" w:rsidR="008B448D" w:rsidRPr="00D15480" w:rsidRDefault="008B448D" w:rsidP="00C63112">
      <w:pPr>
        <w:numPr>
          <w:ilvl w:val="0"/>
          <w:numId w:val="1"/>
        </w:numPr>
        <w:pBdr>
          <w:top w:val="nil"/>
          <w:left w:val="nil"/>
          <w:bottom w:val="nil"/>
          <w:right w:val="nil"/>
          <w:between w:val="nil"/>
        </w:pBdr>
        <w:spacing w:line="276" w:lineRule="auto"/>
        <w:ind w:left="782" w:hanging="357"/>
        <w:jc w:val="both"/>
        <w:rPr>
          <w:rFonts w:ascii="Times New Roman" w:eastAsia="Times New Roman" w:hAnsi="Times New Roman" w:cs="Times New Roman"/>
          <w:color w:val="000000"/>
          <w:sz w:val="24"/>
          <w:szCs w:val="24"/>
        </w:rPr>
      </w:pPr>
      <w:r w:rsidRPr="00D15480">
        <w:rPr>
          <w:rFonts w:ascii="Times New Roman" w:eastAsia="Times New Roman" w:hAnsi="Times New Roman" w:cs="Times New Roman"/>
          <w:color w:val="000000"/>
          <w:sz w:val="24"/>
          <w:szCs w:val="24"/>
        </w:rPr>
        <w:t>Documents confirming the legal form of the Applicant</w:t>
      </w:r>
    </w:p>
    <w:p w14:paraId="39759AC5" w14:textId="77777777" w:rsidR="008B448D" w:rsidRPr="00D15480" w:rsidRDefault="008B448D" w:rsidP="00C63112">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rPr>
      </w:pPr>
      <w:r w:rsidRPr="00D15480">
        <w:rPr>
          <w:rFonts w:ascii="Times New Roman" w:eastAsia="Times New Roman" w:hAnsi="Times New Roman" w:cs="Times New Roman"/>
          <w:color w:val="000000"/>
          <w:sz w:val="24"/>
          <w:szCs w:val="24"/>
        </w:rPr>
        <w:t>Documents confirming authorisation of the Applicant’s representatives;</w:t>
      </w:r>
    </w:p>
    <w:p w14:paraId="6FBF433E" w14:textId="77777777" w:rsidR="008B448D" w:rsidRPr="00D15480" w:rsidRDefault="008B448D" w:rsidP="00C63112">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rPr>
      </w:pPr>
      <w:r w:rsidRPr="00D15480">
        <w:rPr>
          <w:rFonts w:ascii="Times New Roman" w:eastAsia="Times New Roman" w:hAnsi="Times New Roman" w:cs="Times New Roman"/>
          <w:color w:val="000000"/>
          <w:sz w:val="24"/>
          <w:szCs w:val="24"/>
        </w:rPr>
        <w:t>Financial documentation, based on the legal form of the Applicant and the form of their financial reporting;</w:t>
      </w:r>
    </w:p>
    <w:p w14:paraId="2029A74B" w14:textId="148F1B96" w:rsidR="0031224B" w:rsidRPr="00D15480" w:rsidRDefault="008B448D" w:rsidP="00C63112">
      <w:pPr>
        <w:numPr>
          <w:ilvl w:val="0"/>
          <w:numId w:val="1"/>
        </w:numPr>
        <w:pBdr>
          <w:top w:val="nil"/>
          <w:left w:val="nil"/>
          <w:bottom w:val="nil"/>
          <w:right w:val="nil"/>
          <w:between w:val="nil"/>
        </w:pBdr>
        <w:spacing w:line="276" w:lineRule="auto"/>
        <w:ind w:left="782" w:hanging="357"/>
        <w:jc w:val="both"/>
        <w:rPr>
          <w:rFonts w:ascii="Times New Roman" w:eastAsia="Times New Roman" w:hAnsi="Times New Roman" w:cs="Times New Roman"/>
          <w:color w:val="000000"/>
          <w:sz w:val="24"/>
          <w:szCs w:val="24"/>
        </w:rPr>
      </w:pPr>
      <w:r w:rsidRPr="00D15480">
        <w:rPr>
          <w:rFonts w:ascii="Times New Roman" w:eastAsia="Times New Roman" w:hAnsi="Times New Roman" w:cs="Times New Roman"/>
          <w:color w:val="000000"/>
          <w:sz w:val="24"/>
          <w:szCs w:val="24"/>
        </w:rPr>
        <w:t>Documents confirming the balance of sources of funding for the project (based on the legal form of the Applicant and the financing source, the Applicant shall present documentation confirming full balance of the sources of funding)</w:t>
      </w:r>
    </w:p>
    <w:p w14:paraId="146F7948" w14:textId="2DEAB401" w:rsidR="0031224B" w:rsidRPr="00D15480" w:rsidRDefault="00915CAB" w:rsidP="00C63112">
      <w:pPr>
        <w:numPr>
          <w:ilvl w:val="0"/>
          <w:numId w:val="1"/>
        </w:numPr>
        <w:pBdr>
          <w:top w:val="nil"/>
          <w:left w:val="nil"/>
          <w:bottom w:val="nil"/>
          <w:right w:val="nil"/>
          <w:between w:val="nil"/>
        </w:pBdr>
        <w:spacing w:line="276" w:lineRule="auto"/>
        <w:ind w:left="782" w:hanging="357"/>
        <w:jc w:val="both"/>
        <w:rPr>
          <w:rFonts w:ascii="Times New Roman" w:eastAsia="Times New Roman" w:hAnsi="Times New Roman" w:cs="Times New Roman"/>
          <w:color w:val="000000"/>
        </w:rPr>
      </w:pPr>
      <w:r w:rsidRPr="00D15480">
        <w:rPr>
          <w:rFonts w:ascii="Times New Roman" w:eastAsia="Times New Roman" w:hAnsi="Times New Roman" w:cs="Times New Roman"/>
          <w:color w:val="000000"/>
          <w:sz w:val="24"/>
          <w:szCs w:val="24"/>
        </w:rPr>
        <w:t>Attachments adequate for info-promo activities in accordance with appendix 3 to the Regulation on the  implementation of the EEA Grants 2014–2021 and the Norway Grants 2014-202, such as: c</w:t>
      </w:r>
      <w:r w:rsidR="00662273" w:rsidRPr="00D15480">
        <w:rPr>
          <w:rFonts w:ascii="Times New Roman" w:eastAsia="Times New Roman" w:hAnsi="Times New Roman" w:cs="Times New Roman"/>
          <w:color w:val="000000"/>
          <w:sz w:val="24"/>
          <w:szCs w:val="24"/>
        </w:rPr>
        <w:t>ommunication</w:t>
      </w:r>
      <w:r w:rsidR="008D3222" w:rsidRPr="00D15480">
        <w:rPr>
          <w:rFonts w:ascii="Times New Roman" w:eastAsia="Times New Roman" w:hAnsi="Times New Roman" w:cs="Times New Roman"/>
          <w:color w:val="000000"/>
          <w:sz w:val="24"/>
          <w:szCs w:val="24"/>
        </w:rPr>
        <w:t xml:space="preserve"> Plan</w:t>
      </w:r>
      <w:r w:rsidR="00662273" w:rsidRPr="00D15480">
        <w:rPr>
          <w:rFonts w:ascii="Times New Roman" w:eastAsia="Times New Roman" w:hAnsi="Times New Roman" w:cs="Times New Roman"/>
          <w:color w:val="000000"/>
          <w:sz w:val="24"/>
          <w:szCs w:val="24"/>
        </w:rPr>
        <w:t xml:space="preserve"> of the project,</w:t>
      </w:r>
      <w:r w:rsidR="0031224B" w:rsidRPr="00D15480">
        <w:rPr>
          <w:rFonts w:ascii="Times New Roman" w:eastAsia="Times New Roman" w:hAnsi="Times New Roman" w:cs="Times New Roman"/>
          <w:color w:val="000000"/>
          <w:sz w:val="24"/>
          <w:szCs w:val="24"/>
        </w:rPr>
        <w:t xml:space="preserve"> w</w:t>
      </w:r>
      <w:r w:rsidR="00662273" w:rsidRPr="00D15480">
        <w:rPr>
          <w:rFonts w:ascii="Times New Roman" w:eastAsia="Times New Roman" w:hAnsi="Times New Roman" w:cs="Times New Roman"/>
          <w:color w:val="000000"/>
          <w:sz w:val="24"/>
          <w:szCs w:val="24"/>
        </w:rPr>
        <w:t>ebsite of the project – graphic concept and navigation chart</w:t>
      </w:r>
      <w:r w:rsidR="0031224B" w:rsidRPr="00D15480">
        <w:rPr>
          <w:rFonts w:ascii="Times New Roman" w:eastAsia="Times New Roman" w:hAnsi="Times New Roman" w:cs="Times New Roman"/>
          <w:color w:val="000000"/>
          <w:sz w:val="24"/>
          <w:szCs w:val="24"/>
        </w:rPr>
        <w:t>, s</w:t>
      </w:r>
      <w:r w:rsidR="00662273" w:rsidRPr="00D15480">
        <w:rPr>
          <w:rFonts w:ascii="Times New Roman" w:eastAsia="Times New Roman" w:hAnsi="Times New Roman" w:cs="Times New Roman"/>
          <w:color w:val="000000"/>
          <w:sz w:val="24"/>
          <w:szCs w:val="24"/>
        </w:rPr>
        <w:t>chedule of trainings, workshops, conferences, events and festivals, along with their planned duration and range of topics (where applicable);</w:t>
      </w:r>
    </w:p>
    <w:p w14:paraId="6F6D11B8" w14:textId="77777777" w:rsidR="00D15480" w:rsidRPr="00D15480" w:rsidRDefault="0031224B" w:rsidP="00C63112">
      <w:pPr>
        <w:numPr>
          <w:ilvl w:val="0"/>
          <w:numId w:val="1"/>
        </w:numPr>
        <w:pBdr>
          <w:top w:val="nil"/>
          <w:left w:val="nil"/>
          <w:bottom w:val="nil"/>
          <w:right w:val="nil"/>
          <w:between w:val="nil"/>
        </w:pBdr>
        <w:spacing w:line="276" w:lineRule="auto"/>
        <w:ind w:left="782" w:hanging="357"/>
        <w:jc w:val="both"/>
        <w:rPr>
          <w:rFonts w:ascii="Times New Roman" w:eastAsia="Times New Roman" w:hAnsi="Times New Roman" w:cs="Times New Roman"/>
          <w:color w:val="000000"/>
          <w:sz w:val="24"/>
          <w:szCs w:val="24"/>
        </w:rPr>
      </w:pPr>
      <w:r w:rsidRPr="00D15480">
        <w:rPr>
          <w:rFonts w:ascii="Times New Roman" w:eastAsia="Times New Roman" w:hAnsi="Times New Roman" w:cs="Times New Roman"/>
          <w:color w:val="000000"/>
          <w:sz w:val="24"/>
          <w:szCs w:val="24"/>
        </w:rPr>
        <w:lastRenderedPageBreak/>
        <w:t>Attachments adequate for rising awareness on activities focused on energy efficiency, such as: o</w:t>
      </w:r>
      <w:r w:rsidR="00662273" w:rsidRPr="00D15480">
        <w:rPr>
          <w:rFonts w:ascii="Times New Roman" w:eastAsia="Times New Roman" w:hAnsi="Times New Roman" w:cs="Times New Roman"/>
          <w:color w:val="000000"/>
          <w:sz w:val="24"/>
          <w:szCs w:val="24"/>
        </w:rPr>
        <w:t xml:space="preserve">utlines of planned </w:t>
      </w:r>
      <w:r w:rsidRPr="00D15480">
        <w:rPr>
          <w:rFonts w:ascii="Times New Roman" w:eastAsia="Times New Roman" w:hAnsi="Times New Roman" w:cs="Times New Roman"/>
          <w:color w:val="000000"/>
          <w:sz w:val="24"/>
          <w:szCs w:val="24"/>
        </w:rPr>
        <w:t xml:space="preserve">trainings, workshops, seminars, conferences, events, festivals </w:t>
      </w:r>
      <w:r w:rsidRPr="00D15480">
        <w:rPr>
          <w:rFonts w:ascii="Times New Roman" w:hAnsi="Times New Roman" w:cs="Times New Roman"/>
          <w:color w:val="000000"/>
          <w:sz w:val="24"/>
          <w:szCs w:val="24"/>
        </w:rPr>
        <w:t>along with their duration and thematic scope,</w:t>
      </w:r>
      <w:r w:rsidRPr="00D15480">
        <w:rPr>
          <w:rFonts w:ascii="Times New Roman" w:eastAsia="Times New Roman" w:hAnsi="Times New Roman" w:cs="Times New Roman"/>
          <w:color w:val="000000"/>
          <w:sz w:val="24"/>
          <w:szCs w:val="24"/>
        </w:rPr>
        <w:t xml:space="preserve"> </w:t>
      </w:r>
      <w:r w:rsidR="00662273" w:rsidRPr="00D15480">
        <w:rPr>
          <w:rFonts w:ascii="Times New Roman" w:eastAsia="Times New Roman" w:hAnsi="Times New Roman" w:cs="Times New Roman"/>
          <w:color w:val="000000"/>
          <w:sz w:val="24"/>
          <w:szCs w:val="24"/>
        </w:rPr>
        <w:t>campaigns, publications, brochures, etc. (including technical parameters)  (where applicable)</w:t>
      </w:r>
      <w:r w:rsidRPr="00D15480">
        <w:rPr>
          <w:rFonts w:ascii="Times New Roman" w:eastAsia="Times New Roman" w:hAnsi="Times New Roman" w:cs="Times New Roman"/>
          <w:color w:val="000000"/>
          <w:sz w:val="24"/>
          <w:szCs w:val="24"/>
        </w:rPr>
        <w:t>, s</w:t>
      </w:r>
      <w:r w:rsidR="00662273" w:rsidRPr="00D15480">
        <w:rPr>
          <w:rFonts w:ascii="Times New Roman" w:eastAsia="Times New Roman" w:hAnsi="Times New Roman" w:cs="Times New Roman"/>
          <w:color w:val="000000"/>
          <w:sz w:val="24"/>
          <w:szCs w:val="24"/>
        </w:rPr>
        <w:t>creenplay summary for a TV/radio programme, etc. (including technical parameters and estimated expenditures for one episode) (where applicable)</w:t>
      </w:r>
      <w:r w:rsidRPr="00D15480">
        <w:rPr>
          <w:rFonts w:ascii="Times New Roman" w:eastAsia="Times New Roman" w:hAnsi="Times New Roman" w:cs="Times New Roman"/>
          <w:color w:val="000000"/>
          <w:sz w:val="24"/>
          <w:szCs w:val="24"/>
        </w:rPr>
        <w:t xml:space="preserve">, </w:t>
      </w:r>
    </w:p>
    <w:p w14:paraId="6C697358" w14:textId="651720BD" w:rsidR="008B448D" w:rsidRPr="00D15480" w:rsidRDefault="00D15480" w:rsidP="0095529A">
      <w:pPr>
        <w:pStyle w:val="Akapitzlist"/>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D15480">
        <w:rPr>
          <w:rFonts w:ascii="Times New Roman" w:eastAsia="Times New Roman" w:hAnsi="Times New Roman" w:cs="Times New Roman"/>
          <w:color w:val="000000"/>
          <w:sz w:val="24"/>
          <w:szCs w:val="24"/>
        </w:rPr>
        <w:t>O</w:t>
      </w:r>
      <w:r w:rsidR="00662273" w:rsidRPr="00D15480">
        <w:rPr>
          <w:rFonts w:ascii="Times New Roman" w:eastAsia="Times New Roman" w:hAnsi="Times New Roman" w:cs="Times New Roman"/>
          <w:color w:val="000000"/>
          <w:sz w:val="24"/>
          <w:szCs w:val="24"/>
        </w:rPr>
        <w:t xml:space="preserve">ther documents, submission of which by the </w:t>
      </w:r>
      <w:r w:rsidR="0031224B" w:rsidRPr="00D15480">
        <w:rPr>
          <w:rFonts w:ascii="Times New Roman" w:eastAsia="Times New Roman" w:hAnsi="Times New Roman" w:cs="Times New Roman"/>
          <w:color w:val="000000"/>
          <w:sz w:val="24"/>
          <w:szCs w:val="24"/>
        </w:rPr>
        <w:t>A</w:t>
      </w:r>
      <w:r w:rsidR="00662273" w:rsidRPr="00D15480">
        <w:rPr>
          <w:rFonts w:ascii="Times New Roman" w:eastAsia="Times New Roman" w:hAnsi="Times New Roman" w:cs="Times New Roman"/>
          <w:color w:val="000000"/>
          <w:sz w:val="24"/>
          <w:szCs w:val="24"/>
        </w:rPr>
        <w:t>pplicant is deemed necessary.</w:t>
      </w:r>
    </w:p>
    <w:p w14:paraId="247AF526" w14:textId="77777777" w:rsidR="003506A5" w:rsidRDefault="003506A5" w:rsidP="00A00C80">
      <w:pPr>
        <w:ind w:left="786"/>
        <w:jc w:val="both"/>
        <w:rPr>
          <w:rFonts w:ascii="Times New Roman" w:eastAsia="Times New Roman" w:hAnsi="Times New Roman" w:cs="Times New Roman"/>
          <w:b/>
          <w:bCs/>
          <w:sz w:val="24"/>
          <w:szCs w:val="24"/>
        </w:rPr>
      </w:pPr>
    </w:p>
    <w:p w14:paraId="1C1B8827" w14:textId="77777777" w:rsidR="003506A5" w:rsidRPr="00A00C80" w:rsidRDefault="003506A5" w:rsidP="00A00C80">
      <w:pPr>
        <w:jc w:val="both"/>
        <w:rPr>
          <w:rFonts w:ascii="Times New Roman" w:eastAsia="Times New Roman" w:hAnsi="Times New Roman" w:cs="Times New Roman"/>
          <w:b/>
          <w:bCs/>
          <w:sz w:val="24"/>
          <w:szCs w:val="24"/>
        </w:rPr>
      </w:pPr>
      <w:r w:rsidRPr="00A00C80">
        <w:rPr>
          <w:rFonts w:ascii="Times New Roman" w:eastAsia="Times New Roman" w:hAnsi="Times New Roman" w:cs="Times New Roman"/>
          <w:b/>
          <w:bCs/>
          <w:sz w:val="24"/>
          <w:szCs w:val="24"/>
        </w:rPr>
        <w:t>In accordance with Article 7.3 of the Regulation on the implementation of the EEA Financial Mechanism 2014-2021, the grant application should include information regarding all consultants involved in the preparation of the application.</w:t>
      </w:r>
    </w:p>
    <w:p w14:paraId="0DE5F9FD" w14:textId="77777777" w:rsidR="005A7C1E" w:rsidRDefault="005A7C1E" w:rsidP="008B448D">
      <w:pPr>
        <w:pBdr>
          <w:top w:val="nil"/>
          <w:left w:val="nil"/>
          <w:bottom w:val="nil"/>
          <w:right w:val="nil"/>
          <w:between w:val="nil"/>
        </w:pBdr>
        <w:spacing w:before="120" w:line="276" w:lineRule="auto"/>
        <w:jc w:val="both"/>
        <w:rPr>
          <w:rFonts w:ascii="Times New Roman" w:eastAsia="Times New Roman" w:hAnsi="Times New Roman" w:cs="Times New Roman"/>
          <w:color w:val="000000"/>
          <w:sz w:val="24"/>
          <w:szCs w:val="24"/>
        </w:rPr>
      </w:pPr>
    </w:p>
    <w:p w14:paraId="4AB416A8" w14:textId="77777777" w:rsidR="005A7C1E" w:rsidRDefault="00662273" w:rsidP="008B448D">
      <w:pPr>
        <w:numPr>
          <w:ilvl w:val="0"/>
          <w:numId w:val="8"/>
        </w:numPr>
        <w:pBdr>
          <w:top w:val="nil"/>
          <w:left w:val="nil"/>
          <w:bottom w:val="nil"/>
          <w:right w:val="nil"/>
          <w:between w:val="nil"/>
        </w:pBdr>
        <w:spacing w:before="12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Language of an application grant</w:t>
      </w:r>
    </w:p>
    <w:p w14:paraId="79D60A43" w14:textId="77777777" w:rsidR="005A7C1E" w:rsidRDefault="00662273" w:rsidP="008B448D">
      <w:pPr>
        <w:pBdr>
          <w:top w:val="nil"/>
          <w:left w:val="nil"/>
          <w:bottom w:val="nil"/>
          <w:right w:val="nil"/>
          <w:between w:val="nil"/>
        </w:pBdr>
        <w:spacing w:before="12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Grant applications</w:t>
      </w:r>
      <w:r>
        <w:rPr>
          <w:rFonts w:ascii="Times New Roman" w:eastAsia="Times New Roman" w:hAnsi="Times New Roman" w:cs="Times New Roman"/>
          <w:color w:val="000000"/>
          <w:sz w:val="24"/>
          <w:szCs w:val="24"/>
        </w:rPr>
        <w:t>, along with attachments, shall be submitted in the Polish language. In addition, the following shall be submitted in the English language:</w:t>
      </w:r>
    </w:p>
    <w:p w14:paraId="2354A760" w14:textId="77777777" w:rsidR="005A7C1E" w:rsidRDefault="00662273">
      <w:pPr>
        <w:numPr>
          <w:ilvl w:val="0"/>
          <w:numId w:val="7"/>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a letter of intent, a partnership agreement or other proof of cooperation between partners (in the case of partnership projects with foreign entities, particularly, those from the Donor States);</w:t>
      </w:r>
    </w:p>
    <w:p w14:paraId="01A5CB3F" w14:textId="77777777" w:rsidR="005A7C1E" w:rsidRDefault="00662273">
      <w:pPr>
        <w:numPr>
          <w:ilvl w:val="0"/>
          <w:numId w:val="7"/>
        </w:numPr>
        <w:pBdr>
          <w:top w:val="nil"/>
          <w:left w:val="nil"/>
          <w:bottom w:val="nil"/>
          <w:right w:val="nil"/>
          <w:between w:val="nil"/>
        </w:pBdr>
        <w:spacing w:before="120"/>
        <w:jc w:val="both"/>
        <w:rPr>
          <w:color w:val="000000"/>
          <w:sz w:val="24"/>
          <w:szCs w:val="24"/>
        </w:rPr>
      </w:pPr>
      <w:r>
        <w:rPr>
          <w:rFonts w:ascii="Times New Roman" w:eastAsia="Times New Roman" w:hAnsi="Times New Roman" w:cs="Times New Roman"/>
          <w:color w:val="000000"/>
          <w:sz w:val="24"/>
          <w:szCs w:val="24"/>
        </w:rPr>
        <w:t>a brief summary description of the  project, along with the justification of the need  to implement the project and the roles of partners (included in a grant application -  in the Summary tab).</w:t>
      </w:r>
    </w:p>
    <w:p w14:paraId="5072DA4C" w14:textId="4869381E" w:rsidR="005A7C1E" w:rsidRDefault="005A7C1E">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p>
    <w:p w14:paraId="612D681B" w14:textId="77777777" w:rsidR="005A7C1E" w:rsidRDefault="00662273">
      <w:pPr>
        <w:numPr>
          <w:ilvl w:val="0"/>
          <w:numId w:val="8"/>
        </w:numPr>
        <w:pBdr>
          <w:top w:val="nil"/>
          <w:left w:val="nil"/>
          <w:bottom w:val="nil"/>
          <w:right w:val="nil"/>
          <w:between w:val="nil"/>
        </w:pBdr>
        <w:spacing w:before="12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Contact with the Programme Operator</w:t>
      </w:r>
    </w:p>
    <w:p w14:paraId="25FFB897" w14:textId="77777777" w:rsidR="005A7C1E" w:rsidRDefault="00662273">
      <w:pPr>
        <w:pBdr>
          <w:top w:val="nil"/>
          <w:left w:val="nil"/>
          <w:bottom w:val="nil"/>
          <w:right w:val="nil"/>
          <w:between w:val="nil"/>
        </w:pBd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queries about the Call for Proposals shall be sent to the following e-mail address:</w:t>
      </w:r>
    </w:p>
    <w:p w14:paraId="5E593818" w14:textId="77777777" w:rsidR="005A7C1E" w:rsidRDefault="0066227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National Fund for Environmental Protection and Water Management</w:t>
      </w:r>
    </w:p>
    <w:p w14:paraId="1FC9D640" w14:textId="63068AD8"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bookmarkStart w:id="8" w:name="_1t3h5sf" w:colFirst="0" w:colLast="0"/>
      <w:bookmarkEnd w:id="8"/>
      <w:r>
        <w:rPr>
          <w:rFonts w:ascii="Times New Roman" w:eastAsia="Times New Roman" w:hAnsi="Times New Roman" w:cs="Times New Roman"/>
          <w:color w:val="000000"/>
          <w:sz w:val="24"/>
          <w:szCs w:val="24"/>
        </w:rPr>
        <w:t xml:space="preserve">e-mail: </w:t>
      </w:r>
      <w:r w:rsidR="002134DA" w:rsidRPr="002134DA">
        <w:rPr>
          <w:rFonts w:ascii="Times New Roman" w:eastAsia="Times New Roman" w:hAnsi="Times New Roman" w:cs="Times New Roman"/>
          <w:color w:val="000000"/>
          <w:sz w:val="24"/>
          <w:szCs w:val="24"/>
        </w:rPr>
        <w:t>mfeog_</w:t>
      </w:r>
      <w:r w:rsidR="00443AD6">
        <w:rPr>
          <w:rFonts w:ascii="Times New Roman" w:eastAsia="Times New Roman" w:hAnsi="Times New Roman" w:cs="Times New Roman"/>
          <w:color w:val="000000"/>
          <w:sz w:val="24"/>
          <w:szCs w:val="24"/>
        </w:rPr>
        <w:t>energia</w:t>
      </w:r>
      <w:r w:rsidR="002134DA" w:rsidRPr="002134DA">
        <w:rPr>
          <w:rFonts w:ascii="Times New Roman" w:eastAsia="Times New Roman" w:hAnsi="Times New Roman" w:cs="Times New Roman"/>
          <w:color w:val="000000"/>
          <w:sz w:val="24"/>
          <w:szCs w:val="24"/>
        </w:rPr>
        <w:t>@nfosigw.gov.pl</w:t>
      </w:r>
    </w:p>
    <w:p w14:paraId="1D2D0D73"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Ministry of Climate</w:t>
      </w:r>
    </w:p>
    <w:p w14:paraId="6469B118"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hyperlink r:id="rId18">
        <w:r>
          <w:rPr>
            <w:rFonts w:ascii="Times New Roman" w:eastAsia="Times New Roman" w:hAnsi="Times New Roman" w:cs="Times New Roman"/>
            <w:color w:val="0000FF"/>
            <w:sz w:val="24"/>
            <w:szCs w:val="24"/>
            <w:u w:val="single"/>
          </w:rPr>
          <w:t>mfeog@klimat.gov.pl</w:t>
        </w:r>
      </w:hyperlink>
    </w:p>
    <w:p w14:paraId="45BBC806" w14:textId="77777777" w:rsidR="005A7C1E" w:rsidRDefault="00662273">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Questions shall be answered as soon as possible, but at the latest within 7 working days.</w:t>
      </w:r>
    </w:p>
    <w:p w14:paraId="4FF57402" w14:textId="77777777" w:rsidR="005A7C1E" w:rsidRDefault="005A7C1E">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p>
    <w:p w14:paraId="167044CD" w14:textId="77777777" w:rsidR="005A7C1E" w:rsidRDefault="006622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Reporting irregularities:</w:t>
      </w:r>
    </w:p>
    <w:p w14:paraId="442ED8D2" w14:textId="22728F88" w:rsidR="005A7C1E" w:rsidRDefault="00662273" w:rsidP="00AD318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Citizens who have suspicions of maladministration and corruption in relation to the Financial Mechanisms may report them to the Financial Mechanism Office, the National Focal Point and other relevant institutions </w:t>
      </w:r>
      <w:r w:rsidR="00443AD6" w:rsidRPr="00443AD6">
        <w:rPr>
          <w:rFonts w:ascii="Times New Roman" w:eastAsia="Times New Roman" w:hAnsi="Times New Roman" w:cs="Times New Roman"/>
          <w:sz w:val="24"/>
          <w:szCs w:val="24"/>
          <w:lang w:val="en"/>
        </w:rPr>
        <w:t xml:space="preserve">listed on </w:t>
      </w:r>
      <w:hyperlink r:id="rId19" w:history="1">
        <w:r w:rsidR="00443AD6" w:rsidRPr="00443AD6">
          <w:rPr>
            <w:rFonts w:ascii="Times New Roman" w:eastAsia="Times New Roman" w:hAnsi="Times New Roman" w:cs="Times New Roman"/>
            <w:color w:val="0000FF"/>
            <w:sz w:val="24"/>
            <w:szCs w:val="24"/>
            <w:u w:val="single"/>
            <w:lang w:val="en"/>
          </w:rPr>
          <w:t>the EEA Grants website.</w:t>
        </w:r>
      </w:hyperlink>
      <w:r w:rsidR="00443AD6" w:rsidRPr="00443AD6">
        <w:rPr>
          <w:rFonts w:ascii="Times New Roman" w:eastAsia="Times New Roman" w:hAnsi="Times New Roman" w:cs="Times New Roman"/>
          <w:sz w:val="24"/>
          <w:szCs w:val="24"/>
          <w:lang w:val="en"/>
        </w:rPr>
        <w:t xml:space="preserve"> </w:t>
      </w:r>
    </w:p>
    <w:sectPr w:rsidR="005A7C1E">
      <w:footerReference w:type="even" r:id="rId20"/>
      <w:footerReference w:type="default" r:id="rId21"/>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D2399" w16cid:durableId="21F4BFDB"/>
  <w16cid:commentId w16cid:paraId="570FACB2" w16cid:durableId="21F4BFDC"/>
  <w16cid:commentId w16cid:paraId="5440BEAA" w16cid:durableId="21EF767E"/>
  <w16cid:commentId w16cid:paraId="40012DEC" w16cid:durableId="21EF767F"/>
  <w16cid:commentId w16cid:paraId="0629023D" w16cid:durableId="21F4BFDF"/>
  <w16cid:commentId w16cid:paraId="5D775483" w16cid:durableId="21EF7680"/>
  <w16cid:commentId w16cid:paraId="108C75B7" w16cid:durableId="21EF7681"/>
  <w16cid:commentId w16cid:paraId="222BA8D7" w16cid:durableId="21F4BFE2"/>
  <w16cid:commentId w16cid:paraId="45F20739" w16cid:durableId="21EF7682"/>
  <w16cid:commentId w16cid:paraId="64C77B5E" w16cid:durableId="21EF7683"/>
  <w16cid:commentId w16cid:paraId="6F3F4549" w16cid:durableId="21F4BFE5"/>
  <w16cid:commentId w16cid:paraId="710BE32E" w16cid:durableId="21EF7684"/>
  <w16cid:commentId w16cid:paraId="59CF88D9" w16cid:durableId="21F4BFE7"/>
  <w16cid:commentId w16cid:paraId="701754DE" w16cid:durableId="21EF7685"/>
  <w16cid:commentId w16cid:paraId="522CE001" w16cid:durableId="21F4BFE9"/>
  <w16cid:commentId w16cid:paraId="4A1FBDE9" w16cid:durableId="21EF7686"/>
  <w16cid:commentId w16cid:paraId="1A4CFE0B" w16cid:durableId="21F4BFEB"/>
  <w16cid:commentId w16cid:paraId="63F731A1" w16cid:durableId="21EF7687"/>
  <w16cid:commentId w16cid:paraId="1C1DCA2A" w16cid:durableId="21EF7688"/>
  <w16cid:commentId w16cid:paraId="252703BA" w16cid:durableId="21F4BFEE"/>
  <w16cid:commentId w16cid:paraId="5F376149" w16cid:durableId="21F4BFEF"/>
  <w16cid:commentId w16cid:paraId="37150C40" w16cid:durableId="21F4BFF0"/>
  <w16cid:commentId w16cid:paraId="7873B147" w16cid:durableId="21F4BFF1"/>
  <w16cid:commentId w16cid:paraId="4D431097" w16cid:durableId="21EF768A"/>
  <w16cid:commentId w16cid:paraId="402E5D13" w16cid:durableId="21F4BFF3"/>
  <w16cid:commentId w16cid:paraId="4E50534E" w16cid:durableId="21EF768C"/>
  <w16cid:commentId w16cid:paraId="7AD7B81E" w16cid:durableId="21EF7696"/>
  <w16cid:commentId w16cid:paraId="7642E175" w16cid:durableId="21F4BFF6"/>
  <w16cid:commentId w16cid:paraId="7A98BEA9" w16cid:durableId="21EF768E"/>
  <w16cid:commentId w16cid:paraId="4F3B4795" w16cid:durableId="21F4BFF8"/>
  <w16cid:commentId w16cid:paraId="23438DA6" w16cid:durableId="21F4BFF9"/>
  <w16cid:commentId w16cid:paraId="459FD5EA" w16cid:durableId="21EF7690"/>
  <w16cid:commentId w16cid:paraId="4585129D" w16cid:durableId="21EF7691"/>
  <w16cid:commentId w16cid:paraId="6A9DE47B" w16cid:durableId="21F4BFFC"/>
  <w16cid:commentId w16cid:paraId="2E895013" w16cid:durableId="21EF7692"/>
  <w16cid:commentId w16cid:paraId="44164D52" w16cid:durableId="21F4BFFE"/>
  <w16cid:commentId w16cid:paraId="7C485C39" w16cid:durableId="21F4BFFF"/>
  <w16cid:commentId w16cid:paraId="64D1AEA9" w16cid:durableId="21EF7694"/>
  <w16cid:commentId w16cid:paraId="13171DF5" w16cid:durableId="21F4C001"/>
  <w16cid:commentId w16cid:paraId="040A87F9" w16cid:durableId="21F4C002"/>
  <w16cid:commentId w16cid:paraId="17F2415C" w16cid:durableId="21F4C0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6438F" w14:textId="77777777" w:rsidR="00BE079A" w:rsidRDefault="00662273">
      <w:r>
        <w:separator/>
      </w:r>
    </w:p>
  </w:endnote>
  <w:endnote w:type="continuationSeparator" w:id="0">
    <w:p w14:paraId="63A0CFE1" w14:textId="77777777" w:rsidR="00BE079A" w:rsidRDefault="0066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705DC" w14:textId="77777777" w:rsidR="005A7C1E" w:rsidRDefault="00662273">
    <w:pPr>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7C089798" w14:textId="77777777" w:rsidR="005A7C1E" w:rsidRDefault="005A7C1E">
    <w:pPr>
      <w:pBdr>
        <w:top w:val="nil"/>
        <w:left w:val="nil"/>
        <w:bottom w:val="nil"/>
        <w:right w:val="nil"/>
        <w:between w:val="nil"/>
      </w:pBdr>
      <w:ind w:right="36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7AD59" w14:textId="77777777" w:rsidR="005A7C1E" w:rsidRDefault="00662273">
    <w:pPr>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3D4C1F">
      <w:rPr>
        <w:rFonts w:ascii="Times New Roman" w:eastAsia="Times New Roman" w:hAnsi="Times New Roman" w:cs="Times New Roman"/>
        <w:noProof/>
        <w:color w:val="000000"/>
        <w:sz w:val="24"/>
        <w:szCs w:val="24"/>
      </w:rPr>
      <w:t>10</w:t>
    </w:r>
    <w:r>
      <w:rPr>
        <w:rFonts w:ascii="Times New Roman" w:eastAsia="Times New Roman" w:hAnsi="Times New Roman" w:cs="Times New Roman"/>
        <w:color w:val="000000"/>
        <w:sz w:val="24"/>
        <w:szCs w:val="24"/>
      </w:rPr>
      <w:fldChar w:fldCharType="end"/>
    </w:r>
  </w:p>
  <w:p w14:paraId="60D1F324" w14:textId="77777777" w:rsidR="005A7C1E" w:rsidRDefault="00662273">
    <w:pPr>
      <w:pBdr>
        <w:top w:val="nil"/>
        <w:left w:val="nil"/>
        <w:bottom w:val="nil"/>
        <w:right w:val="nil"/>
        <w:between w:val="nil"/>
      </w:pBdr>
      <w:ind w:right="36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pl-PL"/>
      </w:rPr>
      <w:drawing>
        <wp:inline distT="0" distB="0" distL="114300" distR="114300" wp14:anchorId="2711ADEC" wp14:editId="6C4A0914">
          <wp:extent cx="1725295" cy="7073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25295" cy="70739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7DF5A" w14:textId="77777777" w:rsidR="00BE079A" w:rsidRDefault="00662273">
      <w:r>
        <w:separator/>
      </w:r>
    </w:p>
  </w:footnote>
  <w:footnote w:type="continuationSeparator" w:id="0">
    <w:p w14:paraId="6B4D46EC" w14:textId="77777777" w:rsidR="00BE079A" w:rsidRDefault="00662273">
      <w:r>
        <w:continuationSeparator/>
      </w:r>
    </w:p>
  </w:footnote>
  <w:footnote w:id="1">
    <w:p w14:paraId="6F4B3601" w14:textId="5249BE8A" w:rsidR="005A7C1E" w:rsidRPr="00610FA7" w:rsidRDefault="00662273" w:rsidP="00610FA7">
      <w:pPr>
        <w:pStyle w:val="Tekstprzypisudolnego"/>
        <w:jc w:val="both"/>
        <w:rPr>
          <w:lang w:val="en-GB"/>
        </w:rPr>
      </w:pPr>
      <w:r>
        <w:rPr>
          <w:vertAlign w:val="superscript"/>
        </w:rPr>
        <w:footnoteRef/>
      </w:r>
      <w:r w:rsidR="007856B0" w:rsidRPr="00C63112">
        <w:rPr>
          <w:color w:val="000000"/>
          <w:lang w:val="en-US"/>
        </w:rPr>
        <w:t xml:space="preserve"> The amount of the allocation of</w:t>
      </w:r>
      <w:r w:rsidRPr="00C63112">
        <w:rPr>
          <w:color w:val="000000"/>
          <w:lang w:val="en-US"/>
        </w:rPr>
        <w:t xml:space="preserve"> the Call for Proposals given in EUR and subsequently recalculated into the national currency and expressed in PLN, using an average monthly currency exchange rate as published in the Official Journal of the European Union (the C series), </w:t>
      </w:r>
      <w:r w:rsidR="007856B0" w:rsidRPr="00C63112">
        <w:rPr>
          <w:color w:val="000000"/>
          <w:lang w:val="en-US"/>
        </w:rPr>
        <w:t>calculated</w:t>
      </w:r>
      <w:r w:rsidRPr="00C63112">
        <w:rPr>
          <w:color w:val="000000"/>
          <w:lang w:val="en-US"/>
        </w:rPr>
        <w:t xml:space="preserve"> for the last six months preceding the month when the call is announced, where EUR 1=  PLN 4</w:t>
      </w:r>
      <w:r w:rsidR="00647B30">
        <w:rPr>
          <w:color w:val="000000"/>
          <w:lang w:val="en-US"/>
        </w:rPr>
        <w:t>, 3159</w:t>
      </w:r>
      <w:r w:rsidR="00610FA7" w:rsidRPr="00610FA7">
        <w:rPr>
          <w:lang w:val="en-US"/>
        </w:rPr>
        <w:t xml:space="preserve"> </w:t>
      </w:r>
      <w:r w:rsidR="00610FA7">
        <w:rPr>
          <w:lang w:val="en-US"/>
        </w:rPr>
        <w:t>Grant a</w:t>
      </w:r>
      <w:r w:rsidR="00610FA7" w:rsidRPr="00BB780C">
        <w:rPr>
          <w:lang w:val="en-US"/>
        </w:rPr>
        <w:t>mount in PLN is ind</w:t>
      </w:r>
      <w:r w:rsidR="00610FA7">
        <w:rPr>
          <w:lang w:val="en-US"/>
        </w:rPr>
        <w:t xml:space="preserve">icative. </w:t>
      </w:r>
      <w:r w:rsidR="00610FA7" w:rsidRPr="00BB780C">
        <w:rPr>
          <w:lang w:val="en-GB"/>
        </w:rPr>
        <w:t>The grant shall be awarded in EUR, but the funds shall be paid in PLN, based on the European Commission’s monthly accounting exchange rate of the Euro (EUR/PLN) for the month in which the payment of the funds will be made.</w:t>
      </w:r>
    </w:p>
  </w:footnote>
  <w:footnote w:id="2">
    <w:p w14:paraId="3363BA60" w14:textId="530A10EA" w:rsidR="005A7C1E" w:rsidRDefault="00662273">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sidR="00647B30" w:rsidRPr="005B24D1">
        <w:rPr>
          <w:rFonts w:ascii="Times New Roman" w:hAnsi="Times New Roman" w:cs="Times New Roman"/>
        </w:rPr>
        <w:t xml:space="preserve">In line with </w:t>
      </w:r>
      <w:r w:rsidR="00647B30" w:rsidRPr="007A6723">
        <w:rPr>
          <w:rFonts w:ascii="Times New Roman" w:hAnsi="Times New Roman" w:cs="Times New Roman"/>
        </w:rPr>
        <w:t xml:space="preserve">the </w:t>
      </w:r>
      <w:hyperlink r:id="rId1" w:history="1">
        <w:r w:rsidR="00647B30" w:rsidRPr="007A6723">
          <w:rPr>
            <w:rStyle w:val="Hipercze"/>
            <w:rFonts w:ascii="Times New Roman" w:hAnsi="Times New Roman"/>
          </w:rPr>
          <w:t>Programme Agreement for the EEA Grants</w:t>
        </w:r>
      </w:hyperlink>
      <w:r w:rsidR="00647B30" w:rsidRPr="005B24D1">
        <w:rPr>
          <w:rFonts w:ascii="Times New Roman" w:hAnsi="Times New Roman" w:cs="Times New Roman"/>
        </w:rPr>
        <w:t xml:space="preserve"> Programme for “Environment, Energy and Climate Change” in Poland</w:t>
      </w:r>
    </w:p>
  </w:footnote>
  <w:footnote w:id="3">
    <w:p w14:paraId="13F1D204" w14:textId="5B8EBD04" w:rsidR="005A7C1E" w:rsidRDefault="00662273">
      <w:pPr>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The definition of </w:t>
      </w:r>
      <w:r>
        <w:rPr>
          <w:rFonts w:ascii="Times New Roman" w:eastAsia="Times New Roman" w:hAnsi="Times New Roman" w:cs="Times New Roman"/>
          <w:i/>
          <w:color w:val="000000"/>
        </w:rPr>
        <w:t xml:space="preserve">high-efficiency cogeneration </w:t>
      </w:r>
      <w:r>
        <w:rPr>
          <w:rFonts w:ascii="Times New Roman" w:eastAsia="Times New Roman" w:hAnsi="Times New Roman" w:cs="Times New Roman"/>
          <w:color w:val="000000"/>
        </w:rPr>
        <w:t>is provided in the Guide</w:t>
      </w:r>
      <w:r w:rsidR="00876860">
        <w:rPr>
          <w:rFonts w:ascii="Times New Roman" w:eastAsia="Times New Roman" w:hAnsi="Times New Roman" w:cs="Times New Roman"/>
          <w:color w:val="000000"/>
        </w:rPr>
        <w:t xml:space="preserve"> for Applicants </w:t>
      </w:r>
    </w:p>
  </w:footnote>
  <w:footnote w:id="4">
    <w:p w14:paraId="3F128E76" w14:textId="77777777" w:rsidR="005A7C1E" w:rsidRDefault="00662273">
      <w:pPr>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The source of renewable energy cannot be RDF (fuel produced from communal and/or industrial waste)</w:t>
      </w:r>
    </w:p>
  </w:footnote>
  <w:footnote w:id="5">
    <w:p w14:paraId="45F028BF" w14:textId="77777777" w:rsidR="005A7C1E" w:rsidRDefault="00662273">
      <w:pPr>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18"/>
          <w:szCs w:val="18"/>
        </w:rPr>
        <w:t>Estimated CO2 emissions savings based on emissions factors of existing sources to be replaced/modernised of approx.: 0.75 tCO2/MWh for cogeneration (output 3.2)</w:t>
      </w:r>
      <w:r w:rsidR="008A413E">
        <w:rPr>
          <w:rFonts w:ascii="Times New Roman" w:eastAsia="Times New Roman" w:hAnsi="Times New Roman" w:cs="Times New Roman"/>
          <w:color w:val="000000"/>
          <w:sz w:val="18"/>
          <w:szCs w:val="18"/>
        </w:rPr>
        <w:t>.</w:t>
      </w:r>
    </w:p>
  </w:footnote>
  <w:footnote w:id="6">
    <w:p w14:paraId="29580619" w14:textId="77777777" w:rsidR="003F22AF" w:rsidRDefault="003F22AF" w:rsidP="003F22AF">
      <w:pPr>
        <w:pBdr>
          <w:top w:val="nil"/>
          <w:left w:val="nil"/>
          <w:bottom w:val="nil"/>
          <w:right w:val="nil"/>
          <w:between w:val="nil"/>
        </w:pBdr>
        <w:jc w:val="both"/>
        <w:rPr>
          <w:rFonts w:ascii="Courier New" w:eastAsia="Courier New" w:hAnsi="Courier New" w:cs="Courier New"/>
          <w:color w:val="000000"/>
        </w:rPr>
      </w:pPr>
      <w:r>
        <w:rPr>
          <w:vertAlign w:val="superscript"/>
        </w:rPr>
        <w:footnoteRef/>
      </w:r>
      <w:r>
        <w:rPr>
          <w:rFonts w:ascii="Courier New" w:eastAsia="Courier New" w:hAnsi="Courier New" w:cs="Courier New"/>
          <w:color w:val="000000"/>
        </w:rPr>
        <w:t xml:space="preserve"> </w:t>
      </w:r>
      <w:r>
        <w:rPr>
          <w:rFonts w:ascii="Times New Roman" w:eastAsia="Times New Roman" w:hAnsi="Times New Roman" w:cs="Times New Roman"/>
          <w:color w:val="000000"/>
        </w:rPr>
        <w:t>Beneficiary States: Poland, Lithuania, Latvia, Estonia, Czech Republic, Slovakia, Hungary, Romania, Bulgaria, Greece, Malta, Cyprus, Croatia, Slovenia, Portugal.</w:t>
      </w:r>
    </w:p>
    <w:p w14:paraId="30EEB756" w14:textId="77777777" w:rsidR="003F22AF" w:rsidRDefault="003F22AF" w:rsidP="003F22AF">
      <w:pPr>
        <w:pBdr>
          <w:top w:val="nil"/>
          <w:left w:val="nil"/>
          <w:bottom w:val="nil"/>
          <w:right w:val="nil"/>
          <w:between w:val="nil"/>
        </w:pBdr>
        <w:rPr>
          <w:rFonts w:ascii="Times New Roman" w:eastAsia="Times New Roman" w:hAnsi="Times New Roman" w:cs="Times New Roman"/>
          <w:color w:val="000000"/>
        </w:rPr>
      </w:pPr>
    </w:p>
  </w:footnote>
  <w:footnote w:id="7">
    <w:p w14:paraId="2CC25409" w14:textId="77777777" w:rsidR="00610FA7" w:rsidRPr="00C63112" w:rsidRDefault="00610FA7">
      <w:pPr>
        <w:pStyle w:val="Tekstprzypisudolnego"/>
        <w:rPr>
          <w:lang w:val="en-US"/>
        </w:rPr>
      </w:pPr>
      <w:r>
        <w:rPr>
          <w:rStyle w:val="Odwoanieprzypisudolnego"/>
        </w:rPr>
        <w:footnoteRef/>
      </w:r>
      <w:r w:rsidRPr="00C63112">
        <w:rPr>
          <w:lang w:val="en-US"/>
        </w:rPr>
        <w:t xml:space="preserve"> </w:t>
      </w:r>
      <w:r>
        <w:rPr>
          <w:lang w:val="en-GB"/>
        </w:rPr>
        <w:t>A</w:t>
      </w:r>
      <w:r w:rsidRPr="00BB780C">
        <w:rPr>
          <w:lang w:val="en-US"/>
        </w:rPr>
        <w:t>mount in PLN is ind</w:t>
      </w:r>
      <w:r>
        <w:rPr>
          <w:lang w:val="en-US"/>
        </w:rPr>
        <w:t xml:space="preserve">icative. </w:t>
      </w:r>
      <w:r w:rsidRPr="00BB780C">
        <w:rPr>
          <w:lang w:val="en-GB"/>
        </w:rPr>
        <w:t>The grant shall be awarded in EUR, but the funds shall be paid in PLN, based on the European Commission’s monthly accounting exchange rate of the Euro (EUR/PLN) for the month in which the payment of the funds will be made.</w:t>
      </w:r>
    </w:p>
  </w:footnote>
  <w:footnote w:id="8">
    <w:p w14:paraId="361EAC9F" w14:textId="77777777" w:rsidR="00610FA7" w:rsidRPr="00333241" w:rsidRDefault="00610FA7">
      <w:pPr>
        <w:pStyle w:val="Tekstprzypisudolnego"/>
        <w:rPr>
          <w:lang w:val="en-US"/>
        </w:rPr>
      </w:pPr>
      <w:r>
        <w:rPr>
          <w:rStyle w:val="Odwoanieprzypisudolnego"/>
        </w:rPr>
        <w:footnoteRef/>
      </w:r>
      <w:r w:rsidRPr="00C63112">
        <w:rPr>
          <w:lang w:val="en-US"/>
        </w:rPr>
        <w:t xml:space="preserve"> </w:t>
      </w:r>
      <w:r>
        <w:rPr>
          <w:lang w:val="en-GB"/>
        </w:rPr>
        <w:t>As above</w:t>
      </w:r>
    </w:p>
  </w:footnote>
  <w:footnote w:id="9">
    <w:p w14:paraId="51D110F3" w14:textId="77777777" w:rsidR="00610FA7" w:rsidRPr="0095529A" w:rsidRDefault="00610FA7">
      <w:pPr>
        <w:pStyle w:val="Tekstprzypisudolnego"/>
        <w:rPr>
          <w:lang w:val="en-US"/>
        </w:rPr>
      </w:pPr>
      <w:r>
        <w:rPr>
          <w:rStyle w:val="Odwoanieprzypisudolnego"/>
        </w:rPr>
        <w:footnoteRef/>
      </w:r>
      <w:r w:rsidRPr="0095529A">
        <w:rPr>
          <w:lang w:val="en-US"/>
        </w:rPr>
        <w:t xml:space="preserve"> </w:t>
      </w:r>
      <w:r>
        <w:rPr>
          <w:lang w:val="en-GB"/>
        </w:rPr>
        <w:t>As above</w:t>
      </w:r>
    </w:p>
  </w:footnote>
  <w:footnote w:id="10">
    <w:p w14:paraId="00577D17" w14:textId="0D52F3D6" w:rsidR="00630236" w:rsidRPr="000E014A" w:rsidRDefault="00630236">
      <w:pPr>
        <w:pStyle w:val="Tekstprzypisudolnego"/>
        <w:rPr>
          <w:lang w:val="en-GB"/>
        </w:rPr>
      </w:pPr>
      <w:r w:rsidRPr="000E014A">
        <w:rPr>
          <w:rStyle w:val="Odwoanieprzypisudolnego"/>
        </w:rPr>
        <w:footnoteRef/>
      </w:r>
      <w:r w:rsidRPr="000E014A">
        <w:rPr>
          <w:lang w:val="en-GB"/>
        </w:rPr>
        <w:t xml:space="preserve"> In case of this call the interim payments in pre financing instalments are also considered advance payments</w:t>
      </w:r>
    </w:p>
  </w:footnote>
  <w:footnote w:id="11">
    <w:p w14:paraId="6324874B" w14:textId="77777777" w:rsidR="00443AD6" w:rsidRPr="00336B50" w:rsidRDefault="00443AD6" w:rsidP="00443AD6">
      <w:pPr>
        <w:pStyle w:val="Tekstprzypisudolnego"/>
        <w:rPr>
          <w:lang w:val="en-US"/>
        </w:rPr>
      </w:pPr>
      <w:r>
        <w:rPr>
          <w:rStyle w:val="Odwoanieprzypisudolnego"/>
        </w:rPr>
        <w:footnoteRef/>
      </w:r>
      <w:r w:rsidRPr="00336B50">
        <w:rPr>
          <w:lang w:val="en-US"/>
        </w:rPr>
        <w:t xml:space="preserve"> Preparing the application in the GAG will be possible from the opening date for receiving applications.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038B"/>
    <w:multiLevelType w:val="hybridMultilevel"/>
    <w:tmpl w:val="4E0441F0"/>
    <w:lvl w:ilvl="0" w:tplc="0415000F">
      <w:start w:val="1"/>
      <w:numFmt w:val="decimal"/>
      <w:lvlText w:val="%1."/>
      <w:lvlJc w:val="left"/>
      <w:pPr>
        <w:tabs>
          <w:tab w:val="num" w:pos="847"/>
        </w:tabs>
        <w:ind w:left="847" w:hanging="705"/>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F02C62F2">
      <w:start w:val="1"/>
      <w:numFmt w:val="bullet"/>
      <w:lvlText w:val=""/>
      <w:lvlJc w:val="left"/>
      <w:pPr>
        <w:tabs>
          <w:tab w:val="num" w:pos="2337"/>
        </w:tabs>
        <w:ind w:left="2337" w:hanging="357"/>
      </w:pPr>
      <w:rPr>
        <w:rFonts w:ascii="Symbol" w:hAnsi="Symbol" w:hint="default"/>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2247B9"/>
    <w:multiLevelType w:val="multilevel"/>
    <w:tmpl w:val="20BAE090"/>
    <w:lvl w:ilvl="0">
      <w:start w:val="1"/>
      <w:numFmt w:val="decimal"/>
      <w:lvlText w:val="%1."/>
      <w:lvlJc w:val="left"/>
      <w:pPr>
        <w:ind w:left="1273" w:hanging="705"/>
      </w:pPr>
      <w:rPr>
        <w:b w:val="0"/>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337" w:hanging="357"/>
      </w:pPr>
      <w:rPr>
        <w:rFonts w:ascii="Noto Sans Symbols" w:eastAsia="Noto Sans Symbols" w:hAnsi="Noto Sans Symbols" w:cs="Noto Sans Symbols"/>
        <w:color w:val="00000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0E55A27"/>
    <w:multiLevelType w:val="multilevel"/>
    <w:tmpl w:val="C6ECFD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181408B"/>
    <w:multiLevelType w:val="hybridMultilevel"/>
    <w:tmpl w:val="AB0EC2A0"/>
    <w:lvl w:ilvl="0" w:tplc="0415000F">
      <w:start w:val="1"/>
      <w:numFmt w:val="decimal"/>
      <w:lvlText w:val="%1."/>
      <w:lvlJc w:val="left"/>
      <w:pPr>
        <w:ind w:left="1567" w:hanging="360"/>
      </w:pPr>
    </w:lvl>
    <w:lvl w:ilvl="1" w:tplc="04150019" w:tentative="1">
      <w:start w:val="1"/>
      <w:numFmt w:val="lowerLetter"/>
      <w:lvlText w:val="%2."/>
      <w:lvlJc w:val="left"/>
      <w:pPr>
        <w:ind w:left="2287" w:hanging="360"/>
      </w:pPr>
    </w:lvl>
    <w:lvl w:ilvl="2" w:tplc="0415001B" w:tentative="1">
      <w:start w:val="1"/>
      <w:numFmt w:val="lowerRoman"/>
      <w:lvlText w:val="%3."/>
      <w:lvlJc w:val="right"/>
      <w:pPr>
        <w:ind w:left="3007" w:hanging="180"/>
      </w:pPr>
    </w:lvl>
    <w:lvl w:ilvl="3" w:tplc="0415000F" w:tentative="1">
      <w:start w:val="1"/>
      <w:numFmt w:val="decimal"/>
      <w:lvlText w:val="%4."/>
      <w:lvlJc w:val="left"/>
      <w:pPr>
        <w:ind w:left="3727" w:hanging="360"/>
      </w:pPr>
    </w:lvl>
    <w:lvl w:ilvl="4" w:tplc="04150019" w:tentative="1">
      <w:start w:val="1"/>
      <w:numFmt w:val="lowerLetter"/>
      <w:lvlText w:val="%5."/>
      <w:lvlJc w:val="left"/>
      <w:pPr>
        <w:ind w:left="4447" w:hanging="360"/>
      </w:pPr>
    </w:lvl>
    <w:lvl w:ilvl="5" w:tplc="0415001B" w:tentative="1">
      <w:start w:val="1"/>
      <w:numFmt w:val="lowerRoman"/>
      <w:lvlText w:val="%6."/>
      <w:lvlJc w:val="right"/>
      <w:pPr>
        <w:ind w:left="5167" w:hanging="180"/>
      </w:pPr>
    </w:lvl>
    <w:lvl w:ilvl="6" w:tplc="0415000F" w:tentative="1">
      <w:start w:val="1"/>
      <w:numFmt w:val="decimal"/>
      <w:lvlText w:val="%7."/>
      <w:lvlJc w:val="left"/>
      <w:pPr>
        <w:ind w:left="5887" w:hanging="360"/>
      </w:pPr>
    </w:lvl>
    <w:lvl w:ilvl="7" w:tplc="04150019" w:tentative="1">
      <w:start w:val="1"/>
      <w:numFmt w:val="lowerLetter"/>
      <w:lvlText w:val="%8."/>
      <w:lvlJc w:val="left"/>
      <w:pPr>
        <w:ind w:left="6607" w:hanging="360"/>
      </w:pPr>
    </w:lvl>
    <w:lvl w:ilvl="8" w:tplc="0415001B" w:tentative="1">
      <w:start w:val="1"/>
      <w:numFmt w:val="lowerRoman"/>
      <w:lvlText w:val="%9."/>
      <w:lvlJc w:val="right"/>
      <w:pPr>
        <w:ind w:left="7327" w:hanging="180"/>
      </w:pPr>
    </w:lvl>
  </w:abstractNum>
  <w:abstractNum w:abstractNumId="4" w15:restartNumberingAfterBreak="0">
    <w:nsid w:val="1FAC42CC"/>
    <w:multiLevelType w:val="multilevel"/>
    <w:tmpl w:val="95A2D5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AE67156"/>
    <w:multiLevelType w:val="multilevel"/>
    <w:tmpl w:val="83BE7ED0"/>
    <w:lvl w:ilvl="0">
      <w:start w:val="1"/>
      <w:numFmt w:val="decimal"/>
      <w:lvlText w:val="%1."/>
      <w:lvlJc w:val="left"/>
      <w:pPr>
        <w:ind w:left="786" w:hanging="360"/>
      </w:pPr>
      <w:rPr>
        <w:sz w:val="22"/>
        <w:szCs w:val="22"/>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C213201"/>
    <w:multiLevelType w:val="hybridMultilevel"/>
    <w:tmpl w:val="0AE2F272"/>
    <w:lvl w:ilvl="0" w:tplc="957ADD1E">
      <w:start w:val="1"/>
      <w:numFmt w:val="decimal"/>
      <w:lvlText w:val="%1."/>
      <w:lvlJc w:val="left"/>
      <w:pPr>
        <w:tabs>
          <w:tab w:val="num" w:pos="360"/>
        </w:tabs>
        <w:ind w:left="360" w:hanging="360"/>
      </w:pPr>
      <w:rPr>
        <w:rFonts w:ascii="Times New Roman" w:eastAsia="Times New Roman" w:cs="Times New Roman"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4C40998"/>
    <w:multiLevelType w:val="multilevel"/>
    <w:tmpl w:val="8810490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 w15:restartNumberingAfterBreak="0">
    <w:nsid w:val="3E284C5E"/>
    <w:multiLevelType w:val="multilevel"/>
    <w:tmpl w:val="0896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45381"/>
    <w:multiLevelType w:val="multilevel"/>
    <w:tmpl w:val="72C098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482325BA"/>
    <w:multiLevelType w:val="multilevel"/>
    <w:tmpl w:val="273A3C6A"/>
    <w:lvl w:ilvl="0">
      <w:start w:val="1"/>
      <w:numFmt w:val="decimal"/>
      <w:lvlText w:val="%1."/>
      <w:lvlJc w:val="left"/>
      <w:pPr>
        <w:ind w:left="360" w:hanging="360"/>
      </w:pPr>
      <w:rPr>
        <w:rFonts w:ascii="Times New Roman" w:eastAsia="Times New Roman" w:hAnsi="Times New Roman" w:cs="Times New Roman"/>
        <w:b w:val="0"/>
        <w:i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AF739FA"/>
    <w:multiLevelType w:val="multilevel"/>
    <w:tmpl w:val="D1ECD1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570F11D6"/>
    <w:multiLevelType w:val="hybridMultilevel"/>
    <w:tmpl w:val="B9D6DF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9927877"/>
    <w:multiLevelType w:val="multilevel"/>
    <w:tmpl w:val="83BE7ED0"/>
    <w:lvl w:ilvl="0">
      <w:start w:val="1"/>
      <w:numFmt w:val="decimal"/>
      <w:lvlText w:val="%1."/>
      <w:lvlJc w:val="left"/>
      <w:pPr>
        <w:ind w:left="786" w:hanging="360"/>
      </w:pPr>
      <w:rPr>
        <w:sz w:val="22"/>
        <w:szCs w:val="22"/>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1456698"/>
    <w:multiLevelType w:val="hybridMultilevel"/>
    <w:tmpl w:val="27A0727C"/>
    <w:lvl w:ilvl="0" w:tplc="0415000F">
      <w:start w:val="1"/>
      <w:numFmt w:val="decimal"/>
      <w:lvlText w:val="%1."/>
      <w:lvlJc w:val="left"/>
      <w:pPr>
        <w:ind w:left="1567" w:hanging="360"/>
      </w:pPr>
    </w:lvl>
    <w:lvl w:ilvl="1" w:tplc="04150019" w:tentative="1">
      <w:start w:val="1"/>
      <w:numFmt w:val="lowerLetter"/>
      <w:lvlText w:val="%2."/>
      <w:lvlJc w:val="left"/>
      <w:pPr>
        <w:ind w:left="2287" w:hanging="360"/>
      </w:pPr>
    </w:lvl>
    <w:lvl w:ilvl="2" w:tplc="0415001B" w:tentative="1">
      <w:start w:val="1"/>
      <w:numFmt w:val="lowerRoman"/>
      <w:lvlText w:val="%3."/>
      <w:lvlJc w:val="right"/>
      <w:pPr>
        <w:ind w:left="3007" w:hanging="180"/>
      </w:pPr>
    </w:lvl>
    <w:lvl w:ilvl="3" w:tplc="0415000F" w:tentative="1">
      <w:start w:val="1"/>
      <w:numFmt w:val="decimal"/>
      <w:lvlText w:val="%4."/>
      <w:lvlJc w:val="left"/>
      <w:pPr>
        <w:ind w:left="3727" w:hanging="360"/>
      </w:pPr>
    </w:lvl>
    <w:lvl w:ilvl="4" w:tplc="04150019" w:tentative="1">
      <w:start w:val="1"/>
      <w:numFmt w:val="lowerLetter"/>
      <w:lvlText w:val="%5."/>
      <w:lvlJc w:val="left"/>
      <w:pPr>
        <w:ind w:left="4447" w:hanging="360"/>
      </w:pPr>
    </w:lvl>
    <w:lvl w:ilvl="5" w:tplc="0415001B" w:tentative="1">
      <w:start w:val="1"/>
      <w:numFmt w:val="lowerRoman"/>
      <w:lvlText w:val="%6."/>
      <w:lvlJc w:val="right"/>
      <w:pPr>
        <w:ind w:left="5167" w:hanging="180"/>
      </w:pPr>
    </w:lvl>
    <w:lvl w:ilvl="6" w:tplc="0415000F" w:tentative="1">
      <w:start w:val="1"/>
      <w:numFmt w:val="decimal"/>
      <w:lvlText w:val="%7."/>
      <w:lvlJc w:val="left"/>
      <w:pPr>
        <w:ind w:left="5887" w:hanging="360"/>
      </w:pPr>
    </w:lvl>
    <w:lvl w:ilvl="7" w:tplc="04150019" w:tentative="1">
      <w:start w:val="1"/>
      <w:numFmt w:val="lowerLetter"/>
      <w:lvlText w:val="%8."/>
      <w:lvlJc w:val="left"/>
      <w:pPr>
        <w:ind w:left="6607" w:hanging="360"/>
      </w:pPr>
    </w:lvl>
    <w:lvl w:ilvl="8" w:tplc="0415001B" w:tentative="1">
      <w:start w:val="1"/>
      <w:numFmt w:val="lowerRoman"/>
      <w:lvlText w:val="%9."/>
      <w:lvlJc w:val="right"/>
      <w:pPr>
        <w:ind w:left="7327" w:hanging="180"/>
      </w:pPr>
    </w:lvl>
  </w:abstractNum>
  <w:abstractNum w:abstractNumId="15" w15:restartNumberingAfterBreak="0">
    <w:nsid w:val="630345DE"/>
    <w:multiLevelType w:val="multilevel"/>
    <w:tmpl w:val="2DF8F47C"/>
    <w:lvl w:ilvl="0">
      <w:start w:val="1"/>
      <w:numFmt w:val="decimal"/>
      <w:lvlText w:val="%1."/>
      <w:lvlJc w:val="left"/>
      <w:pPr>
        <w:ind w:left="786" w:hanging="360"/>
      </w:pPr>
      <w:rPr>
        <w:sz w:val="22"/>
        <w:szCs w:val="22"/>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5FC3120"/>
    <w:multiLevelType w:val="hybridMultilevel"/>
    <w:tmpl w:val="C92C15AA"/>
    <w:lvl w:ilvl="0" w:tplc="CD082FB2">
      <w:start w:val="1"/>
      <w:numFmt w:val="decimal"/>
      <w:lvlText w:val="%1"/>
      <w:lvlJc w:val="left"/>
      <w:pPr>
        <w:ind w:left="1080" w:hanging="720"/>
      </w:pPr>
      <w:rPr>
        <w:rFonts w:hint="default"/>
      </w:rPr>
    </w:lvl>
    <w:lvl w:ilvl="1" w:tplc="7EECA80C">
      <w:start w:val="1"/>
      <w:numFmt w:val="lowerLetter"/>
      <w:lvlText w:val="%2."/>
      <w:lvlJc w:val="left"/>
      <w:pPr>
        <w:ind w:left="1353" w:hanging="360"/>
      </w:pPr>
      <w:rPr>
        <w:color w:val="auto"/>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6D010A8"/>
    <w:multiLevelType w:val="multilevel"/>
    <w:tmpl w:val="3AA409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3"/>
  </w:num>
  <w:num w:numId="2">
    <w:abstractNumId w:val="10"/>
  </w:num>
  <w:num w:numId="3">
    <w:abstractNumId w:val="2"/>
  </w:num>
  <w:num w:numId="4">
    <w:abstractNumId w:val="4"/>
  </w:num>
  <w:num w:numId="5">
    <w:abstractNumId w:val="9"/>
  </w:num>
  <w:num w:numId="6">
    <w:abstractNumId w:val="11"/>
  </w:num>
  <w:num w:numId="7">
    <w:abstractNumId w:val="17"/>
  </w:num>
  <w:num w:numId="8">
    <w:abstractNumId w:val="1"/>
  </w:num>
  <w:num w:numId="9">
    <w:abstractNumId w:val="7"/>
  </w:num>
  <w:num w:numId="10">
    <w:abstractNumId w:val="15"/>
  </w:num>
  <w:num w:numId="11">
    <w:abstractNumId w:val="12"/>
  </w:num>
  <w:num w:numId="12">
    <w:abstractNumId w:val="16"/>
  </w:num>
  <w:num w:numId="13">
    <w:abstractNumId w:val="5"/>
  </w:num>
  <w:num w:numId="14">
    <w:abstractNumId w:val="6"/>
  </w:num>
  <w:num w:numId="15">
    <w:abstractNumId w:val="0"/>
  </w:num>
  <w:num w:numId="16">
    <w:abstractNumId w:val="8"/>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C1E"/>
    <w:rsid w:val="0004611A"/>
    <w:rsid w:val="00075900"/>
    <w:rsid w:val="000C4E6D"/>
    <w:rsid w:val="000E014A"/>
    <w:rsid w:val="000F2869"/>
    <w:rsid w:val="001012DD"/>
    <w:rsid w:val="00140CB2"/>
    <w:rsid w:val="00172ECF"/>
    <w:rsid w:val="0018202E"/>
    <w:rsid w:val="001C3DAB"/>
    <w:rsid w:val="002069E4"/>
    <w:rsid w:val="002134DA"/>
    <w:rsid w:val="002407BB"/>
    <w:rsid w:val="002453F2"/>
    <w:rsid w:val="002611F8"/>
    <w:rsid w:val="00261E6B"/>
    <w:rsid w:val="00272907"/>
    <w:rsid w:val="002940D3"/>
    <w:rsid w:val="002A4386"/>
    <w:rsid w:val="002B0AE3"/>
    <w:rsid w:val="002B4795"/>
    <w:rsid w:val="002C12EC"/>
    <w:rsid w:val="0031224B"/>
    <w:rsid w:val="003305EA"/>
    <w:rsid w:val="00333241"/>
    <w:rsid w:val="00346D55"/>
    <w:rsid w:val="003506A5"/>
    <w:rsid w:val="00375D2D"/>
    <w:rsid w:val="003826A8"/>
    <w:rsid w:val="003D4C1F"/>
    <w:rsid w:val="003E0376"/>
    <w:rsid w:val="003F22AF"/>
    <w:rsid w:val="004115CA"/>
    <w:rsid w:val="00431CFD"/>
    <w:rsid w:val="004421D0"/>
    <w:rsid w:val="004435E6"/>
    <w:rsid w:val="00443AD6"/>
    <w:rsid w:val="00456970"/>
    <w:rsid w:val="004B3322"/>
    <w:rsid w:val="005068A1"/>
    <w:rsid w:val="00511C5F"/>
    <w:rsid w:val="00517F13"/>
    <w:rsid w:val="00533C03"/>
    <w:rsid w:val="00550331"/>
    <w:rsid w:val="00565452"/>
    <w:rsid w:val="005A7C1E"/>
    <w:rsid w:val="005B6FFB"/>
    <w:rsid w:val="005D2455"/>
    <w:rsid w:val="00610FA7"/>
    <w:rsid w:val="0062457B"/>
    <w:rsid w:val="00630236"/>
    <w:rsid w:val="00647B30"/>
    <w:rsid w:val="0065556F"/>
    <w:rsid w:val="00662273"/>
    <w:rsid w:val="0069592C"/>
    <w:rsid w:val="006B2603"/>
    <w:rsid w:val="006F384D"/>
    <w:rsid w:val="00711F1F"/>
    <w:rsid w:val="007164F3"/>
    <w:rsid w:val="00716826"/>
    <w:rsid w:val="0071728E"/>
    <w:rsid w:val="00723590"/>
    <w:rsid w:val="00730753"/>
    <w:rsid w:val="007634B6"/>
    <w:rsid w:val="007856B0"/>
    <w:rsid w:val="007D1CCD"/>
    <w:rsid w:val="007E7D8C"/>
    <w:rsid w:val="007F7BBC"/>
    <w:rsid w:val="00846FAF"/>
    <w:rsid w:val="0087491A"/>
    <w:rsid w:val="00876860"/>
    <w:rsid w:val="0087787B"/>
    <w:rsid w:val="008A413E"/>
    <w:rsid w:val="008B448D"/>
    <w:rsid w:val="008D3222"/>
    <w:rsid w:val="008D7551"/>
    <w:rsid w:val="008E3845"/>
    <w:rsid w:val="00914466"/>
    <w:rsid w:val="00915CAB"/>
    <w:rsid w:val="0095529A"/>
    <w:rsid w:val="00960915"/>
    <w:rsid w:val="009A5E57"/>
    <w:rsid w:val="009C6DA4"/>
    <w:rsid w:val="00A00C80"/>
    <w:rsid w:val="00A23A3F"/>
    <w:rsid w:val="00A54EE0"/>
    <w:rsid w:val="00A74BB1"/>
    <w:rsid w:val="00A80F78"/>
    <w:rsid w:val="00A928E3"/>
    <w:rsid w:val="00A954FA"/>
    <w:rsid w:val="00AA72E8"/>
    <w:rsid w:val="00AD318B"/>
    <w:rsid w:val="00AE013F"/>
    <w:rsid w:val="00B33121"/>
    <w:rsid w:val="00B83E83"/>
    <w:rsid w:val="00BB138B"/>
    <w:rsid w:val="00BD23E6"/>
    <w:rsid w:val="00BE079A"/>
    <w:rsid w:val="00C1515F"/>
    <w:rsid w:val="00C63112"/>
    <w:rsid w:val="00C7706F"/>
    <w:rsid w:val="00C802E8"/>
    <w:rsid w:val="00C8071E"/>
    <w:rsid w:val="00C906E4"/>
    <w:rsid w:val="00C92E65"/>
    <w:rsid w:val="00CB1A41"/>
    <w:rsid w:val="00D149E6"/>
    <w:rsid w:val="00D15480"/>
    <w:rsid w:val="00E01B08"/>
    <w:rsid w:val="00E37F77"/>
    <w:rsid w:val="00E4654B"/>
    <w:rsid w:val="00E50AC4"/>
    <w:rsid w:val="00E649B6"/>
    <w:rsid w:val="00E714A3"/>
    <w:rsid w:val="00E75FDF"/>
    <w:rsid w:val="00E77A48"/>
    <w:rsid w:val="00E900A9"/>
    <w:rsid w:val="00EC2A8D"/>
    <w:rsid w:val="00F166E6"/>
    <w:rsid w:val="00F71E10"/>
    <w:rsid w:val="00FD04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F7305"/>
  <w15:docId w15:val="{9D52289F-8954-4062-860B-25174093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GB"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Tekstdymka">
    <w:name w:val="Balloon Text"/>
    <w:basedOn w:val="Normalny"/>
    <w:link w:val="TekstdymkaZnak"/>
    <w:uiPriority w:val="99"/>
    <w:semiHidden/>
    <w:unhideWhenUsed/>
    <w:rsid w:val="0069592C"/>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592C"/>
    <w:rPr>
      <w:rFonts w:ascii="Segoe UI" w:hAnsi="Segoe UI" w:cs="Segoe UI"/>
      <w:sz w:val="18"/>
      <w:szCs w:val="18"/>
    </w:rPr>
  </w:style>
  <w:style w:type="paragraph" w:styleId="Akapitzlist">
    <w:name w:val="List Paragraph"/>
    <w:aliases w:val="List Paragraph (numbered (a))"/>
    <w:basedOn w:val="Normalny"/>
    <w:link w:val="AkapitzlistZnak"/>
    <w:uiPriority w:val="34"/>
    <w:qFormat/>
    <w:rsid w:val="003506A5"/>
    <w:pPr>
      <w:ind w:left="720"/>
      <w:contextualSpacing/>
    </w:pPr>
  </w:style>
  <w:style w:type="character" w:styleId="Odwoaniedokomentarza">
    <w:name w:val="annotation reference"/>
    <w:basedOn w:val="Domylnaczcionkaakapitu"/>
    <w:semiHidden/>
    <w:unhideWhenUsed/>
    <w:rsid w:val="00A23A3F"/>
    <w:rPr>
      <w:sz w:val="16"/>
      <w:szCs w:val="16"/>
    </w:rPr>
  </w:style>
  <w:style w:type="paragraph" w:styleId="Tekstkomentarza">
    <w:name w:val="annotation text"/>
    <w:basedOn w:val="Normalny"/>
    <w:link w:val="TekstkomentarzaZnak"/>
    <w:uiPriority w:val="99"/>
    <w:unhideWhenUsed/>
    <w:rsid w:val="00A23A3F"/>
  </w:style>
  <w:style w:type="character" w:customStyle="1" w:styleId="TekstkomentarzaZnak">
    <w:name w:val="Tekst komentarza Znak"/>
    <w:basedOn w:val="Domylnaczcionkaakapitu"/>
    <w:link w:val="Tekstkomentarza"/>
    <w:uiPriority w:val="99"/>
    <w:rsid w:val="00A23A3F"/>
  </w:style>
  <w:style w:type="paragraph" w:styleId="Tematkomentarza">
    <w:name w:val="annotation subject"/>
    <w:basedOn w:val="Tekstkomentarza"/>
    <w:next w:val="Tekstkomentarza"/>
    <w:link w:val="TematkomentarzaZnak"/>
    <w:uiPriority w:val="99"/>
    <w:semiHidden/>
    <w:unhideWhenUsed/>
    <w:rsid w:val="00A23A3F"/>
    <w:rPr>
      <w:b/>
      <w:bCs/>
    </w:rPr>
  </w:style>
  <w:style w:type="character" w:customStyle="1" w:styleId="TematkomentarzaZnak">
    <w:name w:val="Temat komentarza Znak"/>
    <w:basedOn w:val="TekstkomentarzaZnak"/>
    <w:link w:val="Tematkomentarza"/>
    <w:uiPriority w:val="99"/>
    <w:semiHidden/>
    <w:rsid w:val="00A23A3F"/>
    <w:rPr>
      <w:b/>
      <w:bCs/>
    </w:rPr>
  </w:style>
  <w:style w:type="character" w:customStyle="1" w:styleId="tlid-translation">
    <w:name w:val="tlid-translation"/>
    <w:basedOn w:val="Domylnaczcionkaakapitu"/>
    <w:rsid w:val="00A23A3F"/>
  </w:style>
  <w:style w:type="character" w:styleId="Hipercze">
    <w:name w:val="Hyperlink"/>
    <w:uiPriority w:val="99"/>
    <w:rsid w:val="005068A1"/>
    <w:rPr>
      <w:rFonts w:cs="Times New Roman"/>
      <w:color w:val="0000FF"/>
      <w:u w:val="single"/>
    </w:rPr>
  </w:style>
  <w:style w:type="paragraph" w:styleId="Tekstprzypisudolnego">
    <w:name w:val="footnote text"/>
    <w:aliases w:val="Fußnote,Voetnoottekst Char,Voetnoottekst Char1 Char,Voetnoottekst Char Char1 Char,Voetnoottekst Char1 Char Char Char,Voetnoottekst Char Char1 Char Char Char,Voetnoottekst Char1 Char Char Char Char Char,o,Footnote text,Fußn"/>
    <w:basedOn w:val="Normalny"/>
    <w:link w:val="TekstprzypisudolnegoZnak"/>
    <w:uiPriority w:val="99"/>
    <w:qFormat/>
    <w:rsid w:val="00610FA7"/>
    <w:rPr>
      <w:rFonts w:ascii="Times New Roman" w:eastAsia="Times New Roman" w:hAnsi="Times New Roman" w:cs="Times New Roman"/>
      <w:lang w:val="pl-PL"/>
    </w:rPr>
  </w:style>
  <w:style w:type="character" w:customStyle="1" w:styleId="TekstprzypisudolnegoZnak">
    <w:name w:val="Tekst przypisu dolnego Znak"/>
    <w:aliases w:val="Fußnote Znak,Voetnoottekst Char Znak,Voetnoottekst Char1 Char Znak,Voetnoottekst Char Char1 Char Znak,Voetnoottekst Char1 Char Char Char Znak,Voetnoottekst Char Char1 Char Char Char Znak,o Znak,Footnote text Znak,Fußn Znak"/>
    <w:basedOn w:val="Domylnaczcionkaakapitu"/>
    <w:link w:val="Tekstprzypisudolnego"/>
    <w:uiPriority w:val="99"/>
    <w:rsid w:val="00610FA7"/>
    <w:rPr>
      <w:rFonts w:ascii="Times New Roman" w:eastAsia="Times New Roman" w:hAnsi="Times New Roman" w:cs="Times New Roman"/>
      <w:lang w:val="pl-PL"/>
    </w:rPr>
  </w:style>
  <w:style w:type="character" w:styleId="Odwoanieprzypisudolnego">
    <w:name w:val="footnote reference"/>
    <w:basedOn w:val="Domylnaczcionkaakapitu"/>
    <w:uiPriority w:val="99"/>
    <w:semiHidden/>
    <w:unhideWhenUsed/>
    <w:rsid w:val="00610FA7"/>
    <w:rPr>
      <w:vertAlign w:val="superscript"/>
    </w:rPr>
  </w:style>
  <w:style w:type="paragraph" w:styleId="Poprawka">
    <w:name w:val="Revision"/>
    <w:hidden/>
    <w:uiPriority w:val="99"/>
    <w:semiHidden/>
    <w:rsid w:val="002453F2"/>
  </w:style>
  <w:style w:type="paragraph" w:styleId="Tekstpodstawowy">
    <w:name w:val="Body Text"/>
    <w:basedOn w:val="Normalny"/>
    <w:link w:val="TekstpodstawowyZnak"/>
    <w:qFormat/>
    <w:rsid w:val="00E37F77"/>
    <w:pPr>
      <w:spacing w:after="160" w:line="280" w:lineRule="atLeast"/>
    </w:pPr>
    <w:rPr>
      <w:rFonts w:ascii="Times" w:eastAsia="Times New Roman" w:hAnsi="Times" w:cs="Times"/>
      <w:sz w:val="22"/>
      <w:szCs w:val="22"/>
      <w:lang w:val="nb-NO" w:eastAsia="nb-NO"/>
    </w:rPr>
  </w:style>
  <w:style w:type="character" w:customStyle="1" w:styleId="TekstpodstawowyZnak">
    <w:name w:val="Tekst podstawowy Znak"/>
    <w:basedOn w:val="Domylnaczcionkaakapitu"/>
    <w:link w:val="Tekstpodstawowy"/>
    <w:rsid w:val="00E37F77"/>
    <w:rPr>
      <w:rFonts w:ascii="Times" w:eastAsia="Times New Roman" w:hAnsi="Times" w:cs="Times"/>
      <w:sz w:val="22"/>
      <w:szCs w:val="22"/>
      <w:lang w:val="nb-NO" w:eastAsia="nb-NO"/>
    </w:rPr>
  </w:style>
  <w:style w:type="paragraph" w:styleId="HTML-wstpniesformatowany">
    <w:name w:val="HTML Preformatted"/>
    <w:basedOn w:val="Normalny"/>
    <w:link w:val="HTML-wstpniesformatowanyZnak"/>
    <w:uiPriority w:val="99"/>
    <w:unhideWhenUsed/>
    <w:rsid w:val="00312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en-GB"/>
    </w:rPr>
  </w:style>
  <w:style w:type="character" w:customStyle="1" w:styleId="HTML-wstpniesformatowanyZnak">
    <w:name w:val="HTML - wstępnie sformatowany Znak"/>
    <w:basedOn w:val="Domylnaczcionkaakapitu"/>
    <w:link w:val="HTML-wstpniesformatowany"/>
    <w:uiPriority w:val="99"/>
    <w:rsid w:val="0031224B"/>
    <w:rPr>
      <w:rFonts w:ascii="Courier New" w:eastAsia="Times New Roman" w:hAnsi="Courier New" w:cs="Courier New"/>
      <w:lang w:eastAsia="en-GB"/>
    </w:rPr>
  </w:style>
  <w:style w:type="character" w:customStyle="1" w:styleId="AkapitzlistZnak">
    <w:name w:val="Akapit z listą Znak"/>
    <w:aliases w:val="List Paragraph (numbered (a)) Znak"/>
    <w:basedOn w:val="Domylnaczcionkaakapitu"/>
    <w:link w:val="Akapitzlist"/>
    <w:uiPriority w:val="34"/>
    <w:locked/>
    <w:rsid w:val="00C63112"/>
  </w:style>
  <w:style w:type="character" w:styleId="UyteHipercze">
    <w:name w:val="FollowedHyperlink"/>
    <w:basedOn w:val="Domylnaczcionkaakapitu"/>
    <w:uiPriority w:val="99"/>
    <w:semiHidden/>
    <w:unhideWhenUsed/>
    <w:rsid w:val="00647B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693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eagrants.org/partnership-opportunities" TargetMode="External"/><Relationship Id="rId13" Type="http://schemas.openxmlformats.org/officeDocument/2006/relationships/hyperlink" Target="https://eeagrants.org/resources?title=&amp;field_resource_type_target_id=197" TargetMode="External"/><Relationship Id="rId18" Type="http://schemas.openxmlformats.org/officeDocument/2006/relationships/hyperlink" Target="mailto:mfeog@klimat.gov.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og.gov.pl/media/69169/MoU_EOG_20142021.pdf" TargetMode="External"/><Relationship Id="rId17" Type="http://schemas.openxmlformats.org/officeDocument/2006/relationships/hyperlink" Target="http://www.eog.gov.pl" TargetMode="External"/><Relationship Id="rId2" Type="http://schemas.openxmlformats.org/officeDocument/2006/relationships/numbering" Target="numbering.xml"/><Relationship Id="rId16" Type="http://schemas.openxmlformats.org/officeDocument/2006/relationships/hyperlink" Target="https://www.eog.gov.pl/media/71161/Wytyczne_KPK_w_zakresie_procedury_wyboru_projektow_konkursowych_2019_03_06.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agrants.org/resources/poland-climate-2014-2021-programme-agreement"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eog.gov.pl/media/69203/EEA_Communication_Design_Manual.pdf" TargetMode="External"/><Relationship Id="rId23" Type="http://schemas.openxmlformats.org/officeDocument/2006/relationships/theme" Target="theme/theme1.xml"/><Relationship Id="rId10" Type="http://schemas.openxmlformats.org/officeDocument/2006/relationships/hyperlink" Target="https://www.eog.gov.pl/en/site/learn-more-about-the-grants/legal-documents/" TargetMode="External"/><Relationship Id="rId19" Type="http://schemas.openxmlformats.org/officeDocument/2006/relationships/hyperlink" Target="https://www.eog.gov.pl/strony/zapoznaj-sie-z-funduszami/zasady-zglaszania-nieprawidlowosci/" TargetMode="External"/><Relationship Id="rId4" Type="http://schemas.openxmlformats.org/officeDocument/2006/relationships/settings" Target="settings.xml"/><Relationship Id="rId9" Type="http://schemas.openxmlformats.org/officeDocument/2006/relationships/hyperlink" Target="http://nfosigw.gov.pl/oferta-finansowania/srodki-norweskie/generator-wnioskow-o-dofinansowanie/" TargetMode="External"/><Relationship Id="rId14" Type="http://schemas.openxmlformats.org/officeDocument/2006/relationships/hyperlink" Target="https://www.eog.gov.pl/media/71162/Wytyczne_KPK_w_zakresie_zamowien_publicznych_podpisane_2019_03_06.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eagrants.org/resources/poland-climate-2014-2021-programme-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30F94-391C-4404-98AC-08E6F868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3191</Words>
  <Characters>19149</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SZAFRON-REICHE Katarzyna</dc:creator>
  <cp:lastModifiedBy>SZAFRON Katarzyna</cp:lastModifiedBy>
  <cp:revision>8</cp:revision>
  <dcterms:created xsi:type="dcterms:W3CDTF">2020-03-10T13:11:00Z</dcterms:created>
  <dcterms:modified xsi:type="dcterms:W3CDTF">2020-03-11T12:20:00Z</dcterms:modified>
</cp:coreProperties>
</file>