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852"/>
        <w:gridCol w:w="2856"/>
        <w:gridCol w:w="2999"/>
        <w:gridCol w:w="3569"/>
        <w:gridCol w:w="1142"/>
        <w:gridCol w:w="1713"/>
        <w:gridCol w:w="1285"/>
        <w:gridCol w:w="1285"/>
      </w:tblGrid>
      <w:tr w:rsidR="00F80ABA" w:rsidRPr="00E10012" w14:paraId="2DF8F5AF" w14:textId="77777777" w:rsidTr="008C1F79">
        <w:trPr>
          <w:jc w:val="center"/>
        </w:trPr>
        <w:tc>
          <w:tcPr>
            <w:tcW w:w="852"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56"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9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69"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42"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13"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85"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85"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8C1F79">
        <w:trPr>
          <w:trHeight w:val="325"/>
          <w:jc w:val="center"/>
        </w:trPr>
        <w:tc>
          <w:tcPr>
            <w:tcW w:w="852"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56"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9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69"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42"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13"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85"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85"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8C1F79">
        <w:tblPrEx>
          <w:jc w:val="left"/>
          <w:shd w:val="clear" w:color="auto" w:fill="auto"/>
        </w:tblPrEx>
        <w:trPr>
          <w:trHeight w:val="347"/>
        </w:trPr>
        <w:tc>
          <w:tcPr>
            <w:tcW w:w="852"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56"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299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69"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42"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85"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8C1F79">
        <w:tblPrEx>
          <w:jc w:val="left"/>
          <w:shd w:val="clear" w:color="auto" w:fill="auto"/>
        </w:tblPrEx>
        <w:trPr>
          <w:trHeight w:val="347"/>
        </w:trPr>
        <w:tc>
          <w:tcPr>
            <w:tcW w:w="852"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56"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299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69"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42"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8C1F79">
        <w:tblPrEx>
          <w:jc w:val="left"/>
          <w:shd w:val="clear" w:color="auto" w:fill="auto"/>
        </w:tblPrEx>
        <w:trPr>
          <w:trHeight w:val="347"/>
        </w:trPr>
        <w:tc>
          <w:tcPr>
            <w:tcW w:w="852"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56"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299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69"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42"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A4154C">
        <w:tblPrEx>
          <w:jc w:val="left"/>
          <w:shd w:val="clear" w:color="auto" w:fill="auto"/>
        </w:tblPrEx>
        <w:trPr>
          <w:trHeight w:val="850"/>
        </w:trPr>
        <w:tc>
          <w:tcPr>
            <w:tcW w:w="852"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56"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299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69"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42"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13"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85"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A4154C">
        <w:tblPrEx>
          <w:jc w:val="left"/>
          <w:shd w:val="clear" w:color="auto" w:fill="auto"/>
        </w:tblPrEx>
        <w:trPr>
          <w:trHeight w:val="850"/>
        </w:trPr>
        <w:tc>
          <w:tcPr>
            <w:tcW w:w="852"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56"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299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69"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 xml:space="preserve">internacie albo kwaterze internatowej oraz wzory dokumentów stanowiących podstawę przydzielania miejsca </w:t>
            </w:r>
            <w:r w:rsidRPr="00737F0C">
              <w:rPr>
                <w:rFonts w:cs="Times New Roman"/>
                <w:szCs w:val="24"/>
              </w:rPr>
              <w:lastRenderedPageBreak/>
              <w:t>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42"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13"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85"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A4154C">
        <w:tblPrEx>
          <w:jc w:val="left"/>
          <w:shd w:val="clear" w:color="auto" w:fill="auto"/>
        </w:tblPrEx>
        <w:trPr>
          <w:trHeight w:val="850"/>
        </w:trPr>
        <w:tc>
          <w:tcPr>
            <w:tcW w:w="852"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56"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299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69"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42"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13"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85"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85"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A4154C">
        <w:tblPrEx>
          <w:jc w:val="left"/>
          <w:shd w:val="clear" w:color="auto" w:fill="auto"/>
        </w:tblPrEx>
        <w:trPr>
          <w:trHeight w:val="850"/>
        </w:trPr>
        <w:tc>
          <w:tcPr>
            <w:tcW w:w="852"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56"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299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69"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42"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13"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85"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85"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A4154C">
        <w:tblPrEx>
          <w:jc w:val="left"/>
          <w:shd w:val="clear" w:color="auto" w:fill="auto"/>
        </w:tblPrEx>
        <w:trPr>
          <w:trHeight w:val="850"/>
        </w:trPr>
        <w:tc>
          <w:tcPr>
            <w:tcW w:w="852"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56"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299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69"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w:t>
            </w:r>
            <w:r w:rsidRPr="0068581A">
              <w:rPr>
                <w:rFonts w:ascii="Times New Roman" w:hAnsi="Times New Roman" w:cs="Times New Roman"/>
                <w:sz w:val="24"/>
                <w:szCs w:val="24"/>
              </w:rPr>
              <w:lastRenderedPageBreak/>
              <w:t>znakiem graficznym wyrażającym ten zakaz), wizerunku osób lub nieruchomości znajdujących się w 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42"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13"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85"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85"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D405C8">
        <w:tblPrEx>
          <w:jc w:val="left"/>
          <w:shd w:val="clear" w:color="auto" w:fill="auto"/>
        </w:tblPrEx>
        <w:trPr>
          <w:trHeight w:val="850"/>
        </w:trPr>
        <w:tc>
          <w:tcPr>
            <w:tcW w:w="852"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56"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299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69"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42"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85"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D405C8">
        <w:tblPrEx>
          <w:jc w:val="left"/>
          <w:shd w:val="clear" w:color="auto" w:fill="auto"/>
        </w:tblPrEx>
        <w:trPr>
          <w:trHeight w:val="850"/>
        </w:trPr>
        <w:tc>
          <w:tcPr>
            <w:tcW w:w="852"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56"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299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69"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42"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D405C8">
        <w:tblPrEx>
          <w:jc w:val="left"/>
          <w:shd w:val="clear" w:color="auto" w:fill="auto"/>
        </w:tblPrEx>
        <w:trPr>
          <w:trHeight w:val="850"/>
        </w:trPr>
        <w:tc>
          <w:tcPr>
            <w:tcW w:w="852"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56"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299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69"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w:t>
            </w:r>
            <w:r w:rsidRPr="003B57A7">
              <w:rPr>
                <w:rFonts w:ascii="Times New Roman" w:hAnsi="Times New Roman" w:cs="Times New Roman"/>
                <w:sz w:val="24"/>
                <w:szCs w:val="24"/>
              </w:rPr>
              <w:lastRenderedPageBreak/>
              <w:t>pozycji zdrowotnych. Przedmiotowy wykaz chorób i  schorzeń dotyczy stanowisk służbowych zajmowanych m.in. przez pilotów, nawigatorów, nurków i płetwonurków, a także stanowisk w jednostkach wojsk specjalnych czy też jednostkach wojsk powietrznodesantowych.</w:t>
            </w:r>
          </w:p>
        </w:tc>
        <w:tc>
          <w:tcPr>
            <w:tcW w:w="1142"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13"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85"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D405C8">
        <w:tblPrEx>
          <w:jc w:val="left"/>
          <w:shd w:val="clear" w:color="auto" w:fill="auto"/>
        </w:tblPrEx>
        <w:trPr>
          <w:trHeight w:val="850"/>
        </w:trPr>
        <w:tc>
          <w:tcPr>
            <w:tcW w:w="852"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56"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299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69"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bookmarkStart w:id="0" w:name="_GoBack"/>
            <w:r w:rsidRPr="007C08AA">
              <w:rPr>
                <w:rFonts w:ascii="Times New Roman" w:hAnsi="Times New Roman" w:cs="Times New Roman"/>
                <w:sz w:val="24"/>
                <w:szCs w:val="24"/>
              </w:rPr>
              <w:t xml:space="preserve">Projekt rozporządzenia przewiduje </w:t>
            </w:r>
            <w:r w:rsidRPr="007C08AA">
              <w:rPr>
                <w:rFonts w:ascii="Times New Roman" w:hAnsi="Times New Roman" w:cs="Times New Roman"/>
                <w:sz w:val="24"/>
                <w:szCs w:val="24"/>
              </w:rPr>
              <w:t xml:space="preserve"> podwyższenie stawek uposażeń zasadniczych w poszczególnych grupach uposażenia zasadniczego średnio od 15,2% do 25,4%, co powoduje wzrost uposażenia zasadniczego od 1.040,0 zł do 2.750,0 zł w stosunku do uposażeń zasadniczych obo</w:t>
            </w:r>
            <w:r w:rsidRPr="007C08AA">
              <w:rPr>
                <w:rFonts w:ascii="Times New Roman" w:hAnsi="Times New Roman" w:cs="Times New Roman"/>
                <w:sz w:val="24"/>
                <w:szCs w:val="24"/>
              </w:rPr>
              <w:t>wiązujących od 1 marca 2023 r.</w:t>
            </w:r>
            <w:bookmarkEnd w:id="0"/>
          </w:p>
        </w:tc>
        <w:tc>
          <w:tcPr>
            <w:tcW w:w="1142"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13"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85"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85" w:type="dxa"/>
          </w:tcPr>
          <w:p w14:paraId="1279428C" w14:textId="77777777" w:rsidR="007C08AA" w:rsidRPr="0068581A" w:rsidRDefault="007C08AA" w:rsidP="007C08AA">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3C61B3"/>
    <w:multiLevelType w:val="hybridMultilevel"/>
    <w:tmpl w:val="CB2CD8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B45F06"/>
    <w:multiLevelType w:val="hybridMultilevel"/>
    <w:tmpl w:val="50CC3B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2A164898"/>
    <w:multiLevelType w:val="hybridMultilevel"/>
    <w:tmpl w:val="84621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0"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7921A5"/>
    <w:multiLevelType w:val="hybridMultilevel"/>
    <w:tmpl w:val="785030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0"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4"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6"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0"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3FA7E59"/>
    <w:multiLevelType w:val="hybridMultilevel"/>
    <w:tmpl w:val="27068774"/>
    <w:lvl w:ilvl="0" w:tplc="9F46B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6"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6"/>
  </w:num>
  <w:num w:numId="2">
    <w:abstractNumId w:val="31"/>
  </w:num>
  <w:num w:numId="3">
    <w:abstractNumId w:val="22"/>
  </w:num>
  <w:num w:numId="4">
    <w:abstractNumId w:val="18"/>
  </w:num>
  <w:num w:numId="5">
    <w:abstractNumId w:val="7"/>
  </w:num>
  <w:num w:numId="6">
    <w:abstractNumId w:val="55"/>
  </w:num>
  <w:num w:numId="7">
    <w:abstractNumId w:val="25"/>
  </w:num>
  <w:num w:numId="8">
    <w:abstractNumId w:val="8"/>
  </w:num>
  <w:num w:numId="9">
    <w:abstractNumId w:val="12"/>
  </w:num>
  <w:num w:numId="10">
    <w:abstractNumId w:val="51"/>
  </w:num>
  <w:num w:numId="11">
    <w:abstractNumId w:val="33"/>
  </w:num>
  <w:num w:numId="12">
    <w:abstractNumId w:val="11"/>
  </w:num>
  <w:num w:numId="13">
    <w:abstractNumId w:val="5"/>
  </w:num>
  <w:num w:numId="14">
    <w:abstractNumId w:val="14"/>
  </w:num>
  <w:num w:numId="15">
    <w:abstractNumId w:val="34"/>
  </w:num>
  <w:num w:numId="16">
    <w:abstractNumId w:val="0"/>
  </w:num>
  <w:num w:numId="17">
    <w:abstractNumId w:val="21"/>
  </w:num>
  <w:num w:numId="18">
    <w:abstractNumId w:val="35"/>
  </w:num>
  <w:num w:numId="19">
    <w:abstractNumId w:val="56"/>
  </w:num>
  <w:num w:numId="20">
    <w:abstractNumId w:val="42"/>
  </w:num>
  <w:num w:numId="21">
    <w:abstractNumId w:val="40"/>
  </w:num>
  <w:num w:numId="22">
    <w:abstractNumId w:val="15"/>
  </w:num>
  <w:num w:numId="23">
    <w:abstractNumId w:val="24"/>
  </w:num>
  <w:num w:numId="24">
    <w:abstractNumId w:val="37"/>
  </w:num>
  <w:num w:numId="25">
    <w:abstractNumId w:val="46"/>
  </w:num>
  <w:num w:numId="26">
    <w:abstractNumId w:val="4"/>
  </w:num>
  <w:num w:numId="27">
    <w:abstractNumId w:val="54"/>
  </w:num>
  <w:num w:numId="28">
    <w:abstractNumId w:val="39"/>
  </w:num>
  <w:num w:numId="29">
    <w:abstractNumId w:val="45"/>
  </w:num>
  <w:num w:numId="30">
    <w:abstractNumId w:val="48"/>
  </w:num>
  <w:num w:numId="31">
    <w:abstractNumId w:val="32"/>
  </w:num>
  <w:num w:numId="32">
    <w:abstractNumId w:val="28"/>
  </w:num>
  <w:num w:numId="33">
    <w:abstractNumId w:val="9"/>
  </w:num>
  <w:num w:numId="34">
    <w:abstractNumId w:val="41"/>
  </w:num>
  <w:num w:numId="35">
    <w:abstractNumId w:val="52"/>
  </w:num>
  <w:num w:numId="36">
    <w:abstractNumId w:val="29"/>
  </w:num>
  <w:num w:numId="37">
    <w:abstractNumId w:val="50"/>
  </w:num>
  <w:num w:numId="38">
    <w:abstractNumId w:val="30"/>
  </w:num>
  <w:num w:numId="39">
    <w:abstractNumId w:val="27"/>
  </w:num>
  <w:num w:numId="40">
    <w:abstractNumId w:val="49"/>
  </w:num>
  <w:num w:numId="41">
    <w:abstractNumId w:val="43"/>
  </w:num>
  <w:num w:numId="42">
    <w:abstractNumId w:val="47"/>
  </w:num>
  <w:num w:numId="43">
    <w:abstractNumId w:val="13"/>
  </w:num>
  <w:num w:numId="44">
    <w:abstractNumId w:val="26"/>
  </w:num>
  <w:num w:numId="45">
    <w:abstractNumId w:val="17"/>
  </w:num>
  <w:num w:numId="46">
    <w:abstractNumId w:val="6"/>
  </w:num>
  <w:num w:numId="47">
    <w:abstractNumId w:val="20"/>
  </w:num>
  <w:num w:numId="48">
    <w:abstractNumId w:val="1"/>
  </w:num>
  <w:num w:numId="49">
    <w:abstractNumId w:val="3"/>
  </w:num>
  <w:num w:numId="50">
    <w:abstractNumId w:val="44"/>
  </w:num>
  <w:num w:numId="51">
    <w:abstractNumId w:val="23"/>
  </w:num>
  <w:num w:numId="52">
    <w:abstractNumId w:val="16"/>
  </w:num>
  <w:num w:numId="53">
    <w:abstractNumId w:val="19"/>
  </w:num>
  <w:num w:numId="54">
    <w:abstractNumId w:val="53"/>
  </w:num>
  <w:num w:numId="55">
    <w:abstractNumId w:val="10"/>
  </w:num>
  <w:num w:numId="56">
    <w:abstractNumId w:val="2"/>
  </w:num>
  <w:num w:numId="57">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1E17"/>
    <w:rsid w:val="000C3879"/>
    <w:rsid w:val="000D357C"/>
    <w:rsid w:val="000D4AE7"/>
    <w:rsid w:val="000D4DF2"/>
    <w:rsid w:val="000E006B"/>
    <w:rsid w:val="000E59F0"/>
    <w:rsid w:val="000F2545"/>
    <w:rsid w:val="000F60DC"/>
    <w:rsid w:val="000F657C"/>
    <w:rsid w:val="001067DB"/>
    <w:rsid w:val="001124BC"/>
    <w:rsid w:val="0012468A"/>
    <w:rsid w:val="0013297A"/>
    <w:rsid w:val="00140CD8"/>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60F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09E5"/>
    <w:rsid w:val="005056FC"/>
    <w:rsid w:val="0051017A"/>
    <w:rsid w:val="00510207"/>
    <w:rsid w:val="00511A13"/>
    <w:rsid w:val="00513561"/>
    <w:rsid w:val="00514466"/>
    <w:rsid w:val="00514C72"/>
    <w:rsid w:val="00517CFE"/>
    <w:rsid w:val="005229FE"/>
    <w:rsid w:val="00524058"/>
    <w:rsid w:val="0053094B"/>
    <w:rsid w:val="00531A1F"/>
    <w:rsid w:val="005404F3"/>
    <w:rsid w:val="00552383"/>
    <w:rsid w:val="005538D3"/>
    <w:rsid w:val="00557677"/>
    <w:rsid w:val="00560DCB"/>
    <w:rsid w:val="00561D6A"/>
    <w:rsid w:val="0056787C"/>
    <w:rsid w:val="00567C0C"/>
    <w:rsid w:val="00570396"/>
    <w:rsid w:val="00574B31"/>
    <w:rsid w:val="005768A8"/>
    <w:rsid w:val="00577997"/>
    <w:rsid w:val="0058178E"/>
    <w:rsid w:val="005819F7"/>
    <w:rsid w:val="00587D9C"/>
    <w:rsid w:val="005965A7"/>
    <w:rsid w:val="005A5862"/>
    <w:rsid w:val="005B5BD5"/>
    <w:rsid w:val="005B69D5"/>
    <w:rsid w:val="005C259C"/>
    <w:rsid w:val="005C3CD3"/>
    <w:rsid w:val="005C6C64"/>
    <w:rsid w:val="005D249D"/>
    <w:rsid w:val="005D36CE"/>
    <w:rsid w:val="005E6CE5"/>
    <w:rsid w:val="005F00BA"/>
    <w:rsid w:val="005F1F39"/>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8581A"/>
    <w:rsid w:val="00691DFC"/>
    <w:rsid w:val="006975C3"/>
    <w:rsid w:val="006A113E"/>
    <w:rsid w:val="006A20F2"/>
    <w:rsid w:val="006B0BB1"/>
    <w:rsid w:val="006C1809"/>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6DC3"/>
    <w:rsid w:val="00707EDC"/>
    <w:rsid w:val="00713A8B"/>
    <w:rsid w:val="00716DA1"/>
    <w:rsid w:val="0072382C"/>
    <w:rsid w:val="0072445E"/>
    <w:rsid w:val="0072590B"/>
    <w:rsid w:val="0072735D"/>
    <w:rsid w:val="00731685"/>
    <w:rsid w:val="00734305"/>
    <w:rsid w:val="007345A2"/>
    <w:rsid w:val="00734D90"/>
    <w:rsid w:val="00737F0C"/>
    <w:rsid w:val="00740B92"/>
    <w:rsid w:val="007433F5"/>
    <w:rsid w:val="00744C1B"/>
    <w:rsid w:val="0076043A"/>
    <w:rsid w:val="00760A64"/>
    <w:rsid w:val="00761BA9"/>
    <w:rsid w:val="007620B2"/>
    <w:rsid w:val="00765981"/>
    <w:rsid w:val="007667F1"/>
    <w:rsid w:val="00767B5F"/>
    <w:rsid w:val="007715B6"/>
    <w:rsid w:val="00775487"/>
    <w:rsid w:val="0077693E"/>
    <w:rsid w:val="00777FAB"/>
    <w:rsid w:val="007803CA"/>
    <w:rsid w:val="007854AD"/>
    <w:rsid w:val="00786016"/>
    <w:rsid w:val="0079340B"/>
    <w:rsid w:val="00793E0C"/>
    <w:rsid w:val="007A2037"/>
    <w:rsid w:val="007A2651"/>
    <w:rsid w:val="007B0001"/>
    <w:rsid w:val="007B00C4"/>
    <w:rsid w:val="007B0AD2"/>
    <w:rsid w:val="007B3566"/>
    <w:rsid w:val="007C08AA"/>
    <w:rsid w:val="007C20C9"/>
    <w:rsid w:val="007C330C"/>
    <w:rsid w:val="007C44E5"/>
    <w:rsid w:val="007C461E"/>
    <w:rsid w:val="007C60C8"/>
    <w:rsid w:val="007C71B5"/>
    <w:rsid w:val="007D45BA"/>
    <w:rsid w:val="007E2908"/>
    <w:rsid w:val="007E2D28"/>
    <w:rsid w:val="007E4E8D"/>
    <w:rsid w:val="007F773E"/>
    <w:rsid w:val="00801846"/>
    <w:rsid w:val="0080321D"/>
    <w:rsid w:val="00811C84"/>
    <w:rsid w:val="0084389E"/>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1F79"/>
    <w:rsid w:val="008C3D6F"/>
    <w:rsid w:val="008D2582"/>
    <w:rsid w:val="008D63C6"/>
    <w:rsid w:val="008D6B96"/>
    <w:rsid w:val="008D73C8"/>
    <w:rsid w:val="008E2ABD"/>
    <w:rsid w:val="00902F53"/>
    <w:rsid w:val="0090378A"/>
    <w:rsid w:val="00913FF1"/>
    <w:rsid w:val="00921E19"/>
    <w:rsid w:val="00921EC9"/>
    <w:rsid w:val="00923CED"/>
    <w:rsid w:val="00930DEE"/>
    <w:rsid w:val="00936E8C"/>
    <w:rsid w:val="00937FF9"/>
    <w:rsid w:val="00947E78"/>
    <w:rsid w:val="0095147F"/>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3286"/>
    <w:rsid w:val="009E5329"/>
    <w:rsid w:val="00A00573"/>
    <w:rsid w:val="00A31D56"/>
    <w:rsid w:val="00A37750"/>
    <w:rsid w:val="00A37B40"/>
    <w:rsid w:val="00A40AB2"/>
    <w:rsid w:val="00A40D94"/>
    <w:rsid w:val="00A4154C"/>
    <w:rsid w:val="00A47975"/>
    <w:rsid w:val="00A67B09"/>
    <w:rsid w:val="00A703E2"/>
    <w:rsid w:val="00A70A7B"/>
    <w:rsid w:val="00A7611B"/>
    <w:rsid w:val="00A7721D"/>
    <w:rsid w:val="00A87C0E"/>
    <w:rsid w:val="00A91CBC"/>
    <w:rsid w:val="00A935B5"/>
    <w:rsid w:val="00A9548D"/>
    <w:rsid w:val="00AA44F0"/>
    <w:rsid w:val="00AA7309"/>
    <w:rsid w:val="00AB3110"/>
    <w:rsid w:val="00AB69AA"/>
    <w:rsid w:val="00AC0B0E"/>
    <w:rsid w:val="00AD192C"/>
    <w:rsid w:val="00AD524F"/>
    <w:rsid w:val="00AE3CF3"/>
    <w:rsid w:val="00AE76E7"/>
    <w:rsid w:val="00AE7C04"/>
    <w:rsid w:val="00B00C34"/>
    <w:rsid w:val="00B046DA"/>
    <w:rsid w:val="00B206A2"/>
    <w:rsid w:val="00B233F7"/>
    <w:rsid w:val="00B31A0B"/>
    <w:rsid w:val="00B36597"/>
    <w:rsid w:val="00B36FD5"/>
    <w:rsid w:val="00B37D5C"/>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40BB"/>
    <w:rsid w:val="00BA5B31"/>
    <w:rsid w:val="00BA6799"/>
    <w:rsid w:val="00BB3355"/>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E4CD7"/>
    <w:rsid w:val="00CF0658"/>
    <w:rsid w:val="00CF5272"/>
    <w:rsid w:val="00CF62DF"/>
    <w:rsid w:val="00D00485"/>
    <w:rsid w:val="00D02342"/>
    <w:rsid w:val="00D034C2"/>
    <w:rsid w:val="00D07925"/>
    <w:rsid w:val="00D10F47"/>
    <w:rsid w:val="00D11DB0"/>
    <w:rsid w:val="00D1244B"/>
    <w:rsid w:val="00D15967"/>
    <w:rsid w:val="00D1692B"/>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B64B8"/>
    <w:rsid w:val="00DC674B"/>
    <w:rsid w:val="00DC7929"/>
    <w:rsid w:val="00DD5822"/>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14A"/>
    <w:rsid w:val="00E43905"/>
    <w:rsid w:val="00E4702E"/>
    <w:rsid w:val="00E47AD4"/>
    <w:rsid w:val="00E5461A"/>
    <w:rsid w:val="00E5644C"/>
    <w:rsid w:val="00E5662F"/>
    <w:rsid w:val="00E70D33"/>
    <w:rsid w:val="00E738EF"/>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0224"/>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B75D7-7C7F-4F6F-83BF-E9A7B338528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6B1CC7B-B05F-4FB3-A2EC-B17C9EB4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1584</Words>
  <Characters>9504</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26</cp:revision>
  <dcterms:created xsi:type="dcterms:W3CDTF">2023-12-22T13:51:00Z</dcterms:created>
  <dcterms:modified xsi:type="dcterms:W3CDTF">2024-02-07T11:52:00Z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