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4719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D773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D773B" w:rsidRDefault="005D773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D773B">
        <w:rPr>
          <w:rFonts w:asciiTheme="minorHAnsi" w:hAnsiTheme="minorHAnsi" w:cstheme="minorHAnsi"/>
          <w:bCs/>
          <w:sz w:val="24"/>
          <w:szCs w:val="24"/>
          <w:lang w:eastAsia="pl-PL"/>
        </w:rPr>
        <w:t>DOOŚ-DŚII.4200.15.2017.mk.50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D773B" w:rsidRPr="005D773B" w:rsidRDefault="005D773B" w:rsidP="005D77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-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odwoławcze, prowadzone po wyroku Wojewódzkiego Sądu Administracyjnego w Warszawie z dnia 4 lipca 2017 r. sygn. akt IV SA/</w:t>
      </w:r>
      <w:proofErr w:type="spellStart"/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>Wa</w:t>
      </w:r>
      <w:proofErr w:type="spellEnd"/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2598/16, od decyzji Regionalnego Dyrektora Ochrony Środowiska w Białymstoku z dnia 16 września 2009 r., znak: RDOŚ-20-WOOŚ-II.66131-10/09/kg, o środowiskowych uwarunkowaniach realizacji przedsięwzięcia polegającego na „budowie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>przedłużenia ul. Piastowskiej na odcinku od ul. Sybiraków do ul. Wysockiego wraz skrzyżowaniami i wlotami ulic bocznych na terenie miasta Białegostoku, przebudowie i budowie niezbędnej infrastruktury oraz budowie wiaduktu pod torami kolejowymi, mostu i przepustów”, nie mogło być zakończone w wyznaczonym terminie. Przyczyną zwłoki jest konieczność przeprowadzenia dodatkowego postępowania wyjaśniającego oraz zapewnienie stronom czynnego udziału w sprawie.</w:t>
      </w:r>
    </w:p>
    <w:p w:rsidR="005D773B" w:rsidRPr="005D773B" w:rsidRDefault="005D773B" w:rsidP="005D77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Zwłoka wynika z konieczności ustalenia stanu faktycznego sprawy, na który wskazał Wojewódzki Sąd Administracyjny w Warszawie w powyższym wyroku, tj.: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— oczekiwanie na uzupełnienie raportu o oddziaływaniu przedsięwzięcia na środowisko (dotyczące w szczególności analizy akustycznej), które inwestor zobowiązał się przedłożyć do 31 października 2022 r., o czym poinformował pismem z dnia 6 lipca 2022 r.;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>— przeprowadzenie rozprawy administracyjnej.</w:t>
      </w:r>
    </w:p>
    <w:p w:rsidR="00D15A10" w:rsidRDefault="005D773B" w:rsidP="005D77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D773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19 grudnia 2022 r.</w:t>
      </w:r>
    </w:p>
    <w:p w:rsidR="005D773B" w:rsidRDefault="005D773B" w:rsidP="005D773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D773B" w:rsidRPr="005D773B" w:rsidRDefault="005D773B" w:rsidP="005D77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5D773B">
        <w:rPr>
          <w:rFonts w:asciiTheme="minorHAnsi" w:hAnsiTheme="minorHAnsi" w:cstheme="minorHAnsi"/>
          <w:bCs/>
        </w:rPr>
        <w:t xml:space="preserve">rt. 36 </w:t>
      </w:r>
      <w:r>
        <w:rPr>
          <w:rFonts w:asciiTheme="minorHAnsi" w:hAnsiTheme="minorHAnsi" w:cstheme="minorHAnsi"/>
          <w:bCs/>
        </w:rPr>
        <w:t>Kpa O każdym przypadku niezałatwie</w:t>
      </w:r>
      <w:r w:rsidRPr="005D773B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5D773B" w:rsidRPr="005D773B" w:rsidRDefault="005D773B" w:rsidP="005D77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773B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5D773B" w:rsidRPr="005D773B" w:rsidRDefault="005D773B" w:rsidP="005D77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773B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5D773B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D773B" w:rsidRPr="005D773B" w:rsidRDefault="005D773B" w:rsidP="005D77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773B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5D773B" w:rsidRDefault="005D773B" w:rsidP="005D77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773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5D773B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5D773B" w:rsidP="005D77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773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33" w:rsidRDefault="00401033">
      <w:pPr>
        <w:spacing w:after="0" w:line="240" w:lineRule="auto"/>
      </w:pPr>
      <w:r>
        <w:separator/>
      </w:r>
    </w:p>
  </w:endnote>
  <w:endnote w:type="continuationSeparator" w:id="0">
    <w:p w:rsidR="00401033" w:rsidRDefault="0040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D773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0103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33" w:rsidRDefault="00401033">
      <w:pPr>
        <w:spacing w:after="0" w:line="240" w:lineRule="auto"/>
      </w:pPr>
      <w:r>
        <w:separator/>
      </w:r>
    </w:p>
  </w:footnote>
  <w:footnote w:type="continuationSeparator" w:id="0">
    <w:p w:rsidR="00401033" w:rsidRDefault="0040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0103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0103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0103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01033"/>
    <w:rsid w:val="00457259"/>
    <w:rsid w:val="004F5C94"/>
    <w:rsid w:val="005D773B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C626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084E-FCF3-40AF-B412-BE17BE38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2023-07-07T13:00:00Z</dcterms:created>
  <dcterms:modified xsi:type="dcterms:W3CDTF">2023-07-07T13:00:00Z</dcterms:modified>
</cp:coreProperties>
</file>