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6A48B" w14:textId="77777777" w:rsidR="006103AA" w:rsidRDefault="006103AA" w:rsidP="006103AA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4B22E267" w14:textId="77777777" w:rsidR="006103AA" w:rsidRDefault="006103AA" w:rsidP="006103AA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79A4A780" w14:textId="2CF842AE" w:rsidR="006103AA" w:rsidRDefault="00BA746C" w:rsidP="00B73CE8">
      <w:pPr>
        <w:spacing w:before="100" w:beforeAutospacing="1"/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b/>
          <w:bCs/>
          <w:sz w:val="44"/>
          <w:szCs w:val="44"/>
        </w:rPr>
        <w:t>Wykaz prac le</w:t>
      </w:r>
      <w:r w:rsidR="005C6C93" w:rsidRPr="00FE4245">
        <w:rPr>
          <w:rFonts w:asciiTheme="minorHAnsi" w:hAnsiTheme="minorHAnsi" w:cstheme="minorHAnsi"/>
          <w:b/>
          <w:bCs/>
          <w:sz w:val="44"/>
          <w:szCs w:val="44"/>
        </w:rPr>
        <w:t>gislacyjnych Ministra Aktywów Państwowych</w:t>
      </w:r>
      <w:r w:rsidRPr="00FE4245">
        <w:rPr>
          <w:rFonts w:asciiTheme="minorHAnsi" w:hAnsiTheme="minorHAnsi" w:cstheme="minorHAnsi"/>
          <w:b/>
          <w:bCs/>
          <w:sz w:val="44"/>
          <w:szCs w:val="44"/>
        </w:rPr>
        <w:br/>
      </w:r>
    </w:p>
    <w:p w14:paraId="1AD06A00" w14:textId="73899296" w:rsidR="00BE1429" w:rsidRPr="00FE4245" w:rsidRDefault="006103AA" w:rsidP="006103AA">
      <w:pPr>
        <w:spacing w:before="100" w:beforeAutospacing="1"/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p</w:t>
      </w:r>
      <w:r w:rsidR="00614116">
        <w:rPr>
          <w:rFonts w:asciiTheme="minorHAnsi" w:hAnsiTheme="minorHAnsi" w:cstheme="minorHAnsi"/>
          <w:sz w:val="40"/>
          <w:szCs w:val="40"/>
        </w:rPr>
        <w:t xml:space="preserve">rowadzony </w:t>
      </w:r>
      <w:r w:rsidR="00BA746C" w:rsidRPr="00FE4245">
        <w:rPr>
          <w:rFonts w:asciiTheme="minorHAnsi" w:hAnsiTheme="minorHAnsi" w:cstheme="minorHAnsi"/>
          <w:sz w:val="40"/>
          <w:szCs w:val="40"/>
        </w:rPr>
        <w:t xml:space="preserve">na podstawie art. 4 ustawy </w:t>
      </w:r>
      <w:r w:rsidR="00BE1429" w:rsidRPr="00FE4245">
        <w:rPr>
          <w:rFonts w:asciiTheme="minorHAnsi" w:hAnsiTheme="minorHAnsi" w:cstheme="minorHAnsi"/>
          <w:sz w:val="40"/>
          <w:szCs w:val="40"/>
        </w:rPr>
        <w:t xml:space="preserve">z dnia 7 lipca 2005 r. </w:t>
      </w:r>
    </w:p>
    <w:p w14:paraId="6C0C09A5" w14:textId="77777777" w:rsidR="00001791" w:rsidRPr="00FE4245" w:rsidRDefault="00BA746C" w:rsidP="00BE1429">
      <w:pPr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sz w:val="40"/>
          <w:szCs w:val="40"/>
        </w:rPr>
        <w:t>o działalności lobbingowej w procesie stanowienia prawa</w:t>
      </w:r>
    </w:p>
    <w:p w14:paraId="11F7A983" w14:textId="14AE12A6" w:rsidR="00BA746C" w:rsidRDefault="00BA746C" w:rsidP="006103AA">
      <w:pPr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sz w:val="40"/>
          <w:szCs w:val="40"/>
        </w:rPr>
        <w:t>(Dz. U. z 20</w:t>
      </w:r>
      <w:r w:rsidR="00F927E3" w:rsidRPr="00FE4245">
        <w:rPr>
          <w:rFonts w:asciiTheme="minorHAnsi" w:hAnsiTheme="minorHAnsi" w:cstheme="minorHAnsi"/>
          <w:sz w:val="40"/>
          <w:szCs w:val="40"/>
        </w:rPr>
        <w:t>17</w:t>
      </w:r>
      <w:r w:rsidR="00BE54BD" w:rsidRPr="00FE4245">
        <w:rPr>
          <w:rFonts w:asciiTheme="minorHAnsi" w:hAnsiTheme="minorHAnsi" w:cstheme="minorHAnsi"/>
          <w:sz w:val="40"/>
          <w:szCs w:val="40"/>
        </w:rPr>
        <w:t xml:space="preserve"> </w:t>
      </w:r>
      <w:r w:rsidRPr="00FE4245">
        <w:rPr>
          <w:rFonts w:asciiTheme="minorHAnsi" w:hAnsiTheme="minorHAnsi" w:cstheme="minorHAnsi"/>
          <w:sz w:val="40"/>
          <w:szCs w:val="40"/>
        </w:rPr>
        <w:t xml:space="preserve">r. poz. </w:t>
      </w:r>
      <w:r w:rsidR="00F927E3" w:rsidRPr="00FE4245">
        <w:rPr>
          <w:rFonts w:asciiTheme="minorHAnsi" w:hAnsiTheme="minorHAnsi" w:cstheme="minorHAnsi"/>
          <w:sz w:val="40"/>
          <w:szCs w:val="40"/>
        </w:rPr>
        <w:t>248</w:t>
      </w:r>
      <w:r w:rsidR="00EC2AD1">
        <w:rPr>
          <w:rFonts w:asciiTheme="minorHAnsi" w:hAnsiTheme="minorHAnsi" w:cstheme="minorHAnsi"/>
          <w:sz w:val="40"/>
          <w:szCs w:val="40"/>
        </w:rPr>
        <w:t xml:space="preserve"> oraz z 2024 r. poz. 1535</w:t>
      </w:r>
      <w:r w:rsidR="00BE1429" w:rsidRPr="00FE4245">
        <w:rPr>
          <w:rFonts w:asciiTheme="minorHAnsi" w:hAnsiTheme="minorHAnsi" w:cstheme="minorHAnsi"/>
          <w:sz w:val="40"/>
          <w:szCs w:val="40"/>
        </w:rPr>
        <w:t>)</w:t>
      </w:r>
    </w:p>
    <w:p w14:paraId="378F6287" w14:textId="77777777" w:rsidR="006103AA" w:rsidRPr="00FE4245" w:rsidRDefault="006103AA" w:rsidP="006103AA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4B91E15D" w14:textId="30286A41" w:rsidR="00614116" w:rsidRPr="00FB0A25" w:rsidRDefault="00FB0A25" w:rsidP="0061411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S</w:t>
      </w:r>
      <w:r w:rsidR="00BA746C" w:rsidRPr="00FB0A25">
        <w:rPr>
          <w:rFonts w:asciiTheme="minorHAnsi" w:hAnsiTheme="minorHAnsi" w:cstheme="minorHAnsi"/>
          <w:b/>
          <w:sz w:val="32"/>
          <w:szCs w:val="32"/>
        </w:rPr>
        <w:t xml:space="preserve">tan na </w:t>
      </w:r>
      <w:r w:rsidR="0038185E">
        <w:rPr>
          <w:rFonts w:asciiTheme="minorHAnsi" w:hAnsiTheme="minorHAnsi" w:cstheme="minorHAnsi"/>
          <w:b/>
          <w:sz w:val="32"/>
          <w:szCs w:val="32"/>
        </w:rPr>
        <w:t xml:space="preserve">dzień </w:t>
      </w:r>
      <w:r w:rsidR="004702E9">
        <w:rPr>
          <w:rFonts w:asciiTheme="minorHAnsi" w:hAnsiTheme="minorHAnsi" w:cstheme="minorHAnsi"/>
          <w:b/>
          <w:sz w:val="32"/>
          <w:szCs w:val="32"/>
        </w:rPr>
        <w:t>4</w:t>
      </w:r>
      <w:r w:rsidR="00CD08A2">
        <w:rPr>
          <w:rFonts w:asciiTheme="minorHAnsi" w:hAnsiTheme="minorHAnsi" w:cstheme="minorHAnsi"/>
          <w:b/>
          <w:sz w:val="32"/>
          <w:szCs w:val="32"/>
        </w:rPr>
        <w:t xml:space="preserve"> kwiet</w:t>
      </w:r>
      <w:r w:rsidR="005F0024">
        <w:rPr>
          <w:rFonts w:asciiTheme="minorHAnsi" w:hAnsiTheme="minorHAnsi" w:cstheme="minorHAnsi"/>
          <w:b/>
          <w:sz w:val="32"/>
          <w:szCs w:val="32"/>
        </w:rPr>
        <w:t xml:space="preserve">nia </w:t>
      </w:r>
      <w:r w:rsidR="00377223" w:rsidRPr="00FB0A25">
        <w:rPr>
          <w:rFonts w:asciiTheme="minorHAnsi" w:hAnsiTheme="minorHAnsi" w:cstheme="minorHAnsi"/>
          <w:b/>
          <w:sz w:val="32"/>
          <w:szCs w:val="32"/>
        </w:rPr>
        <w:t>202</w:t>
      </w:r>
      <w:r w:rsidR="00EC2AD1">
        <w:rPr>
          <w:rFonts w:asciiTheme="minorHAnsi" w:hAnsiTheme="minorHAnsi" w:cstheme="minorHAnsi"/>
          <w:b/>
          <w:sz w:val="32"/>
          <w:szCs w:val="32"/>
        </w:rPr>
        <w:t>5</w:t>
      </w:r>
      <w:r w:rsidR="00BA746C" w:rsidRPr="00FB0A25">
        <w:rPr>
          <w:rFonts w:asciiTheme="minorHAnsi" w:hAnsiTheme="minorHAnsi" w:cstheme="minorHAnsi"/>
          <w:b/>
          <w:sz w:val="32"/>
          <w:szCs w:val="32"/>
        </w:rPr>
        <w:t xml:space="preserve"> r.</w:t>
      </w:r>
      <w:r w:rsidR="00614116" w:rsidRPr="00FB0A25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314A9797" w14:textId="77777777" w:rsidR="00614116" w:rsidRDefault="00614116" w:rsidP="00614116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21BB33C" w14:textId="77777777" w:rsidR="00614116" w:rsidRDefault="00614116" w:rsidP="00614116">
      <w:pPr>
        <w:rPr>
          <w:rFonts w:asciiTheme="minorHAnsi" w:hAnsiTheme="minorHAnsi" w:cstheme="minorHAnsi"/>
          <w:sz w:val="28"/>
          <w:szCs w:val="28"/>
        </w:rPr>
      </w:pPr>
    </w:p>
    <w:p w14:paraId="67718719" w14:textId="527C67DC" w:rsidR="00614116" w:rsidRPr="006103AA" w:rsidRDefault="00614116" w:rsidP="006103AA">
      <w:pPr>
        <w:spacing w:before="120" w:after="240"/>
        <w:rPr>
          <w:rFonts w:asciiTheme="minorHAnsi" w:hAnsiTheme="minorHAnsi" w:cstheme="minorHAnsi"/>
          <w:b/>
          <w:sz w:val="28"/>
          <w:szCs w:val="28"/>
        </w:rPr>
      </w:pPr>
      <w:r w:rsidRPr="00614116">
        <w:rPr>
          <w:rFonts w:asciiTheme="minorHAnsi" w:hAnsiTheme="minorHAnsi" w:cstheme="minorHAnsi"/>
          <w:sz w:val="28"/>
          <w:szCs w:val="28"/>
        </w:rPr>
        <w:t xml:space="preserve">Adres udostępnienia Wykazu na BIP MAP: </w:t>
      </w:r>
      <w:r>
        <w:rPr>
          <w:rFonts w:asciiTheme="minorHAnsi" w:hAnsiTheme="minorHAnsi" w:cstheme="minorHAnsi"/>
          <w:sz w:val="28"/>
          <w:szCs w:val="28"/>
        </w:rPr>
        <w:t xml:space="preserve">          </w:t>
      </w:r>
      <w:hyperlink r:id="rId7" w:history="1">
        <w:r w:rsidRPr="006103AA">
          <w:rPr>
            <w:rFonts w:asciiTheme="minorHAnsi" w:hAnsiTheme="minorHAnsi" w:cstheme="minorHAnsi"/>
            <w:b/>
            <w:sz w:val="28"/>
            <w:szCs w:val="28"/>
          </w:rPr>
          <w:t>https://www.gov.pl/web/aktywa-panstwowe/wykaz-prac-legislacyjnych</w:t>
        </w:r>
      </w:hyperlink>
    </w:p>
    <w:p w14:paraId="32351826" w14:textId="015E5DD6" w:rsidR="00614116" w:rsidRPr="006103AA" w:rsidRDefault="00614116" w:rsidP="00614116">
      <w:pPr>
        <w:rPr>
          <w:rFonts w:asciiTheme="minorHAnsi" w:hAnsiTheme="minorHAnsi" w:cstheme="minorHAnsi"/>
          <w:sz w:val="28"/>
          <w:szCs w:val="28"/>
        </w:rPr>
      </w:pPr>
      <w:r w:rsidRPr="00614116">
        <w:rPr>
          <w:rFonts w:asciiTheme="minorHAnsi" w:hAnsiTheme="minorHAnsi" w:cstheme="minorHAnsi"/>
          <w:sz w:val="28"/>
          <w:szCs w:val="28"/>
        </w:rPr>
        <w:t xml:space="preserve">Adres udostępnienia projektów na BIP RCL: </w:t>
      </w:r>
      <w:r w:rsidR="006103AA">
        <w:rPr>
          <w:rFonts w:asciiTheme="minorHAnsi" w:hAnsiTheme="minorHAnsi" w:cstheme="minorHAnsi"/>
          <w:sz w:val="28"/>
          <w:szCs w:val="28"/>
        </w:rPr>
        <w:t xml:space="preserve">        </w:t>
      </w:r>
      <w:hyperlink r:id="rId8" w:history="1">
        <w:r w:rsidR="006103AA" w:rsidRPr="006103AA">
          <w:rPr>
            <w:rFonts w:asciiTheme="minorHAnsi" w:hAnsiTheme="minorHAnsi" w:cstheme="minorHAnsi"/>
            <w:b/>
            <w:sz w:val="28"/>
            <w:szCs w:val="28"/>
          </w:rPr>
          <w:t>https://legislacja.gov.pl</w:t>
        </w:r>
      </w:hyperlink>
    </w:p>
    <w:p w14:paraId="3D30432A" w14:textId="18009AE4" w:rsidR="00943A81" w:rsidRPr="006103AA" w:rsidRDefault="00943A81" w:rsidP="006103AA">
      <w:pPr>
        <w:spacing w:before="120" w:after="240"/>
        <w:rPr>
          <w:rFonts w:asciiTheme="minorHAnsi" w:hAnsiTheme="minorHAnsi" w:cstheme="minorHAnsi"/>
          <w:sz w:val="28"/>
          <w:szCs w:val="28"/>
        </w:rPr>
      </w:pPr>
    </w:p>
    <w:p w14:paraId="672A6659" w14:textId="77777777" w:rsidR="00943A81" w:rsidRPr="00FE4245" w:rsidRDefault="00943A81" w:rsidP="00614116">
      <w:pPr>
        <w:jc w:val="center"/>
        <w:rPr>
          <w:rFonts w:asciiTheme="minorHAnsi" w:hAnsiTheme="minorHAnsi" w:cstheme="minorHAnsi"/>
          <w:sz w:val="28"/>
          <w:szCs w:val="28"/>
        </w:rPr>
      </w:pPr>
      <w:r w:rsidRPr="00FE4245">
        <w:rPr>
          <w:rFonts w:asciiTheme="minorHAnsi" w:hAnsiTheme="minorHAnsi" w:cstheme="minorHAnsi"/>
          <w:sz w:val="28"/>
          <w:szCs w:val="28"/>
        </w:rPr>
        <w:br w:type="page"/>
      </w:r>
    </w:p>
    <w:p w14:paraId="0A37501D" w14:textId="77777777" w:rsidR="00BA746C" w:rsidRPr="00FE4245" w:rsidRDefault="00BA746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DAB6C7B" w14:textId="77777777" w:rsidR="00BA746C" w:rsidRPr="00FE4245" w:rsidRDefault="00BA746C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W w:w="5025" w:type="pct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"/>
        <w:gridCol w:w="2408"/>
        <w:gridCol w:w="3686"/>
        <w:gridCol w:w="3829"/>
        <w:gridCol w:w="1700"/>
        <w:gridCol w:w="2408"/>
        <w:gridCol w:w="1134"/>
      </w:tblGrid>
      <w:tr w:rsidR="00377223" w:rsidRPr="00FE4245" w14:paraId="1DA30A25" w14:textId="77777777" w:rsidTr="00115116">
        <w:trPr>
          <w:trHeight w:val="1137"/>
          <w:tblHeader/>
        </w:trPr>
        <w:tc>
          <w:tcPr>
            <w:tcW w:w="227" w:type="pct"/>
            <w:shd w:val="clear" w:color="auto" w:fill="D9D9D9"/>
            <w:vAlign w:val="center"/>
          </w:tcPr>
          <w:p w14:paraId="4840D583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58" w:type="pct"/>
            <w:shd w:val="clear" w:color="auto" w:fill="D9D9D9"/>
            <w:vAlign w:val="center"/>
          </w:tcPr>
          <w:p w14:paraId="3664D823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aktu</w:t>
            </w:r>
          </w:p>
        </w:tc>
        <w:tc>
          <w:tcPr>
            <w:tcW w:w="1160" w:type="pct"/>
            <w:shd w:val="clear" w:color="auto" w:fill="D9D9D9"/>
            <w:vAlign w:val="center"/>
          </w:tcPr>
          <w:p w14:paraId="3F133495" w14:textId="757126BA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Przyczyny i potrzeba wprowadzenia rozwiązań, które planuje się zawrzeć w projekcie </w:t>
            </w:r>
          </w:p>
        </w:tc>
        <w:tc>
          <w:tcPr>
            <w:tcW w:w="1205" w:type="pct"/>
            <w:shd w:val="clear" w:color="auto" w:fill="D9D9D9"/>
            <w:vAlign w:val="center"/>
          </w:tcPr>
          <w:p w14:paraId="25B7837A" w14:textId="2B5B6039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Istota rozwiązań, które planuje się zawrzeć w projekcie </w:t>
            </w:r>
          </w:p>
        </w:tc>
        <w:tc>
          <w:tcPr>
            <w:tcW w:w="535" w:type="pct"/>
            <w:shd w:val="clear" w:color="auto" w:fill="D9D9D9"/>
            <w:vAlign w:val="center"/>
          </w:tcPr>
          <w:p w14:paraId="405D8D5D" w14:textId="77777777" w:rsidR="00377223" w:rsidRPr="00FE4245" w:rsidRDefault="00377223" w:rsidP="003772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Planowany termin wydania rozporządzenia</w:t>
            </w:r>
          </w:p>
          <w:p w14:paraId="574F9970" w14:textId="3E9C934C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  <w:shd w:val="clear" w:color="auto" w:fill="D9D9D9"/>
            <w:vAlign w:val="center"/>
          </w:tcPr>
          <w:p w14:paraId="223B6357" w14:textId="10D64CE5" w:rsidR="00377223" w:rsidRPr="00FE4245" w:rsidRDefault="00807AF7" w:rsidP="00807A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Osoba odpowiedzialna 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 opracowanie projektu</w:t>
            </w:r>
          </w:p>
        </w:tc>
        <w:tc>
          <w:tcPr>
            <w:tcW w:w="357" w:type="pct"/>
            <w:shd w:val="clear" w:color="auto" w:fill="D9D9D9"/>
            <w:vAlign w:val="center"/>
          </w:tcPr>
          <w:p w14:paraId="799FDD96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Przyczyny rezygnacji z prac nad projektem  rozporządzenia</w:t>
            </w:r>
          </w:p>
        </w:tc>
      </w:tr>
      <w:tr w:rsidR="004B44CB" w:rsidRPr="00FE4245" w14:paraId="647F2B02" w14:textId="77777777" w:rsidTr="00115116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6031B" w14:textId="77777777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1.21</w:t>
            </w:r>
          </w:p>
          <w:p w14:paraId="0135CBF0" w14:textId="5C2AFC75" w:rsidR="004B44CB" w:rsidRPr="00BB7A79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(dot. nr 23.1.20)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FE37" w14:textId="6C7D4734" w:rsidR="004B44CB" w:rsidRPr="00FE4245" w:rsidRDefault="004B44CB" w:rsidP="004B44C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Rozporządzenie</w:t>
            </w: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Ministra Aktywów Państwowych w sprawie kwalifikacji w zakresie górnictwa i ratownictwa górniczego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92AAC" w14:textId="7FA42102" w:rsidR="004B44CB" w:rsidRPr="00FE4245" w:rsidRDefault="004B44CB" w:rsidP="004B44CB">
            <w:pPr>
              <w:pStyle w:val="Tekstpodstawowywcity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Projekt stanowi wykonanie upoważnienia ustawowego zawartego w art. 69a 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stawy z dnia 9 czerwca 2011 r. </w:t>
            </w:r>
            <w:r>
              <w:rPr>
                <w:rFonts w:asciiTheme="minorHAnsi" w:hAnsiTheme="minorHAnsi"/>
                <w:sz w:val="20"/>
                <w:szCs w:val="20"/>
              </w:rPr>
              <w:t>–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 Prawo geologiczne i górnicze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Potrzeba opracowania nowego rozporządzenia wynika ze zmiany przepisu upoważniającego (w tym zmiany organu właściwego do wydania przedmiotowego rozporządzenia z ministra właściwego do spraw środowiska na ministra właściwego do spraw gospodarki złożami kopalin) oraz związanej ze zmianą przedmiotowego upoważnienia utratą mocy przez rozporządzenie Ministra Środowiska z dnia 2 sierpnia 2016 r. w sprawie kwalifikacji w zakresie górnictwa i ratownictwa górniczego (Dz. U. poz. 1229) z dniem 29 sierpnia 2020 r. Dodatkowo przez wydanie nowego rozporządzenia uwzględniona zostanie petycja obywatelska o podjęcie inicjatywy legislacyjnej dotyczącej zmiany rozporządzenia Ministra Środowiska z dnia 2 sierpnia 2016 r. w sprawie kwalifikacji w zakresie górnictwa i ratownictwa górniczego.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D608" w14:textId="245032D7" w:rsidR="004B44CB" w:rsidRPr="00FE4245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Projekt określa szczegółowe wymagania dotyczące  kwalifikacji w zakresie przygotowania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zawodowego oraz w zakresie doświadczenia zawodowego dla osób wykonujących czynności w ruchu</w:t>
            </w:r>
          </w:p>
          <w:p w14:paraId="15AB9E8A" w14:textId="77777777" w:rsidR="004B44CB" w:rsidRPr="00FE4245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zakładu górniczego lub zakładu, wymienionych w art. 53 ust. 1 Prawa geologicznego i górniczego. Rozwiązania przyjęte w projekcie w zasadzie powtarzają sprawdzone rozwiązania ujęte w dotychczasowym rozporządzeniu, ze zmianami wynikającymi z doświadczeń organów nadzoru górniczego, uzyskanymi w procesie stwierdzania kwalifikacji</w:t>
            </w:r>
          </w:p>
          <w:p w14:paraId="02EB378F" w14:textId="73EDDF5C" w:rsidR="004B44CB" w:rsidRPr="00FE4245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do wykonywania czynności w ruchu zakładu górniczego lub zakładu, a także w ramach sprawowania nadzoru.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0E00" w14:textId="4517BC7E" w:rsidR="004B44CB" w:rsidRPr="004C518E" w:rsidRDefault="004B44CB" w:rsidP="004B44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518E">
              <w:rPr>
                <w:rFonts w:asciiTheme="minorHAnsi" w:hAnsiTheme="minorHAnsi" w:cstheme="minorHAnsi"/>
                <w:b/>
                <w:sz w:val="20"/>
                <w:szCs w:val="20"/>
              </w:rPr>
              <w:t>Marzec 2022 r.</w:t>
            </w:r>
          </w:p>
          <w:p w14:paraId="3765024F" w14:textId="77777777" w:rsidR="004B44CB" w:rsidRPr="00FB773C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0986BF" w14:textId="5BB36F25" w:rsidR="004B44CB" w:rsidRPr="00FB773C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E944" w14:textId="7777777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2A801C01" w14:textId="7777777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72A3D3EC" w14:textId="3939EDA9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773C">
              <w:rPr>
                <w:rFonts w:asciiTheme="minorHAnsi" w:hAnsiTheme="minorHAnsi" w:cstheme="minorHAnsi"/>
                <w:sz w:val="20"/>
                <w:szCs w:val="20"/>
              </w:rPr>
              <w:t>(tel. 22 695 83 00)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940D" w14:textId="5C389AF8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 związku ze zmianą właściwości ministra, prace nad rozporządzeniem będzie prowadził Minister Przemysłu.</w:t>
            </w:r>
          </w:p>
        </w:tc>
      </w:tr>
      <w:tr w:rsidR="004B44CB" w:rsidRPr="00FE4245" w14:paraId="7F258EAB" w14:textId="77777777" w:rsidTr="00115116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6C0B" w14:textId="77777777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2.21</w:t>
            </w:r>
          </w:p>
          <w:p w14:paraId="033A3FB1" w14:textId="7D8331F9" w:rsidR="004B44CB" w:rsidRPr="00BB7A79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(dot. nr </w:t>
            </w: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32.1.20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8FD1" w14:textId="7475911F" w:rsidR="004B44CB" w:rsidRPr="00FE4245" w:rsidRDefault="004B44CB" w:rsidP="004B44C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Rozporządzenie</w:t>
            </w: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Ministra Aktywów Państwowych zmieniającego rozporządzenie w sprawie szczegółowych warunków udzielania operatorowi wyznaczonemu środków związanych z funkcjonowani</w:t>
            </w:r>
            <w:r w:rsidRPr="00FE4245">
              <w:rPr>
                <w:rFonts w:asciiTheme="minorHAnsi" w:hAnsiTheme="minorHAnsi"/>
                <w:b/>
                <w:sz w:val="20"/>
                <w:szCs w:val="20"/>
              </w:rPr>
              <w:t xml:space="preserve">em usługi </w:t>
            </w:r>
            <w:r w:rsidRPr="00FE4245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pocztowej przy wykorzystaniu środków komunikacji elektronicznej na etapie doręczania, zwolnionych z wymogu </w:t>
            </w: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otyfikacji Komisji Europejskiej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CD38" w14:textId="35228593" w:rsidR="004B44CB" w:rsidRPr="00FE4245" w:rsidRDefault="004B44CB" w:rsidP="004B44CB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lastRenderedPageBreak/>
              <w:t>Projektowane rozporządzenie ma na celu zmniejszenie kosztów Poczty Polskiej S.A. ponoszonych z tytułu badania przez biegłego rewidenta rozliczenia usługi pocztowej przy wykorzystaniu środków komunikacji elektronicznej.</w:t>
            </w:r>
          </w:p>
          <w:p w14:paraId="6298DF64" w14:textId="11F54766" w:rsidR="004B44CB" w:rsidRPr="00FE4245" w:rsidRDefault="004B44CB" w:rsidP="004B44CB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t>Koszt, który Poczta Polska S.A. poniosłaby w związku z przeprowadzeniem odrębnego badania</w:t>
            </w:r>
            <w:r>
              <w:rPr>
                <w:rFonts w:asciiTheme="minorHAnsi" w:hAnsiTheme="minorHAnsi" w:cstheme="minorHAnsi"/>
              </w:rPr>
              <w:t>,</w:t>
            </w:r>
            <w:r w:rsidRPr="00FE4245">
              <w:rPr>
                <w:rFonts w:asciiTheme="minorHAnsi" w:hAnsiTheme="minorHAnsi" w:cstheme="minorHAnsi"/>
              </w:rPr>
              <w:t xml:space="preserve"> wyniósłby 24 600 zł. Tymczasem </w:t>
            </w:r>
            <w:r w:rsidRPr="00FE4245">
              <w:rPr>
                <w:rFonts w:asciiTheme="minorHAnsi" w:hAnsiTheme="minorHAnsi" w:cstheme="minorHAnsi"/>
              </w:rPr>
              <w:lastRenderedPageBreak/>
              <w:t>kwota jaka zostanie wypłacona Spółce z tytułu świadczenia usługi pocztowej przy wykorzystaniu środków komunikacji elektronicznej na etapie doręczenia została oszacowana na 115 742,34 zł. Z uwagi na wysokość kwoty przewidywanej do wypłacenia Poczcie Polskiej S.A., to koszt opinii biegłego rewidenta jest nieadekwatny do uzyskanej dopłaty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09E1" w14:textId="749B2605" w:rsidR="004B44CB" w:rsidRPr="00FE4245" w:rsidRDefault="004B44CB" w:rsidP="004B44CB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lastRenderedPageBreak/>
              <w:t xml:space="preserve">Projekt wprowadza możliwość przedłożenia rozliczenia pobranych środków na podstawie rocznego sprawozdania finansowego z działalności spółki zbadanego przez biegłego rewidenta. Ponadto projekt przewiduje przepis obligujący Pocztę Polską S.A. </w:t>
            </w:r>
            <w:r>
              <w:rPr>
                <w:rFonts w:asciiTheme="minorHAnsi" w:hAnsiTheme="minorHAnsi"/>
              </w:rPr>
              <w:t>–</w:t>
            </w:r>
            <w:r w:rsidRPr="00FE4245">
              <w:rPr>
                <w:rFonts w:asciiTheme="minorHAnsi" w:hAnsiTheme="minorHAnsi" w:cstheme="minorHAnsi"/>
              </w:rPr>
              <w:t xml:space="preserve"> w przypadku wystąpienia środków niezweryfikowanych badaniem rozliczenia lub, częściowo albo całkowic</w:t>
            </w:r>
            <w:r>
              <w:rPr>
                <w:rFonts w:asciiTheme="minorHAnsi" w:hAnsiTheme="minorHAnsi" w:cstheme="minorHAnsi"/>
              </w:rPr>
              <w:t xml:space="preserve">ie, </w:t>
            </w:r>
            <w:r>
              <w:rPr>
                <w:rFonts w:asciiTheme="minorHAnsi" w:hAnsiTheme="minorHAnsi" w:cstheme="minorHAnsi"/>
              </w:rPr>
              <w:lastRenderedPageBreak/>
              <w:t xml:space="preserve">zweryfikowanych negatywnie </w:t>
            </w:r>
            <w:r>
              <w:rPr>
                <w:rFonts w:asciiTheme="minorHAnsi" w:hAnsiTheme="minorHAnsi"/>
              </w:rPr>
              <w:t>–</w:t>
            </w:r>
            <w:r w:rsidRPr="00FE4245">
              <w:rPr>
                <w:rFonts w:asciiTheme="minorHAnsi" w:hAnsiTheme="minorHAnsi" w:cstheme="minorHAnsi"/>
              </w:rPr>
              <w:t xml:space="preserve"> do zwrotu pobranej nadpłaty w terminie 7 dni roboczych od dnia przekazania ministrowi właściwemu do spraw łączności zatwierdzonego sprawozdania finansowego przez uprawniony organ.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15DC" w14:textId="77777777" w:rsidR="004B44CB" w:rsidRDefault="004B44CB" w:rsidP="004B44CB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  <w:r w:rsidRPr="006103AA">
              <w:rPr>
                <w:rFonts w:asciiTheme="minorHAnsi" w:hAnsiTheme="minorHAnsi" w:cstheme="minorHAnsi"/>
                <w:b/>
              </w:rPr>
              <w:lastRenderedPageBreak/>
              <w:t>Luty 2021 r.</w:t>
            </w:r>
          </w:p>
          <w:p w14:paraId="31412157" w14:textId="77777777" w:rsidR="004B44CB" w:rsidRDefault="004B44CB" w:rsidP="004B44CB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  <w:p w14:paraId="1E3A6360" w14:textId="77777777" w:rsidR="004B44CB" w:rsidRPr="0004052A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04052A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31207975" w14:textId="46175E12" w:rsidR="004B44CB" w:rsidRPr="0004052A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Helv" w:hAnsi="Helv" w:cs="Helv"/>
                <w:sz w:val="20"/>
                <w:szCs w:val="20"/>
              </w:rPr>
            </w:pPr>
            <w:r w:rsidRPr="0004052A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04052A">
              <w:rPr>
                <w:rFonts w:asciiTheme="minorHAnsi" w:hAnsiTheme="minorHAnsi" w:cs="Helv"/>
                <w:sz w:val="20"/>
                <w:szCs w:val="20"/>
              </w:rPr>
              <w:t>U. z 2021 r. poz. 301</w:t>
            </w:r>
          </w:p>
          <w:p w14:paraId="7A9A139D" w14:textId="5DAF82FE" w:rsidR="004B44CB" w:rsidRPr="006103AA" w:rsidRDefault="004B44CB" w:rsidP="004B44CB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DDB1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Michał Holeksa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Zastępca Dyrektora  </w:t>
            </w:r>
          </w:p>
          <w:p w14:paraId="213C866E" w14:textId="09F3DDEF" w:rsidR="004B44CB" w:rsidRPr="00FB0A2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Departamentu Łączności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</w:t>
            </w:r>
          </w:p>
          <w:p w14:paraId="24804F69" w14:textId="5ED7B57B" w:rsidR="004B44CB" w:rsidRPr="00FB0A2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22 695 82 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70F0" w14:textId="7777777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FE4245" w14:paraId="2F3247C8" w14:textId="77777777" w:rsidTr="00115116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36C6" w14:textId="3BBA3C57" w:rsidR="004B44CB" w:rsidRPr="00FE4245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3.21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C269" w14:textId="56BD98CB" w:rsidR="004B44CB" w:rsidRPr="00FE4245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  <w:r w:rsidRPr="00FE4245">
              <w:rPr>
                <w:rFonts w:asciiTheme="minorHAnsi" w:hAnsiTheme="minorHAnsi"/>
                <w:b/>
                <w:sz w:val="20"/>
                <w:szCs w:val="20"/>
              </w:rPr>
              <w:t xml:space="preserve"> Ministra Aktywów Państwowych w sprawie szczegółowych zasad i trybu przyznawania nagrody rocznej osobom kierującym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niektórymi podmiotami prawnymi</w:t>
            </w:r>
          </w:p>
          <w:p w14:paraId="4D7D6FBD" w14:textId="6EB72314" w:rsidR="004B44CB" w:rsidRPr="00FE4245" w:rsidRDefault="004B44CB" w:rsidP="004B44C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9CAE" w14:textId="77777777" w:rsidR="004B44CB" w:rsidRPr="00FE4245" w:rsidRDefault="004B44CB" w:rsidP="004B44CB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W związku z procedowanym wspólnie z Ministrem Klimatu i Środowiska uchyleniem rozporządzenia Ministra Energii z dnia 22 września 2017 r. w sprawie przyznawania nagrody rocznej osobom kierującym niektórymi podmiotami prawnymi, zaistniała konieczność wydania nowego rozporządzenia Ministra Aktywów Państwowych, na podstawie którego zostaną określone zasady i tryb przyznawania nagrody rocznej osobom zatrudnionym w podmiotach nadzorowanych lub podległych: (a) ministrowi właściwemu do spraw aktywów państwowych (b) ministrowi właściwemu do spraw gospodarki złożami kopalin oraz (c) ministrowi właściwemu do spraw łączności.</w:t>
            </w:r>
          </w:p>
          <w:p w14:paraId="6308C3D8" w14:textId="48C0937F" w:rsidR="004B44CB" w:rsidRPr="00FE4245" w:rsidRDefault="004B44CB" w:rsidP="004B44CB">
            <w:pPr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Wydanie nowego rozporządzenia pozwoli Ministrowi Aktywów Państwowych procedować wnioski o przyznawanie nagrody rocznej uprawnionym osobom, w przypadku gdy taki wniosek został skierowany do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MAP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 xml:space="preserve">. Konieczność wprowadzenia podstaw prawnych dla ministra właściwego do spraw aktywów </w:t>
            </w:r>
            <w:r w:rsidRPr="00FE4245">
              <w:rPr>
                <w:rFonts w:asciiTheme="minorHAnsi" w:hAnsiTheme="minorHAnsi"/>
                <w:sz w:val="20"/>
                <w:szCs w:val="20"/>
              </w:rPr>
              <w:lastRenderedPageBreak/>
              <w:t>państwowych, gospodarki złożami kopalin oraz łączności  jest następstwem zmian w zakresie d</w:t>
            </w:r>
            <w:r>
              <w:rPr>
                <w:rFonts w:asciiTheme="minorHAnsi" w:hAnsiTheme="minorHAnsi"/>
                <w:sz w:val="20"/>
                <w:szCs w:val="20"/>
              </w:rPr>
              <w:t>ziałów w administracji rządowej.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1636" w14:textId="08670844" w:rsidR="004B44CB" w:rsidRPr="00FE4245" w:rsidRDefault="004B44CB" w:rsidP="004B44CB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Projektowane rozporządzenie wprowadza szczegółowe zasady i tryb przyznawania nagrody rocznej przez Ministra Aktywów Państwowych osobom, </w:t>
            </w:r>
            <w:r>
              <w:rPr>
                <w:rFonts w:asciiTheme="minorHAnsi" w:hAnsiTheme="minorHAnsi"/>
                <w:sz w:val="20"/>
                <w:szCs w:val="20"/>
              </w:rPr>
              <w:t>o których mowa w art. 2 pkt 1–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 xml:space="preserve">4 ustawy z dnia 3 marca 2000 r. o wynagradzaniu osób kierujących niektórymi podmiotami prawnymi zatrudnionych w podmiotach prawnych utworzonych lub nadzorowanych przez ministra właściwego do spraw aktywów państwowych, gospodarki złożami kopalin i łączności lub podległych temu ministrowi. </w:t>
            </w:r>
          </w:p>
          <w:p w14:paraId="48F4A93C" w14:textId="0469B96A" w:rsidR="004B44CB" w:rsidRPr="00FE4245" w:rsidRDefault="004B44CB" w:rsidP="004B44CB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0C92" w14:textId="0097D8C6" w:rsidR="004B44CB" w:rsidRPr="006103AA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103AA">
              <w:rPr>
                <w:rFonts w:asciiTheme="minorHAnsi" w:hAnsiTheme="minorHAnsi"/>
                <w:b/>
                <w:sz w:val="20"/>
                <w:szCs w:val="20"/>
              </w:rPr>
              <w:t>Marzec 2021 r.</w:t>
            </w:r>
          </w:p>
          <w:p w14:paraId="3201E1A0" w14:textId="77777777" w:rsidR="004B44CB" w:rsidRDefault="004B44CB" w:rsidP="004B44CB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  <w:p w14:paraId="71388B64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3E190F5E" w14:textId="455529D9" w:rsidR="004B44CB" w:rsidRPr="00640BED" w:rsidRDefault="004B44CB" w:rsidP="004B44CB">
            <w:pPr>
              <w:pStyle w:val="Tekstprzypisukocowego"/>
              <w:rPr>
                <w:rFonts w:asciiTheme="minorHAnsi" w:hAnsiTheme="minorHAnsi" w:cs="Helv"/>
              </w:rPr>
            </w:pPr>
            <w:r w:rsidRPr="00640BED">
              <w:rPr>
                <w:rFonts w:asciiTheme="minorHAnsi" w:hAnsiTheme="minorHAnsi" w:cs="Helv"/>
              </w:rPr>
              <w:t>Rozporządzenie opublikowane w Dz.</w:t>
            </w:r>
            <w:r>
              <w:rPr>
                <w:rFonts w:asciiTheme="minorHAnsi" w:hAnsiTheme="minorHAnsi" w:cs="Helv"/>
              </w:rPr>
              <w:t xml:space="preserve"> </w:t>
            </w:r>
            <w:r w:rsidRPr="00640BED">
              <w:rPr>
                <w:rFonts w:asciiTheme="minorHAnsi" w:hAnsiTheme="minorHAnsi" w:cs="Helv"/>
              </w:rPr>
              <w:t>U. z 2021 r. poz</w:t>
            </w:r>
            <w:r>
              <w:rPr>
                <w:rFonts w:asciiTheme="minorHAnsi" w:hAnsiTheme="minorHAnsi" w:cs="Helv"/>
              </w:rPr>
              <w:t>. 878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1DFE" w14:textId="7777777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29F86255" w14:textId="7777777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52E12EC1" w14:textId="38E10E2D" w:rsidR="004B44CB" w:rsidRPr="00FE4245" w:rsidRDefault="004B44CB" w:rsidP="004B44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773C">
              <w:rPr>
                <w:rFonts w:asciiTheme="minorHAnsi" w:hAnsiTheme="minorHAnsi"/>
                <w:sz w:val="20"/>
                <w:szCs w:val="20"/>
              </w:rPr>
              <w:t>(tel. 22 695 83 00)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C471" w14:textId="7777777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061FA2" w14:paraId="1C9555E1" w14:textId="77777777" w:rsidTr="00115116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D8287" w14:textId="235C8E0C" w:rsidR="004B44CB" w:rsidRPr="00FE4245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4.21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406B" w14:textId="7E63A5C2" w:rsidR="004B44CB" w:rsidRPr="00FE4245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 realizacji publicznej usług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 hybrydowej w obrocie krajowym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3EBC" w14:textId="500CC2A2" w:rsidR="004B44CB" w:rsidRPr="00FE4245" w:rsidRDefault="004B44CB" w:rsidP="004B44CB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Projekt stanowi wykonanie upoważnienia ust</w:t>
            </w:r>
            <w:r>
              <w:rPr>
                <w:rFonts w:asciiTheme="minorHAnsi" w:hAnsiTheme="minorHAnsi"/>
                <w:sz w:val="20"/>
                <w:szCs w:val="20"/>
              </w:rPr>
              <w:t>awowego zawartego w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 xml:space="preserve"> art. 50 ustawy z dnia 18 listopada 2020 r. o doręczeniach elektron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icznych </w:t>
            </w:r>
            <w:r w:rsidRPr="00787D6B">
              <w:rPr>
                <w:rFonts w:asciiTheme="minorHAnsi" w:hAnsiTheme="minorHAnsi"/>
                <w:sz w:val="20"/>
                <w:szCs w:val="20"/>
              </w:rPr>
              <w:t>(Dz. U. z 2020 r. poz. 2320)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180" w14:textId="1B2653E9" w:rsidR="004B44CB" w:rsidRPr="00FE4245" w:rsidRDefault="004B44CB" w:rsidP="004B44C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Projekt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 xml:space="preserve"> określi warunki świadczenia publicznej usługi hybrydowej na etapie przekształcania korespondencji z pliku elektronicznego w przesyłkę listową oraz na etapie doręczania przesyłki listowej.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78A5F" w14:textId="77777777" w:rsidR="004B44CB" w:rsidRPr="00640BED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/>
                <w:b/>
                <w:sz w:val="20"/>
                <w:szCs w:val="20"/>
              </w:rPr>
              <w:t>Luty 2021 r.</w:t>
            </w:r>
          </w:p>
          <w:p w14:paraId="701A1F41" w14:textId="77777777" w:rsidR="004B44CB" w:rsidRPr="00640BED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BF142C7" w14:textId="462C5DCE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063A177" w14:textId="620A8FF9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1503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</w:p>
          <w:p w14:paraId="4568BEC0" w14:textId="7277919D" w:rsidR="004B44CB" w:rsidRPr="00640BED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EB7B" w14:textId="7777777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2990AE0B" w14:textId="7BA9A16C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radca ministra w Departamencie Łączności</w:t>
            </w:r>
          </w:p>
          <w:p w14:paraId="2E71A61A" w14:textId="5A5A173F" w:rsidR="004B44CB" w:rsidRPr="00614116" w:rsidRDefault="004B44CB" w:rsidP="004B44C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411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(tel. 22 695 86 88;</w:t>
            </w:r>
          </w:p>
          <w:p w14:paraId="5E6AAEE1" w14:textId="6D6412A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D37E" w14:textId="7777777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B44CB" w:rsidRPr="00061FA2" w14:paraId="0C7D98B6" w14:textId="77777777" w:rsidTr="00115116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033F" w14:textId="5742A0F3" w:rsidR="004B44CB" w:rsidRPr="00787D6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5.21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73C9" w14:textId="19523728" w:rsidR="004B44CB" w:rsidRPr="00FE4245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</w:t>
            </w:r>
            <w:r w:rsidRPr="00787D6B">
              <w:rPr>
                <w:rFonts w:asciiTheme="minorHAnsi" w:hAnsiTheme="minorHAnsi"/>
                <w:b/>
                <w:sz w:val="20"/>
                <w:szCs w:val="20"/>
              </w:rPr>
              <w:t>ozporządzenie Ministra Aktywów Państwowych i Ministra Cyfryzacji w sprawie reklamacji za niewykonanie publicznej usługi rejestrowanego doręczenia elektronicznego oraz publicznej usługi hybrydowej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AF14" w14:textId="421184F0" w:rsidR="004B44CB" w:rsidRPr="00FE4245" w:rsidRDefault="004B44CB" w:rsidP="004B44CB">
            <w:pPr>
              <w:rPr>
                <w:rFonts w:asciiTheme="minorHAnsi" w:hAnsiTheme="minorHAnsi"/>
                <w:sz w:val="20"/>
                <w:szCs w:val="20"/>
              </w:rPr>
            </w:pPr>
            <w:r w:rsidRPr="00787D6B">
              <w:rPr>
                <w:rFonts w:asciiTheme="minorHAnsi" w:hAnsiTheme="minorHAnsi"/>
                <w:sz w:val="20"/>
                <w:szCs w:val="20"/>
              </w:rPr>
              <w:t>Projekt stanowi wykonanie upoważnienia ustawowego zawartego w na podstawie art. 57 ust. 4 ustawy z dnia 18 listopada 2020 r. o doręczeniach elektronicznych (Dz. U. z 2020 r. poz. 2320).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4990" w14:textId="4058ADC0" w:rsidR="004B44CB" w:rsidRDefault="004B44CB" w:rsidP="004B44CB">
            <w:pPr>
              <w:rPr>
                <w:rFonts w:asciiTheme="minorHAnsi" w:hAnsiTheme="minorHAnsi"/>
                <w:sz w:val="20"/>
                <w:szCs w:val="20"/>
              </w:rPr>
            </w:pPr>
            <w:r w:rsidRPr="00787D6B">
              <w:rPr>
                <w:rFonts w:asciiTheme="minorHAnsi" w:hAnsiTheme="minorHAnsi"/>
                <w:sz w:val="20"/>
                <w:szCs w:val="20"/>
              </w:rPr>
              <w:t>Celem rozporządzenia jest uregulowanie procedury składania reklamacji związanych z niewykonaniem lub nienależytym wykonaniem publicznej usługi hybrydowej, o której mowa w art. 2 ust. 7 ustawy o doręczeniach elektronicznych, oraz niewykonaniem lub nienależytym wykonaniem publicznej usługi rejestrowanego doręczenia elektronicznego, o której mowa w art. 2 ust. 8 tejże ustawy.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C737C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103AA">
              <w:rPr>
                <w:rFonts w:asciiTheme="minorHAnsi" w:hAnsiTheme="minorHAnsi"/>
                <w:b/>
                <w:sz w:val="20"/>
                <w:szCs w:val="20"/>
              </w:rPr>
              <w:t>Styczeń 2021 r.</w:t>
            </w:r>
          </w:p>
          <w:p w14:paraId="0FB59D20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9247FA8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7AB0F519" w14:textId="2A412611" w:rsidR="004B44CB" w:rsidRPr="006103AA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1501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42F0B" w14:textId="7777777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776D7F80" w14:textId="7777777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radca ministra w Departamencie Łączności</w:t>
            </w:r>
          </w:p>
          <w:p w14:paraId="3EC14EC8" w14:textId="77777777" w:rsidR="004B44CB" w:rsidRPr="00614116" w:rsidRDefault="004B44CB" w:rsidP="004B44C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411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(tel. 22 695 86 88;</w:t>
            </w:r>
          </w:p>
          <w:p w14:paraId="71B7AD7A" w14:textId="18F81D1C" w:rsidR="004B44CB" w:rsidRPr="00787D6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702A7" w14:textId="77777777" w:rsidR="004B44CB" w:rsidRPr="00787D6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B44CB" w:rsidRPr="00EA5B97" w14:paraId="24686D06" w14:textId="77777777" w:rsidTr="00115116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02C6" w14:textId="54D09351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6.21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4C8E" w14:textId="77777777" w:rsidR="004B44CB" w:rsidRPr="00C80B78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80B78"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</w:p>
          <w:p w14:paraId="33D82804" w14:textId="7907A1DD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80B78">
              <w:rPr>
                <w:rFonts w:asciiTheme="minorHAnsi" w:hAnsiTheme="minorHAnsi"/>
                <w:b/>
                <w:sz w:val="20"/>
                <w:szCs w:val="20"/>
              </w:rPr>
              <w:t>Ministra Aktywów Państwowych w sprawie określenia nazw, siedzib i właściwości miejscowej okręgowych urzędów górniczych oraz zniesienia Okręgowego Urzędu w Rybniku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4033D" w14:textId="17EF335E" w:rsidR="004B44CB" w:rsidRPr="003C5ABC" w:rsidRDefault="004B44CB" w:rsidP="004B44CB">
            <w:pPr>
              <w:pStyle w:val="Tekstpodstawowywcity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>Projekt rozporządzenia stanowi wykonanie upoważnienia zawartego w art. 167 ust. 7 ustawy z dnia 9 czerwca 2011 r. – Prawo geologiczne i górnicze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 xml:space="preserve">godnie 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którym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>, minister właściwy do spraw gospodarki złożami kopalin, w drodze rozporządzenia, tworzy i znosi okręgowe urzędy górnicze, określając ich nazwę, siedzibę i właściwość miejscową, kierując się potrzebami związanymi z racjonalizacją działania organów nadzoru górniczego.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Wydanie nowego rozporządzenia jest niezbędne z uwagi na konieczność wprowadzenia zmian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 organizacji okręgowych urzędów górniczych.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0EB6" w14:textId="44181D2A" w:rsidR="004B44CB" w:rsidRDefault="004B44CB" w:rsidP="004B44C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Projekt przewiduje zniesienie Okręgowego Urzędu Górniczego w Rybniku, zmianę nazwy i siedziby Okręgowego Urzędu Górniczego w Gliwicach oraz zmianę nazwy Okręgowego Urzędu Górniczego w Katowicach, a także zmianę właściwości miejscowej okręgowych urzędów górniczych.</w:t>
            </w:r>
          </w:p>
          <w:p w14:paraId="117CF036" w14:textId="77777777" w:rsidR="004B44CB" w:rsidRPr="00787D6B" w:rsidRDefault="004B44CB" w:rsidP="004B44C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FF887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Lipiec 2021 r.</w:t>
            </w:r>
          </w:p>
          <w:p w14:paraId="6640CBCE" w14:textId="77777777" w:rsidR="004B44CB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</w:p>
          <w:p w14:paraId="441941A4" w14:textId="626560D6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118122D" w14:textId="52E1D347" w:rsidR="004B44CB" w:rsidRPr="006103AA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</w:t>
            </w:r>
            <w:r>
              <w:rPr>
                <w:rFonts w:asciiTheme="minorHAnsi" w:hAnsiTheme="minorHAnsi" w:cs="Helv"/>
                <w:sz w:val="20"/>
                <w:szCs w:val="20"/>
              </w:rPr>
              <w:t>enie opublikowane w Dz. U. z 2022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 xml:space="preserve">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525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DB62F" w14:textId="77777777" w:rsidR="004B44CB" w:rsidRPr="00A138F3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4D82EC5C" w14:textId="77777777" w:rsidR="004B44CB" w:rsidRPr="00A138F3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137DF190" w14:textId="32B2639C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/>
                <w:sz w:val="20"/>
                <w:szCs w:val="20"/>
              </w:rPr>
              <w:t>(tel. 22 695 83 00)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D10B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6261FED8" w14:textId="77777777" w:rsidTr="00115116">
        <w:trPr>
          <w:trHeight w:val="371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C7B6" w14:textId="779FA8E2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7.21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F8062" w14:textId="71362C1E" w:rsidR="004B44CB" w:rsidRPr="00C80B78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 szczegółowych warunków udzielania operatorowi wyznaczonemu środków z tytułu świadczenia usługi pocztowej przy wykorzystaniu środków komunikacji elektronicznej na etapie doręczania, zwolnionych z wymogu notyfikacji Komisji Europejskiej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ACD62" w14:textId="6B4961DC" w:rsidR="004B44CB" w:rsidRPr="005C5FCA" w:rsidRDefault="004B44CB" w:rsidP="004B44C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stanowi wykonanie upoważnienia zawartego w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art. 15zzu</w:t>
            </w:r>
            <w:r w:rsidRPr="009112E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10h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ust. 8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staw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z dnia 2 marca 2020 r. o szczegó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lnych rozwiązaniach związanych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z zapobieganiem, przeciwdziałaniem i zwalczaniem COVID-19, innych chorób zakaźnych oraz wywołanych nimi sytuacji kryzysowych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który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nakłada na ministra właściwego do spraw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łączności obowiązek określenia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szczegółowych warunków udzielania operatorowi wyznaczonemu środków z Funduszu Przeciwdziałania COVID-19 na pokrycie kosztów czynności dodatkowych związanych z doręczeniem, wykonywanych w ramach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usługi wprowadzonej ww. ustawą,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za których wykonanie operator nie pobrał opłaty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powiększonych o wskaźnik zwrotu kosztu zaangażowanego kapitału dla operatora wyznaczonego. </w:t>
            </w:r>
          </w:p>
          <w:p w14:paraId="7C6D25AF" w14:textId="77777777" w:rsidR="004B44CB" w:rsidRPr="004741B5" w:rsidRDefault="004B44CB" w:rsidP="004B44C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4BB9" w14:textId="02E028B5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określa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szcz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egółowe warunki udzielania środków operatorowi wyznaczonemu obejmujące: okres rozliczeniowy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 xml:space="preserve">zakres danych przekazywanych przez operatora wyznaczonego do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ministra,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 xml:space="preserve"> okres powierzenia do świadczenia usługi,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wzór wyliczenia kwoty należnych środków,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terminy przekazania danych za okres rozliczeniowy,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termin wypłaty kwoty należnych środków dla operatora wyznaczonego,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zasady ostatecznego rozliczenia, w tym rozliczenia różnic.</w:t>
            </w:r>
          </w:p>
          <w:p w14:paraId="024BB4F9" w14:textId="4C251B74" w:rsidR="004B44CB" w:rsidRDefault="004B44CB" w:rsidP="004B44C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Na podstawie rozporządzenia będą wypłacane wyłącznie środki zwolnione z wymogu notyfikacji Komisji Europejskiej na zasadach określonych w decyzji Komisji z dnia 20 grudnia 2011 r. w sprawie stosowania art. 106 ust. 2 Traktatu o funkcjonowaniu Unii Europejskiej do pomocy państwa w formie rekompensaty z tytułu świadczenia usług publicznych, przyznawanej przedsiębiorstwom zobowiązanym do wykonywania usług świadczonych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br/>
              <w:t>w ogólnym interesie gospodarczym (Dz. Urz. UE L 7 z 11.01.2012, str. 3).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2636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Czerwiec 2021 r.</w:t>
            </w:r>
          </w:p>
          <w:p w14:paraId="02C61491" w14:textId="6718E0F8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09BA4C2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D6A5474" w14:textId="72D7B9B5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1848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BB8C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Michał Holeksa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Zastępca Dyrektora  </w:t>
            </w:r>
          </w:p>
          <w:p w14:paraId="3D4BEA96" w14:textId="77777777" w:rsidR="004B44CB" w:rsidRPr="00FB0A2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Departamentu Łączności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</w:t>
            </w:r>
          </w:p>
          <w:p w14:paraId="6336AF1F" w14:textId="247358BB" w:rsidR="004B44CB" w:rsidRPr="00A138F3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22 695 82 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25F5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061FA2" w14:paraId="4007CF8D" w14:textId="77777777" w:rsidTr="00115116">
        <w:trPr>
          <w:trHeight w:val="371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25E3F" w14:textId="50C48CE4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lastRenderedPageBreak/>
              <w:t>8.21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9212" w14:textId="514BE872" w:rsidR="004B44CB" w:rsidRPr="003C5ABC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252538">
              <w:rPr>
                <w:rFonts w:asciiTheme="minorHAnsi" w:hAnsiTheme="minorHAnsi"/>
                <w:b/>
                <w:sz w:val="20"/>
                <w:szCs w:val="20"/>
              </w:rPr>
              <w:t>szczegółowych warunków udzielania operatorowi wyznaczonemu dotacji związanej z funkcjonowaniem usługi pocztowej przy wykorzystaniu środków komunikacji elektronicznej na etapie doręczania, zwolnionych z wymogu notyfikacji Komisji Europejskiej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87B0" w14:textId="5491D424" w:rsidR="004B44CB" w:rsidRDefault="004B44CB" w:rsidP="004B44C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Projekt stanowi wykonanie upowa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żnienia ustawowego zawartego w a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rt. 15zzu 10h ust. 9 ustawy z dnia 2 marca 2020 r. o szczególnych rozwiązaniach związanych z zapobieganiem, przeciwdziałaniem i zwalczaniem COVID-19, innych chorób zakaźnych oraz wywołanych nimi sytuacji kryzysowych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7242" w14:textId="7DA8DCBB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udzielania operatorowi wyznaczonemu dotacji stanowiącej rekompensatę kosztów wykonywania przez operatora wyznaczonego czynności dodatkowych związanych z doręczeniem, wykonywanych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ramach usługi wprowadzonej 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ustawą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o szczególnych rozwiązaniach związanych z zapobieganiem, przeciwdziałaniem i zwalczaniem COVID-19, innych chorób zakaźnych oraz wywołanych nimi sytuacji kryzysowych, powiększonych o wskaźnik zwrotu kosztu zaangażowanego kapitału dla operatora wyznaczonego, za których wykonanie operator nie pobrał opłaty.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6A81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Czerwiec</w:t>
            </w:r>
            <w:r w:rsidRPr="00252538">
              <w:rPr>
                <w:rFonts w:asciiTheme="minorHAnsi" w:hAnsiTheme="minorHAnsi"/>
                <w:b/>
                <w:sz w:val="20"/>
                <w:szCs w:val="20"/>
              </w:rPr>
              <w:t xml:space="preserve"> 2021 r.  </w:t>
            </w:r>
          </w:p>
          <w:p w14:paraId="550DBA21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2679A8B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5944299D" w14:textId="724CFB7F" w:rsidR="004B44CB" w:rsidRPr="007C70D1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</w:t>
            </w:r>
            <w:r w:rsidRPr="004A3364">
              <w:rPr>
                <w:rFonts w:asciiTheme="minorHAnsi" w:hAnsiTheme="minorHAnsi" w:cs="Helv"/>
                <w:sz w:val="20"/>
                <w:szCs w:val="20"/>
              </w:rPr>
              <w:t>. z 202</w:t>
            </w:r>
            <w:r w:rsidRPr="004A3364">
              <w:rPr>
                <w:rFonts w:asciiTheme="minorHAnsi" w:hAnsiTheme="minorHAnsi"/>
                <w:sz w:val="20"/>
                <w:szCs w:val="20"/>
              </w:rPr>
              <w:t>2 r. poz.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698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21CE" w14:textId="77777777" w:rsidR="004B44CB" w:rsidRPr="0025253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51759861" w14:textId="5ECFC87C" w:rsidR="004B44CB" w:rsidRPr="0025253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radca ministra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w Departamencie Łączności</w:t>
            </w:r>
          </w:p>
          <w:p w14:paraId="27639216" w14:textId="6819E79D" w:rsidR="004B44CB" w:rsidRPr="00FD5A92" w:rsidRDefault="004B44CB" w:rsidP="004B44C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D5A9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(tel. 22 695 86 88;</w:t>
            </w:r>
          </w:p>
          <w:p w14:paraId="26FD4B7F" w14:textId="72B9DA84" w:rsidR="004B44CB" w:rsidRPr="0025253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0A59" w14:textId="77777777" w:rsidR="004B44CB" w:rsidRPr="0025253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B44CB" w:rsidRPr="00EA5B97" w14:paraId="4949EAB6" w14:textId="77777777" w:rsidTr="00115116">
        <w:trPr>
          <w:trHeight w:val="371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13FF" w14:textId="24F638F9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9.21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E8E4A" w14:textId="77777777" w:rsidR="004B44CB" w:rsidRPr="00382BFC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jednorazowych odpraw pieniężnych</w:t>
            </w:r>
          </w:p>
          <w:p w14:paraId="54D92089" w14:textId="4B0C2D5D" w:rsidR="004B44CB" w:rsidRPr="003C5ABC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20E33" w14:textId="785DBC3A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>Projekt rozporządzenia stanowi wykonanie upoważnienia ustawowego zawartego w art. 11i ustawy z dnia 7 września 2007 r. o funkcjonowaniu górnictwa węgla kamiennego, który zostanie  wprowadzony do ustawy na podstawie procedowanej ustawy o zmianie ustawy o funkcjonowaniu górnictwa węgla kamiennego oraz niektórych innych ustaw (numer w Wykazie prac legislacyjnych i programowych Rady Ministrów – UD157).</w:t>
            </w:r>
            <w:r w:rsidRPr="00D76510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 xml:space="preserve">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799E" w14:textId="637D22AA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jednorazowych odpraw pieniężnych, o których mowa w art. 11a ust. 1 pkt 3 ustawy z dnia 7 września 2007 r. o funkcjonowaniu górnictwa węgla kamiennego, tryb rozliczania dotacji budżetowej oraz warunki powodujące czasowe wstrzymanie wypłaty przyznanej dotacji.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F487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  <w:p w14:paraId="5A0375AE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1D46050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EF179FE" w14:textId="2B178DBB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2402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6004" w14:textId="3D33B286" w:rsidR="004B44CB" w:rsidRPr="00382BFC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9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00E1C5B7" w14:textId="77777777" w:rsidR="004B44CB" w:rsidRPr="00FB0A2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B90C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589977CC" w14:textId="77777777" w:rsidTr="00115116">
        <w:trPr>
          <w:trHeight w:val="300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5E88" w14:textId="58DDD02B" w:rsidR="004B44CB" w:rsidRPr="00382BFC" w:rsidRDefault="004B44CB" w:rsidP="004B44CB">
            <w:pPr>
              <w:tabs>
                <w:tab w:val="left" w:pos="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382BFC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10.21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8FC7" w14:textId="2CA8561B" w:rsidR="004B44CB" w:rsidRPr="003C5ABC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w sprawie 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świadczeń z tytułu urlopów górniczych oraz urlopów dla pracowników zakła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du przeróbki mechanicznej węgla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88F3E" w14:textId="5C1CC8D6" w:rsidR="004B44CB" w:rsidRDefault="004B44CB" w:rsidP="00FA0A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Projekt rozporządzenia stanowi wykonanie upoważnienia ustawowego zawartego w art. 11c ust. 5 ustawy z dnia 7 września 2007 r. o funkcjonowaniu górnictwa węgla kamiennego. Na podstawie procedowanej ustawy o zmianie ustawy o funkcjonowaniu górnictwa węgla kamiennego oraz niektórych innych ustaw (numer w Wykazie prac legislacyjnych i programowych Rady Ministrów – UD157) art. 11c ust. 5 zostanie zmieniony, co w konsekwencji  powoduje konieczność wydania nowego rozporządzenia.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1177" w14:textId="48B62E2B" w:rsidR="004B44CB" w:rsidRPr="00827370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>Rozporządzenie określ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świadczeń, o których mowa w art. 11c ust. 1 ustawy z dnia 7 września 2007 r. o funkcjonowaniu górnictwa węgla kamiennego, tryb rozliczania dotacji budżetowej oraz warunki powodujące czasowe wstrzymanie wypłaty przyznanej dotacji.</w:t>
            </w:r>
          </w:p>
          <w:p w14:paraId="46CC4871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A234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  <w:p w14:paraId="4E145C91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D47B337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603E7E6" w14:textId="7EB32F45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2424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F342" w14:textId="77777777" w:rsidR="004B44CB" w:rsidRPr="00382BFC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10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7EE43C04" w14:textId="77777777" w:rsidR="004B44CB" w:rsidRPr="00FB0A2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6103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22EED605" w14:textId="77777777" w:rsidTr="00115116">
        <w:trPr>
          <w:trHeight w:val="295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4017B" w14:textId="631EA717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11.21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B194" w14:textId="77777777" w:rsidR="004B44CB" w:rsidRPr="00382BFC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rent wyrównawczych</w:t>
            </w:r>
          </w:p>
          <w:p w14:paraId="2A49B20A" w14:textId="5260E746" w:rsidR="004B44CB" w:rsidRPr="003C5ABC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FE1C1" w14:textId="0A0904F4" w:rsidR="004B44CB" w:rsidRDefault="004B44CB" w:rsidP="00FA0A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Projekt rozporządzenia stanowi wykonanie upoważnienia ustawowego zawartego w art. 15 ustawy z dnia 7 września 2007 r. o funkcjonowaniu górnictwa węgla kamiennego. Na podstawie procedowanej ustawy o zmianie ustawy o funkcjonowaniu górnictwa węgla kamiennego oraz niektórych innych ustaw (numer w Wykazie prac legislacyjnych i programowych Rady Ministrów – UD157) art. 15 zostanie zmieniony, co w konsekwencji  powoduje konieczność wydania nowego rozporządzenia.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1AB7" w14:textId="6C067DB8" w:rsidR="004B44CB" w:rsidRPr="00827370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rent wyrównawczych, o których mowa w art. 14 i 16 ustawy z dnia 7 września 2007 r. o funkcjonowaniu górnictwa węgla kamiennego, tryb rozliczania dotacji budżetowej, warunki powodujące czasowe wstrzymanie wypłaty przyznanej dotacji. </w:t>
            </w:r>
          </w:p>
          <w:p w14:paraId="75C484D3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78A4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  <w:p w14:paraId="796155F7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A17D6CA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F287915" w14:textId="2ACB377C" w:rsidR="004B44CB" w:rsidRPr="007C70D1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 r. poz. 90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4F9F" w14:textId="1906BF37" w:rsidR="004B44CB" w:rsidRPr="00382BFC" w:rsidRDefault="004B44CB" w:rsidP="004B44CB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11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 w:rsidRPr="00382BFC">
              <w:rPr>
                <w:rFonts w:asciiTheme="minorHAnsi" w:hAnsiTheme="minorHAnsi" w:cstheme="minorHAnsi"/>
                <w:sz w:val="20"/>
              </w:rPr>
              <w:t>)</w:t>
            </w:r>
          </w:p>
          <w:p w14:paraId="1EB9D9CC" w14:textId="77777777" w:rsidR="004B44CB" w:rsidRPr="00FB0A2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51F4E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13ED9DED" w14:textId="77777777" w:rsidTr="00115116">
        <w:trPr>
          <w:trHeight w:val="295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85AB6" w14:textId="7B7238CE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lastRenderedPageBreak/>
              <w:t>12.22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FEC8" w14:textId="4E8D68EC" w:rsidR="004B44CB" w:rsidRPr="00FD23C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w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sprawie dopłat</w:t>
            </w: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 xml:space="preserve"> do</w:t>
            </w:r>
          </w:p>
          <w:p w14:paraId="3CBCF074" w14:textId="39CCA744" w:rsidR="004B44CB" w:rsidRPr="003C5ABC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>redukcji zdolnośc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 produkcyjnych przedsiębiorstw górniczych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6131" w14:textId="299FC3CD" w:rsidR="004B44CB" w:rsidRPr="00827370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Wydanie rozporządzenia będzie stanowić wykonanie upoważnienia ustawowego zawartego w art.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f ust. 5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ustawy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o funkcjonow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aniu górnictwa węgla kamiennego,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dodanym przez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ustawę zmieniającą z dnia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17 grudnia 2021 r., nakładającego na ministra właściwego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spraw gospodarki złożami kopalin obowiązek wydania przepisów wykonawczych w zakresie dopłaty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do redukcji zdolności produkcyjnych przedsiębiorstwa.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82A4" w14:textId="784C6A21" w:rsidR="004B44CB" w:rsidRPr="00FD23C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będzie określał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346AAB6" w14:textId="10067773" w:rsidR="004B44CB" w:rsidRPr="00FB6777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1)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szczegółowe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warunki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systemu wsparcia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zakresie dopłat, w tym sposób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ustalania</w:t>
            </w:r>
          </w:p>
          <w:p w14:paraId="290FFFDB" w14:textId="635B3183" w:rsidR="004B44CB" w:rsidRPr="00FD23C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wysokości dopłat, kosztów i prz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ychodów kwalifikowanych, sposób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ustalania ceny</w:t>
            </w:r>
          </w:p>
          <w:p w14:paraId="65D73213" w14:textId="6034514C" w:rsidR="004B44CB" w:rsidRPr="00FD23C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referencyjnej, zasad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monitorowania, kontroli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weryfikacji systemu wsparcia;</w:t>
            </w:r>
          </w:p>
          <w:p w14:paraId="68E40E49" w14:textId="4C7EDF56" w:rsidR="004B44CB" w:rsidRPr="00FD23C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 szczegółowe warunki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i tryb przyznawania dop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łaty z uwzględnieniem jej formy oraz tryb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rozliczania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00506F3" w14:textId="5B3F3DA2" w:rsidR="004B44CB" w:rsidRPr="00FD23C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3) warunki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powodujących czasowe wstrzymanie wypłaty przyznanej dopłaty.</w:t>
            </w:r>
          </w:p>
          <w:p w14:paraId="2DDA607B" w14:textId="6BA1F77E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określ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również zaw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artość wnios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przyznanie dopłaty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terminy składania rozliczenia miesięcznego i rozliczenia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rocznego z wykorzystania dopłaty.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4663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Luty 2022 r.</w:t>
            </w:r>
          </w:p>
          <w:p w14:paraId="2766FDD7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3558BBD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DB413B2" w14:textId="48968401" w:rsidR="004B44CB" w:rsidRPr="007C70D1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 r. poz. 264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4524D" w14:textId="66C88835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Elżbieta Kiełbasińska  naczelnik wydziału w Departamencie Górnictwa 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22 695 83 65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64E7B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3B48497A" w14:textId="77777777" w:rsidTr="00115116">
        <w:trPr>
          <w:trHeight w:val="249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7452" w14:textId="17182FFE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13.22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CFB7" w14:textId="339F30D8" w:rsidR="004B44CB" w:rsidRPr="00FD23C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zmieniające rozporządzenie </w:t>
            </w: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 xml:space="preserve">w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sprawie dopłat</w:t>
            </w: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 xml:space="preserve"> do</w:t>
            </w:r>
          </w:p>
          <w:p w14:paraId="525D6021" w14:textId="7D678F6B" w:rsidR="004B44CB" w:rsidRPr="003C5ABC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>redukcji zdolnośc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 produkcyjnych przedsiębiorstw górniczych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B2DE" w14:textId="3427444A" w:rsidR="004B44CB" w:rsidRPr="00FB6777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Wyda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 rozporządzenia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ma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szczególności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na celu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czasową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rezygnację z uwzględniania 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ceny referencyjnej. Wyłączenie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Federacji Rosyjskiej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z rynku handlu węglem i aktualna sytuacja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geopolityczna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oraz rynkowa powodują istotne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turbulencje cenowe i nieprzewidywalność ceny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importowej węgla,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która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tym samym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traci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przymiot przydatnego instrumentu weryfikacyjnego.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B85C1" w14:textId="726ECECD" w:rsidR="004B44CB" w:rsidRPr="00B745E4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Wprowadzenie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czasowe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go, na okres nie dłuższy niż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do końca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2023 r., wyłączenia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stosowania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mechanizmu ceny referencyjnej przy ustalaniu w danym roku należnej kwoty dopłaty dla danej jednostki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produkcyjnej.</w:t>
            </w:r>
          </w:p>
          <w:p w14:paraId="5103E988" w14:textId="6DFF1343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A04CD" w14:textId="3CD22203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II kwartał 2022 r.</w:t>
            </w:r>
          </w:p>
          <w:p w14:paraId="6ED31FB0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BCB2EF6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1E22DC0D" w14:textId="481C96F8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 r. poz. 2239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A9CD" w14:textId="35AD4CB4" w:rsidR="004B44CB" w:rsidRPr="00FD23C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Elżbieta Kiełbasińska  naczelnik wydziału w Departamencie Górnictwa 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22 695 83 65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F777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76DA72CC" w14:textId="77777777" w:rsidTr="00115116">
        <w:trPr>
          <w:trHeight w:val="216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88CD" w14:textId="30F23CA3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14.22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2E02" w14:textId="526EA181" w:rsidR="004B44CB" w:rsidRPr="007519EE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  <w:r w:rsidRPr="007519EE">
              <w:rPr>
                <w:rFonts w:asciiTheme="minorHAnsi" w:hAnsiTheme="minorHAnsi"/>
                <w:b/>
                <w:sz w:val="20"/>
                <w:szCs w:val="20"/>
              </w:rPr>
              <w:t xml:space="preserve"> Ministra Aktywów Państwowy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ch w sprawie szczegółowego postę</w:t>
            </w:r>
            <w:r w:rsidRPr="007519EE">
              <w:rPr>
                <w:rFonts w:asciiTheme="minorHAnsi" w:hAnsiTheme="minorHAnsi"/>
                <w:b/>
                <w:sz w:val="20"/>
                <w:szCs w:val="20"/>
              </w:rPr>
              <w:t>powania w zakresie udzielania pożyczek na potrzeby służące ochronie odbiorców paliw gazowych w związku z sytuacją na rynku gazu</w:t>
            </w:r>
          </w:p>
          <w:p w14:paraId="6E4EC70F" w14:textId="77777777" w:rsidR="004B44CB" w:rsidRPr="003C5ABC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77931" w14:textId="2EECDC8C" w:rsidR="004B44CB" w:rsidRPr="00B745E4" w:rsidRDefault="004B44CB" w:rsidP="004B44CB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Wydanie rozporządzenie będzie stanowić wykonanie upoważnienia zawartego w art. 65 ust. 43 ustawy z 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>dnia 31 marca 2020 r. o zmianie ustawy o szczególnych rozwiązaniach związanych z zapobieganiem, przeciwdziałaniem i zwalczaniem COVID-19, innych chorób zakaźnych oraz wywołanych nimi sytuacji kryzysowych oraz niektór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ych innych ustaw (Dz. U. 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z 2020 r. poz.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568, z późn. zm.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Rozwiązania zawarte w projekcie rozporządzenia mają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umożliwić udzielenie wsparcia 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>podmiot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om, będącym 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>sprz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edawcami z urzędu paliw gazowych w rozumieniu przepisów Prawa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 energetyczne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go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w formie pożyczki 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>na zagwarantowanie ciągłości świadczenia usługi kompleksowej odbiorcom paliw gazowych w gospodarstwach domowych, w szczególności na wszelkie potrzeby bilansowania, zakupu lub rozliczenia zakupionego paliwa gazowego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2069" w14:textId="16DE2587" w:rsidR="004B44CB" w:rsidRPr="00D80296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Projekt określi s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>zczegółow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 sposób i tryb 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 xml:space="preserve"> postępowania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przy 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>udzielani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 xml:space="preserve"> pożyczek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Pr="00BD2972">
              <w:rPr>
                <w:rFonts w:asciiTheme="minorHAnsi" w:hAnsiTheme="minorHAnsi" w:cstheme="minorHAnsi"/>
                <w:sz w:val="20"/>
                <w:szCs w:val="20"/>
              </w:rPr>
              <w:t xml:space="preserve">Funduszu Przeciwdziałania COVID-19 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>na potrzeby służące ochronie odbiorców paliw gazowych w związku z sytuacją na rynku gazu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W projekcie określone zostaną m. in.: zakres informacyjny wniosku i wymagane do niego załączniki, tryb rozpatrywania wniosku, wymóg sporządzenia i zawartość testu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prywatnego inwestora, zakres umowy o udzielenie pożyczki. </w:t>
            </w:r>
          </w:p>
          <w:p w14:paraId="6E31389F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61436" w14:textId="44F1528B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2D18" w14:textId="17B782E5" w:rsidR="004B44CB" w:rsidRPr="007519E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Magdalena Zielińska naczelnik wydziału w Departamencie Funduszy Europejskich i Instrumentów Rozwojowych </w:t>
            </w:r>
          </w:p>
          <w:p w14:paraId="0E523D8D" w14:textId="1549D0EF" w:rsidR="004B44CB" w:rsidRPr="00FD23C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22 695 89 28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00D4A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0FA343F4" w14:textId="77777777" w:rsidTr="00115116">
        <w:trPr>
          <w:trHeight w:val="249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E584" w14:textId="64971D69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15.22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A918" w14:textId="19E6C27D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070ACE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 kalkulacji kosztu netto obowiązku świadczenia usług powszechnych oraz trybu wypłaty finansowania kosztu netto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ADF63" w14:textId="077E3F1C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W ustawie z dnia 15 września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022 r. w sprawie zmiany ustawy –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Prawo pocztowe (Dz. U. poz. 2042) rozszerz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ono zakres upoważnienia do wydania aktu wykonawczego, zawartego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w art. 120 ustawy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o kwestie trybu wypłaty finansowania kosztu netto obowiązku świadczenia usługi powszechnej. W związku 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powyższym, utraci moc dotychczasowe rozporządzenie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Ministra Administracji i Cyfryzacji z dnia 30 kwietnia 2013 r. w sprawie kalkulacji kosztu netto obowiązku świadczenia usług powszechnych (Dz.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U. z 2018 r. poz. 978), w konsekwencji niezbędne jest wydanie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nowego rozporządzenia.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8BD24" w14:textId="78540B5E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Przepisy rozporządzenia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zawierają rozwiązania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umożliwiają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dokonanie prawidłowej kalkulacji całkowitego kosztu netto obowiązku świadczenia usługi powszechnej, o którym mowa w art. 106 ust. 1 Prawa pocztowego, w sposób określony w art. 106 ust. 4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ww.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ustawy, a następnie uruchomienie finansowania z tego tytułu.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76D77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00149D1F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B1F7D63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44DD08A9" w14:textId="08665669" w:rsidR="004B44CB" w:rsidRPr="00070ACE" w:rsidRDefault="004B44CB" w:rsidP="004B44CB">
            <w:pPr>
              <w:rPr>
                <w:rFonts w:asciiTheme="minorHAnsi" w:hAnsiTheme="minorHAnsi"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3 r. poz. 1365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4C69" w14:textId="61C2E68A" w:rsidR="004B44CB" w:rsidRPr="00070AC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4A0A24CC" w14:textId="5EC4A591" w:rsidR="004B44CB" w:rsidRPr="00070AC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naczelnik wydziału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Departamen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cie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Nadzoru I     </w:t>
            </w:r>
          </w:p>
          <w:p w14:paraId="023278FC" w14:textId="73FBCD24" w:rsidR="004B44CB" w:rsidRPr="00070AC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22 695 86 88</w:t>
            </w:r>
          </w:p>
          <w:p w14:paraId="6EA21B86" w14:textId="76DD1A04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e-mail: Agnieszka.Suska@map.gov.pl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6E59B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24DF3EAB" w14:textId="77777777" w:rsidTr="00115116">
        <w:trPr>
          <w:trHeight w:val="249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F320" w14:textId="1216B4AF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lastRenderedPageBreak/>
              <w:t>16.22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665E" w14:textId="1D673962" w:rsidR="004B44CB" w:rsidRPr="001B7A5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070ACE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1B7A54">
              <w:rPr>
                <w:rFonts w:asciiTheme="minorHAnsi" w:hAnsiTheme="minorHAnsi"/>
                <w:b/>
                <w:sz w:val="20"/>
                <w:szCs w:val="20"/>
              </w:rPr>
              <w:t>wykazu podmiotów uprawnionych do prowadzenia sprzedaży gminom paliwa stałego</w:t>
            </w:r>
          </w:p>
          <w:p w14:paraId="4F43032B" w14:textId="5E0C7464" w:rsidR="004B44CB" w:rsidRPr="00070ACE" w:rsidRDefault="004B44CB" w:rsidP="004B44CB">
            <w:pPr>
              <w:pStyle w:val="trescpisma"/>
              <w:spacing w:after="120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D5BB7" w14:textId="4068CA02" w:rsidR="004B44CB" w:rsidRPr="00070ACE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W 2022 r. na rynku unijnym i krajowym obserwuje się znaczący wzrost cen nośników energii, który jest wynikiem oddziaływania szeregu nakładających się na siebie czynników, przede wszystkim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ożywienia gospodarczego po pandemii COVID-19 oraz inwazji zbrojnej Rosji na Ukrainę.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W rezultacie, z jednej strony ożywienie gospodarcze skutkujące zwiększeniem popytu na wszystkie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paliwa, w tym na węgiel, wywołało presję na ich ceny. Z drugiej strony, decyzja Polski i innych państwo zaprzestaniu importu węgla z Rosji przełożyła się na trudną do zrekompensowania w krótkim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okresie potrzebę stałych dostaw z innych państw niż Rosja. Obecnie, nawet mimo dostępności surowca, istnieje problem jego dystrybucji do indywidualnych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gospodarstw domowych. Wiele osób mieszkających w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mach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oddalonych od gęstych zabudowań i jednocześnie korzystających z instalacji zasilanych węglem kamiennym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jako głównym źródłem ogrzewania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może nie być w stanie złożyć zamówienia bezpośrednio u podmiotu wprowadzającego do obrotu z uwagi na wielkość tego zamówienia i potrzebne do realizacji środki finansowe. Projektowane rozporządzenie jest aktem wykonawczym wydawanym na 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dstawie upoważnienia zawartego w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ustaw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o zakupie preferencyjnym paliwa stałego przez gospodarstwa domowe,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której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celem jest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systemowe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zapewnienie wsparcia dla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dużej grupy gospodarstw domowych w Polsce, w tym również gospodarstw najuboższych energetycznie, przez umożliwienie podmiotom wprowadzającym do obrotu paliwo stałe, podjęcia współpracy z zainteresowanymi gminami w celu rozdysponowania węgla do indywidualnych gospodarstw domowych przy niższych cenach zakupu.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C9526" w14:textId="7C658A84" w:rsidR="004B44CB" w:rsidRPr="00847C8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7C8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ktowane rozporządzeni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 wskaże</w:t>
            </w:r>
          </w:p>
          <w:p w14:paraId="39CB2A37" w14:textId="03B05FFE" w:rsidR="004B44CB" w:rsidRPr="00847C8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podmioty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 xml:space="preserve"> wprowadz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ające do obrotu, uprawnione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do prowadzenia sprzedaży gminom paliwa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 xml:space="preserve">stałego z przeznaczeniem dla gospodarstw domowych,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przy uwzględnieniu zdolności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 xml:space="preserve"> podmiotu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 xml:space="preserve">wprowadzającego do obrotu do zapewnienia dostaw paliwa stałego oraz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konieczności zaspokojenia</w:t>
            </w:r>
          </w:p>
          <w:p w14:paraId="69F47C6B" w14:textId="296159A5" w:rsidR="004B44CB" w:rsidRPr="00070ACE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podstawowych potrzeb gospodarstw domowych w odniesieniu do dostępności paliwa stałego.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Rozporządzenie po</w:t>
            </w:r>
            <w:r w:rsidRPr="00F30A13">
              <w:rPr>
                <w:rFonts w:asciiTheme="minorHAnsi" w:hAnsiTheme="minorHAnsi" w:cstheme="minorHAnsi"/>
                <w:sz w:val="20"/>
                <w:szCs w:val="20"/>
              </w:rPr>
              <w:t>zwoli na dobór podmi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otów, które posiadają zdolności </w:t>
            </w:r>
            <w:r w:rsidRPr="00F30A13">
              <w:rPr>
                <w:rFonts w:asciiTheme="minorHAnsi" w:hAnsiTheme="minorHAnsi" w:cstheme="minorHAnsi"/>
                <w:sz w:val="20"/>
                <w:szCs w:val="20"/>
              </w:rPr>
              <w:t>do zapewnienia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30A13">
              <w:rPr>
                <w:rFonts w:asciiTheme="minorHAnsi" w:hAnsiTheme="minorHAnsi" w:cstheme="minorHAnsi"/>
                <w:sz w:val="20"/>
                <w:szCs w:val="20"/>
              </w:rPr>
              <w:t>dostaw paliwa 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ałego w odpowiedniej wysokości.</w:t>
            </w:r>
          </w:p>
          <w:p w14:paraId="3F14662E" w14:textId="172CEFD1" w:rsidR="004B44CB" w:rsidRPr="00070ACE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7A24C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20D283EC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8ED9024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CA0BF5E" w14:textId="0DBB2971" w:rsidR="004B44CB" w:rsidRPr="00187B49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 r. poz. 2237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2250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Dominik Kaczmarski, D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yrektor Departamentu Analiz i Sprawozdawczości</w:t>
            </w:r>
          </w:p>
          <w:p w14:paraId="4D193C33" w14:textId="77777777" w:rsidR="004B44CB" w:rsidRPr="00847C8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22 695 86 50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DDA25A9" w14:textId="0BD77304" w:rsidR="004B44CB" w:rsidRPr="00070AC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373D4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7CFA2660" w14:textId="77777777" w:rsidTr="00115116">
        <w:trPr>
          <w:trHeight w:val="117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612C" w14:textId="47839406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17.22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B046" w14:textId="788A7D1A" w:rsidR="004B44CB" w:rsidRPr="001B7A5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070ACE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 w:rsidRPr="001B7A54">
              <w:rPr>
                <w:rFonts w:asciiTheme="minorHAnsi" w:hAnsiTheme="minorHAnsi"/>
                <w:b/>
                <w:sz w:val="20"/>
                <w:szCs w:val="20"/>
              </w:rPr>
              <w:t xml:space="preserve"> ilości paliwa stałego dostępnej dl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a jednego gospodarstwa domowego</w:t>
            </w:r>
          </w:p>
          <w:p w14:paraId="5B07A7DB" w14:textId="190A2B88" w:rsidR="004B44CB" w:rsidRPr="00070ACE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F525A" w14:textId="6CE21794" w:rsidR="004B44CB" w:rsidRPr="00070AC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W 2022 r. na rynku unijnym i krajowym obserwuje się znaczący wzrost cen nośników energii, który jest wynikiem oddziaływania szeregu nakładających się na siebie czynników, przede wszystkim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ożywienia gospodarczego po pandemii COVID-19 oraz inwaz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ji zbrojnej Rosji na Ukrainę. W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rezultacie, z jednej strony ożywienie gospodarcze skutkujące zwiększeniem popytu na wszystkie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paliwa, w tym na węgiel, wywołało presję na ich ceny. Z drugiej strony, decyzja Polski i innych państwo zaprzestaniu importu węgla z Rosji przełożyła się na trudną do zrekompensowania w krótkim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okresie potrzebę stałych dostaw z innych państw niż Rosja. Obecnie, nawet mimo dostępności surowca, istnieje problem jego dystrybucji do indywidualnych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gospodarstw domowych. Wiele osób mieszkających w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mach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oddalonych od gęstych zabudowań i jednocześnie korzystających z instalacji zasilanych węglem kamiennym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jako głównym źródłem ogrzewania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może nie być w stanie złożyć zamówienia bezpośrednio u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podmiotu wprowadzającego do obrotu z uwagi na wielkość tego zamówienia i potrzebne do realizacji środki finansowe. Projektowane rozporządzenie jest aktem wykonawczym wydawanym na 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dstawie upoważnienia zawartego w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ustaw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o zakupie preferencyjnym paliwa stałego przez gospodarstwa domowe,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której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celem jest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systemowe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zapewnienie wsparcia dla dużej grupy gospodarstw domowych w Polsce, w tym również gospodarstw najuboższych energetycznie, przez umożliwienie podmiotom wprowadzającym do obrotu paliwo stałe, podjęcia współpracy z zainteresowanymi gminami w celu rozdysponowania węgla do indywidualnych gospodarstw domowych przy niższych cenach zakupu.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C456" w14:textId="360431F8" w:rsidR="004B44CB" w:rsidRPr="00891B93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1B9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Projektowane rozporządzenie określi ilość paliwa stałego dostępną dla jednego</w:t>
            </w:r>
          </w:p>
          <w:p w14:paraId="1C4BEB8A" w14:textId="77777777" w:rsidR="004B44CB" w:rsidRPr="00891B93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gospodarstwa domowego w ramach zakupu preferencyjnego odpowiednio w okresie:</w:t>
            </w:r>
          </w:p>
          <w:p w14:paraId="74412A01" w14:textId="50E88531" w:rsidR="004B44CB" w:rsidRPr="00891B93" w:rsidRDefault="004B44CB" w:rsidP="004B44CB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a) do dnia 31 grudnia 2022 r.,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b) od dnia 1 stycznia 2023 r.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przy 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uwzględni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eniu ilości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 xml:space="preserve"> paliwa stałego będącego w posiadaniu podmiotów wprowadzających</w:t>
            </w:r>
          </w:p>
          <w:p w14:paraId="186C3A72" w14:textId="7FC9C46C" w:rsidR="004B44CB" w:rsidRPr="00891B93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 xml:space="preserve">do obrotu oraz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mając na uwadze 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konieczność zaspokojenia podstawowych potrzeb gospodarstw domowych.</w:t>
            </w:r>
          </w:p>
          <w:p w14:paraId="79C71FB5" w14:textId="5D17296A" w:rsidR="004B44CB" w:rsidRPr="00070AC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290D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3919624B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4F5CDFF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67185ADD" w14:textId="317A6975" w:rsidR="004B44CB" w:rsidRPr="00187B49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 r. poz. 2238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BE8B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Dominik Kaczmarski, D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yrektor Departamentu Analiz i Sprawozdawczości</w:t>
            </w:r>
          </w:p>
          <w:p w14:paraId="0C4D4800" w14:textId="10AC6433" w:rsidR="004B44CB" w:rsidRPr="00847C8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22 695 86 50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C62B0B8" w14:textId="1CDD14DA" w:rsidR="004B44CB" w:rsidRPr="00070AC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253EA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26A622FA" w14:textId="77777777" w:rsidTr="00115116">
        <w:trPr>
          <w:trHeight w:val="82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82FFD" w14:textId="6954431D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18.22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9BD59" w14:textId="388E45D7" w:rsidR="004B44CB" w:rsidRPr="002708F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070ACE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2708F4">
              <w:rPr>
                <w:rFonts w:asciiTheme="minorHAnsi" w:hAnsiTheme="minorHAnsi"/>
                <w:b/>
                <w:sz w:val="20"/>
                <w:szCs w:val="20"/>
              </w:rPr>
              <w:t xml:space="preserve"> szczegółowego przeznaczenia, warunków</w:t>
            </w:r>
          </w:p>
          <w:p w14:paraId="4BB5E73C" w14:textId="6501DBA4" w:rsidR="004B44CB" w:rsidRPr="00070ACE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2708F4">
              <w:rPr>
                <w:rFonts w:asciiTheme="minorHAnsi" w:hAnsiTheme="minorHAnsi"/>
                <w:b/>
                <w:sz w:val="20"/>
                <w:szCs w:val="20"/>
              </w:rPr>
              <w:t>i trybu udzielenia pomocy na inwestycje wspierające robotyzację i cyfryzację w przedsiębiorstwach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4ADD" w14:textId="7DD30F4C" w:rsidR="004B44CB" w:rsidRPr="002708F4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Obowiązek określenia przez ministra właściwego ds. aktywów państw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owych, w drodze rozporządzenia,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szczegółowego przeznaczenia, warunków i trybu udzielania przedsiębiorcom regionalnej pomocy</w:t>
            </w:r>
          </w:p>
          <w:p w14:paraId="1D9D4EFD" w14:textId="59FEEAFC" w:rsidR="004B44CB" w:rsidRPr="002708F4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inwestycyjnej ze środków Instrumentu na rzecz Odbudowy i Zwiększani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Odporności, do której mają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zastosowanie przepisy rozporządzenia Komisji (UE) nr 651/2014 z dnia 17 czerwca 2014 r. uznającego</w:t>
            </w:r>
          </w:p>
          <w:p w14:paraId="1C74B8F9" w14:textId="1FF26D06" w:rsidR="004B44CB" w:rsidRPr="00696A0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niektóre rodzaje pomocy za zgodne z rynkiem wewnętrznym w zasto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sowaniu art. 107 i 108 Traktatu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(Dz. Urz. UE L 187 z 26.06.2014, str. 1), wynika z art. 14lc. ust. 4 us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tawy z dnia 6 grudnia 2006 r. o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zasada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ch prowadzenia polityki rozwoju.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Rozporządzenie zapewni podstawę prawną dla udzielania podmi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otom pomocy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publicznej w ramach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inwestycji A2.1.1. pn. Inwestycje wspierające robotyzację i cyfryzację w przedsiębiorstwach, Krajowego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 xml:space="preserve">Planu Odbudowy i Zwiększenia Odporności.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Rozporządzenie b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ędzie stanowiło jede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 z elementów systemu wdrażania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Krajowego Planu Odbudowy i Zwiększenia Odporności i umożliwi udzielanie pomocy w ramac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regionalnej pomocy inwestycyjnej. Projektowane rozporządzenie zap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ewni zgodność pomocy publicznej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udzielanej przez MAP z prawem unijnym regulującym rynek wewnętrzny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Unii Europejskiej w obszarze pomocy państwa.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596D6" w14:textId="24663218" w:rsidR="004B44CB" w:rsidRPr="0009455A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Projekt rozporządzenia </w:t>
            </w:r>
            <w:r w:rsidRPr="0009455A">
              <w:rPr>
                <w:rFonts w:asciiTheme="minorHAnsi" w:hAnsiTheme="minorHAnsi" w:cstheme="minorHAnsi"/>
                <w:sz w:val="20"/>
                <w:szCs w:val="20"/>
              </w:rPr>
              <w:t>określ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 spos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ób</w:t>
            </w:r>
            <w:r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 postępowania w procesie ubiegania się o otrzymanie pomocy w ramach inwestycji A 2.1.1. pn. Inwestycje wspierające robotyzację i cyfryzację w przedsiębiorstwach Krajowego Planu Odbudowy i Zwięks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zenia Odporności. Projekt określi, </w:t>
            </w:r>
            <w:r w:rsidRPr="0009455A">
              <w:rPr>
                <w:rFonts w:asciiTheme="minorHAnsi" w:hAnsiTheme="minorHAnsi" w:cstheme="minorHAnsi"/>
                <w:sz w:val="20"/>
                <w:szCs w:val="20"/>
              </w:rPr>
              <w:t>co powinno zostać zawarte we wniosku o udzielenie pomocy na inwestycje wspierające robotyzację i cyfryzację w przedsiębiorstwach, jak również szczegółowe warunki udziele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nia tej pomocy. Projekt wskaże</w:t>
            </w:r>
            <w:r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 podmioty mogą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 udzielić pomocy oraz komu ona może zosta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ć przyznana. P</w:t>
            </w:r>
            <w:r w:rsidRPr="0009455A">
              <w:rPr>
                <w:rFonts w:asciiTheme="minorHAnsi" w:hAnsiTheme="minorHAnsi" w:cstheme="minorHAnsi"/>
                <w:sz w:val="20"/>
                <w:szCs w:val="20"/>
              </w:rPr>
              <w:t>rojekt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będzie przewidywał</w:t>
            </w:r>
            <w:r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że, </w:t>
            </w:r>
            <w:r w:rsidRPr="0009455A">
              <w:rPr>
                <w:rFonts w:asciiTheme="minorHAnsi" w:hAnsiTheme="minorHAnsi" w:cstheme="minorHAnsi"/>
                <w:sz w:val="20"/>
                <w:szCs w:val="20"/>
              </w:rPr>
              <w:t>po przeprowadze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niu oceny wniosku, pomoc będzie mogła zostać udzielona </w:t>
            </w:r>
            <w:r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przedsiębiorcy na podstawie umowy o dofinansowanie projektu. Podmioty </w:t>
            </w:r>
            <w:r w:rsidRPr="0009455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ubiegające się o wsparcie uzyskają możliwość otrzymania pomocy publicznej w ramach regionalnej pomocy inwestycyjnej. </w:t>
            </w:r>
          </w:p>
          <w:p w14:paraId="44E8E992" w14:textId="77777777" w:rsidR="004B44CB" w:rsidRPr="00891B93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4E67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08771E99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63DBC87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365559F6" w14:textId="2F1E8B5C" w:rsidR="004B44CB" w:rsidRPr="00187B49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3 r. poz. 621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BC30" w14:textId="77777777" w:rsidR="004B44CB" w:rsidRPr="007519E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Magdalena Zielińska naczelnik wydziału w Departamencie Funduszy Europejskich i Instrumentów Rozwojowych </w:t>
            </w:r>
          </w:p>
          <w:p w14:paraId="0368F6A2" w14:textId="69A646F1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22 695 89 28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442B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59ADEF8F" w14:textId="77777777" w:rsidTr="00115116">
        <w:trPr>
          <w:trHeight w:val="117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0341" w14:textId="3F319721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19.22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A6DE" w14:textId="159AC2CA" w:rsidR="004B44CB" w:rsidRPr="00EC7373" w:rsidRDefault="004B44CB" w:rsidP="004B44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7373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 Ministra Aktywów Państwowych zmieniające rozporządzenie w sprawie ilości paliwa stałego dostępnej dla jednego gospodarstwa domowego</w:t>
            </w:r>
          </w:p>
          <w:p w14:paraId="08BEC0BD" w14:textId="77777777" w:rsidR="004B44CB" w:rsidRPr="00AE7C9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95186" w14:textId="2BC5777E" w:rsidR="004B44CB" w:rsidRPr="00AE7C9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Minister właściwy do spraw aktywów państwowych, uwzględniają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 ilość paliwa stałego będącego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w posiadaniu podmiotów wprowadzających do obrot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 oraz konieczność zaspokojenia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podstawowych potrzeb gospodarstw domowych w odniesieniu do dostępności paliwa stałego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określił ilość paliwa stałego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stępną dla jednego gospodarstwa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domowego w ramach zakupu</w:t>
            </w:r>
          </w:p>
          <w:p w14:paraId="51F94A6F" w14:textId="77777777" w:rsidR="004B44CB" w:rsidRPr="00AE7C9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preferencyjnego na:</w:t>
            </w:r>
          </w:p>
          <w:p w14:paraId="63A96C79" w14:textId="77777777" w:rsidR="004B44CB" w:rsidRPr="00AE7C9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1) 1 500 kg - do dnia 31 grudnia 2022 r.,</w:t>
            </w:r>
          </w:p>
          <w:p w14:paraId="75B34A3A" w14:textId="77777777" w:rsidR="004B44CB" w:rsidRPr="00AE7C9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2) 1 500 kg - od dnia 1 stycznia 2023 r.</w:t>
            </w:r>
          </w:p>
          <w:p w14:paraId="5EBDC48A" w14:textId="6ACA6922" w:rsidR="004B44CB" w:rsidRPr="00AE7C9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Pomimo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że ilość węgla dostępna dla mieszkańców dla dwóch ww.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kresów sumarycznie wynosi 3 000 kg, to taka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konstrukcja przepisów nie pozwala 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uzupełnianie niewykorzystanego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w 1. okre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sie zapotrzebowania. Np.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mieszkaniec, który złożył wniosek o zakup w wysokości</w:t>
            </w:r>
          </w:p>
          <w:p w14:paraId="3129C4E4" w14:textId="511D43BF" w:rsidR="004B44CB" w:rsidRPr="00AE7C9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1 000 kg węgla w 1. okresie, nie może przenieść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niewykorzystanego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zapotrzebowania na 2. okres</w:t>
            </w:r>
          </w:p>
          <w:p w14:paraId="18F4CA42" w14:textId="6367D6C2" w:rsidR="004B44CB" w:rsidRPr="002708F4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(tzn. w 2. okresie może złożyć wniosek o wyłącznie 1 500 kg, a 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 2 000 kg).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1747" w14:textId="652954D6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Projekt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owana zmiana rozporządzenia przewidu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rozszerzenie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§ 1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ust. 2,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myśl którego,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przypadku gdy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do dnia 31 grudnia 2022 r. gospodarstwo domowe nie dokona zakupu paliwa stałego albo dokona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zakupu paliwa stałego w ilości mniejszej niż 1 500 kg, to niewykorzystana ilość paliwa stałego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powiększa limit na 2. okres. Tym samym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mieszkaniec, który w 1. okresie złoży wniosek na mniejszą ilość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węgla niż maksymalna (np. 1 000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kg), będzie mógł ująć w przyszłym wniosku niewykorzystane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0 kg (czyli jego wniosek będzie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dotyczył 1 500 kg, powiększonych o 500 kg). Jednak w żad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nym wypadku ilość wnioskowanego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węgla nie będzie mogła su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marycznie przekroczyć 3 000 kg. </w:t>
            </w:r>
            <w:r w:rsidRPr="00C83DD5">
              <w:rPr>
                <w:rFonts w:asciiTheme="minorHAnsi" w:hAnsiTheme="minorHAnsi" w:cstheme="minorHAnsi"/>
                <w:sz w:val="20"/>
                <w:szCs w:val="20"/>
              </w:rPr>
              <w:t>Natomiast w ust. 1, w celu uniknięcia wątpliwości interpretacyjnych dotyczących ilości paliwa stałego możliwej do nabycia w ramach upr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awnionego zakupu, </w:t>
            </w:r>
            <w:r w:rsidRPr="00C83DD5">
              <w:rPr>
                <w:rFonts w:asciiTheme="minorHAnsi" w:hAnsiTheme="minorHAnsi" w:cstheme="minorHAnsi"/>
                <w:sz w:val="20"/>
                <w:szCs w:val="20"/>
              </w:rPr>
              <w:t xml:space="preserve">przepis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zostanie uzupełniony</w:t>
            </w:r>
            <w:r w:rsidRPr="00C83DD5">
              <w:rPr>
                <w:rFonts w:asciiTheme="minorHAnsi" w:hAnsiTheme="minorHAnsi" w:cstheme="minorHAnsi"/>
                <w:sz w:val="20"/>
                <w:szCs w:val="20"/>
              </w:rPr>
              <w:t xml:space="preserve"> wyrazami „nie więcej </w:t>
            </w:r>
            <w:r w:rsidRPr="00C83DD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niż”.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rojekt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owanie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roz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wiązanie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pozwoli urealnić składane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wnioski oraz uelastyczni proces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dystrybucji węgla.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E2ED0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7CE66F6B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9656FF9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5889B557" w14:textId="68D72220" w:rsidR="004B44CB" w:rsidRPr="00187B49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 r. poz. 2493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3E49E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Dominik Kaczmarski, D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yrektor Departamentu Analiz i Sprawozdawczości</w:t>
            </w:r>
          </w:p>
          <w:p w14:paraId="3EF6614F" w14:textId="77777777" w:rsidR="004B44CB" w:rsidRPr="00847C8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22 695 86 50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5FEAD70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08293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0758876E" w14:textId="77777777" w:rsidTr="00115116">
        <w:trPr>
          <w:trHeight w:val="10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67422" w14:textId="25E01048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20.22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199A" w14:textId="1447219F" w:rsidR="004B44CB" w:rsidRPr="00CF4E91" w:rsidRDefault="004B44CB" w:rsidP="004B44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Rozporządzenie </w:t>
            </w:r>
            <w:r w:rsidRPr="00CF4E91">
              <w:rPr>
                <w:rFonts w:asciiTheme="minorHAnsi" w:hAnsiTheme="minorHAnsi" w:cstheme="minorHAnsi"/>
                <w:b/>
                <w:sz w:val="20"/>
                <w:szCs w:val="20"/>
              </w:rPr>
              <w:t>Ministra Aktywów Państwowych w sprawie szczegółowego przeznaczenia, warunków i</w:t>
            </w:r>
          </w:p>
          <w:p w14:paraId="5FADF658" w14:textId="77777777" w:rsidR="004B44CB" w:rsidRPr="00CF4E91" w:rsidRDefault="004B44CB" w:rsidP="004B44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E91">
              <w:rPr>
                <w:rFonts w:asciiTheme="minorHAnsi" w:hAnsiTheme="minorHAnsi" w:cstheme="minorHAnsi"/>
                <w:b/>
                <w:sz w:val="20"/>
                <w:szCs w:val="20"/>
              </w:rPr>
              <w:t>trybu udzielenia pomocy na inwestycje wspierające efektywność energetyczną i odnawialne źródła</w:t>
            </w:r>
          </w:p>
          <w:p w14:paraId="2D9235F6" w14:textId="7D52CCAD" w:rsidR="004B44CB" w:rsidRPr="00EC7373" w:rsidRDefault="004B44CB" w:rsidP="004B44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E91">
              <w:rPr>
                <w:rFonts w:asciiTheme="minorHAnsi" w:hAnsiTheme="minorHAnsi" w:cstheme="minorHAnsi"/>
                <w:b/>
                <w:sz w:val="20"/>
                <w:szCs w:val="20"/>
              </w:rPr>
              <w:t>energii w przedsiębiorstwach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31A7A" w14:textId="2F644490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Obowiązek określenia przez ministra właściwego ds. aktywów państwowych, w drodze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rozporządzenia, szczegółowego przeznaczenia, warunków i trybu udzielania przedsiębiorcom pomocy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inwestycyjnej ze środków Instrumentu na rzecz Odbudowy i Zwiększania Odporności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(KPO)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, do której mają</w:t>
            </w:r>
            <w:r w:rsidR="00FA0A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zastosowanie przepisy rozporządzenia Komisji (UE) nr 651/2014 z dnia 17 czerwca 2014 r. uznającego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niektóre rodzaje pomocy za zgodne z rynkiem wewnętrznym w zastosowaniu art. 107 i 108 Traktatu, wynika z art. 14lc. ust. 4 ustawy z dnia 6 grudnia</w:t>
            </w:r>
            <w:r w:rsidR="00FE22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2006 r. o zasadach prowadzenia polityki rozwoju.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D2CF0B6" w14:textId="64EFB296" w:rsidR="004B44CB" w:rsidRPr="001F45DF" w:rsidRDefault="004B44CB" w:rsidP="004B44CB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Rozwiązania zawarte w projektowanym rozporządzeniu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mają na celu zapewnienie zgodności pomocy publicznej,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udzielanej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przez MAP w ramach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PO,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z prawem unijnym regu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lującym rynek wewnętrzny UE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obszarze pomocy państwa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Jednocześnie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rozporządzenie będzie stanowiło jeden z elementów systemu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wdrażania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KPO.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4855" w14:textId="0A8743F0" w:rsidR="004B44CB" w:rsidRPr="001F45D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projektowanym rozporządzeniu zostanie uregulowany tryb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postępowania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w procesie ubiegania się o otrzymanie pomocy w ramach inwestycji B1.2.1. Efektywność energetyczna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i OZE w przedsiębiorstwach – inwestycje o największym potencjale redukcji gazów cieplarnianych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projekcie zostanie określona zawartość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wniosku o udzielenie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omocy na inwestycje wspierające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efektywność energetyczną i OZE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w przedsiębiorstwach, jak również szczegółowe warunki udzielenia tej pomocy.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rozporządzeniu zostaną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wskaz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ane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podmioty mogą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udziel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ać pomocy oraz podmioty, którym pomoc będzie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gła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zostać przyznana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Podmioty ubiegające się o wsparcie uzyskają możliwość otrzymania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pomocy publicznej w ramach:</w:t>
            </w:r>
          </w:p>
          <w:p w14:paraId="013F3CE2" w14:textId="7908071D" w:rsidR="004B44CB" w:rsidRPr="001F45D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1) pomocy inwestycyjnej na środki wspierające efektywność energetyczną;</w:t>
            </w:r>
          </w:p>
          <w:p w14:paraId="720F66DE" w14:textId="77777777" w:rsidR="004B44CB" w:rsidRPr="001F45D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2) pomocy na inwestycje w układy wysokosprawnej kogeneracji;</w:t>
            </w:r>
          </w:p>
          <w:p w14:paraId="201B67DC" w14:textId="2FCEA0F3" w:rsidR="004B44CB" w:rsidRPr="00AE7C9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3) pomocy inwestycyjnej na propagowanie energii ze źródeł odnawialnych.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876F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</w:t>
            </w: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2023 r.</w:t>
            </w:r>
          </w:p>
          <w:p w14:paraId="2E3D38FE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C944729" w14:textId="1D7D09FF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566C326B" w14:textId="2EE6B98C" w:rsidR="004B44CB" w:rsidRPr="00187B49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3 r. poz. 2515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40E19" w14:textId="7D76A230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Maciej Witkowski </w:t>
            </w:r>
          </w:p>
          <w:p w14:paraId="4B38F65C" w14:textId="32A52BF1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główny specjalista </w:t>
            </w:r>
          </w:p>
          <w:p w14:paraId="6244ED0F" w14:textId="61D1CDE1" w:rsidR="004B44CB" w:rsidRPr="007519E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Departamencie Funduszy Europejskich i Instrumentów Rozwojowych </w:t>
            </w:r>
          </w:p>
          <w:p w14:paraId="0FD7285D" w14:textId="031B7C61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22 695 88 66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42411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425082FA" w14:textId="77777777" w:rsidTr="00115116">
        <w:trPr>
          <w:trHeight w:val="10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A93A9" w14:textId="39874093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21.23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5B12" w14:textId="0F4E25C8" w:rsidR="004B44CB" w:rsidRPr="00041507" w:rsidRDefault="004B44CB" w:rsidP="004B44CB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20"/>
                <w:szCs w:val="20"/>
              </w:rPr>
            </w:pPr>
            <w:r w:rsidRPr="00EC7373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41507">
              <w:rPr>
                <w:rFonts w:asciiTheme="minorHAnsi" w:hAnsiTheme="minorHAnsi" w:cstheme="minorHAnsi"/>
                <w:b/>
                <w:sz w:val="20"/>
                <w:szCs w:val="20"/>
              </w:rPr>
              <w:t>upoważnienia do uznawania kwalifikacji do wykonywania górniczych zawodów</w:t>
            </w:r>
          </w:p>
          <w:p w14:paraId="2FDFB3B4" w14:textId="08519B15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1507">
              <w:rPr>
                <w:rFonts w:asciiTheme="minorHAnsi" w:hAnsiTheme="minorHAnsi" w:cstheme="minorHAnsi"/>
                <w:b/>
                <w:sz w:val="20"/>
                <w:szCs w:val="20"/>
              </w:rPr>
              <w:t>regulowanych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027C5" w14:textId="77777777" w:rsidR="004B44CB" w:rsidRPr="0004150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W dniu 28 stycznia 2023 r. wszedł w życie art. 23b ustawy z dnia 12 marca 2022 r. o</w:t>
            </w:r>
          </w:p>
          <w:p w14:paraId="306261CC" w14:textId="77777777" w:rsidR="004B44CB" w:rsidRPr="0004150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pomocy obywatelom Ukrainy w związku z konfliktem zbrojnym na terytorium tego</w:t>
            </w:r>
          </w:p>
          <w:p w14:paraId="33FDDD27" w14:textId="257D3381" w:rsidR="004B44CB" w:rsidRPr="001F45D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państwa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, umożliwiają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cy obywatelom Ukrainy uzyskanie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decyzji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uznających nabyte przez nich w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Uk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rainie kwalifikacje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zawodowe do wykonywania górniczych zawodów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regulowanych.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Wobec licznych pytań</w:t>
            </w:r>
            <w:r w:rsidR="00FE22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obywateli Ukrainy o możliwo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ść uznania kwalifikacji zawodowych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do wykonywania</w:t>
            </w:r>
            <w:r w:rsidR="00FE22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górniczych zawodów regulowanych,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kierowanych do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Wyższego Urzędu Górniczego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należy się spodziewać dużego napływu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wniosków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tym zakresie.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godnie 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obowiązującym obecnie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rozporządzeni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em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Ministra Energii z dnia 25 maja 2017 r.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sprawie upoważnienia do uznawania kwalifikacji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wykonywania górniczych zawodów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regulowanych, aktualne upowa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żnienie Prezesa Wyższego Urzędu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Górniczego do uznawania kwalifikacji zawodowych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udzielone przez ministra właściwego do spraw gospodarki złożami kopalin,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nie obejmuje kwalifikacji nabytych w Ukrainie.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F610" w14:textId="688D8036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celu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usprawnienia i skrócenia procedury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uznawania kwalifikacji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zawodowych do wykonywania górniczych zawodów regulowanych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oraz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zapewnienia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jednolitego podejścia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 wszystkich wnioskodawców,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proponuje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się wydanie przez Ministra Aktywów Państwowych nowego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rozporządzenia uwzględniającego, w zakresie udzielonego Prezesowi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Wyższego Urzędu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Górniczego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upoważnienia,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moż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liwości uznawania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kwalifikacji nabytych w Ukrainie.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A82E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II kwartał 2023 r.</w:t>
            </w:r>
          </w:p>
          <w:p w14:paraId="38AEC65A" w14:textId="26EA8EA9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95BC664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580195EF" w14:textId="4ECCE025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3 r. poz. 1061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9C69" w14:textId="74892983" w:rsidR="004B44CB" w:rsidRPr="00382BFC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 Hutnictwa (tel. 22 695 83 00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4FE1CEA9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0542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31945A1C" w14:textId="77777777" w:rsidTr="00115116">
        <w:trPr>
          <w:trHeight w:val="10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BA67" w14:textId="79C3CD22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22.23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6FBDC" w14:textId="32829A38" w:rsidR="004B44CB" w:rsidRPr="00A1061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Ministra Aktywów Państwowych w </w:t>
            </w: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sprawie wykazu stanowisk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pracy uprawniających do urlopu energetycznego lub urlopu górniczego oraz wzoru</w:t>
            </w:r>
          </w:p>
          <w:p w14:paraId="2888FB71" w14:textId="77777777" w:rsidR="004B44CB" w:rsidRPr="00A1061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zaświadczenia o okresie korzystania przez pracownika z urlopu energetycznego lub</w:t>
            </w:r>
          </w:p>
          <w:p w14:paraId="55C4F87A" w14:textId="52017434" w:rsidR="004B44CB" w:rsidRPr="00EC7373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urlopu górniczego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D524A" w14:textId="199C412C" w:rsidR="004B44CB" w:rsidRPr="0004150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Wydanie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rozporządzenia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przez właściwego do spraw aktywów państwowych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będzie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stanowi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ć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wykonanie upow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ażnienia zawartego w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art. 13 ustawy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 dnia 30 sierpnia 2023 r.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o osłonach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socjalnych dla pracowników sektora elektroenergetycznego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i branży górnictwa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węgla brunatnego.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10E0E" w14:textId="0C134448" w:rsidR="004B44CB" w:rsidRPr="00735821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821">
              <w:rPr>
                <w:rFonts w:asciiTheme="minorHAnsi" w:hAnsiTheme="minorHAnsi" w:cstheme="minorHAnsi"/>
                <w:sz w:val="20"/>
                <w:szCs w:val="20"/>
              </w:rPr>
              <w:t>W projektowanym rozporządzeniu zostanie określony wykaz stanowisk pracy uprawniających do urlopu górniczego i urlopu energetycznego przy uwzględnieniu rodzaj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Pr="00735821">
              <w:rPr>
                <w:rFonts w:asciiTheme="minorHAnsi" w:hAnsiTheme="minorHAnsi" w:cstheme="minorHAnsi"/>
                <w:sz w:val="20"/>
                <w:szCs w:val="20"/>
              </w:rPr>
              <w:t xml:space="preserve"> prac wykonywanych w</w:t>
            </w:r>
          </w:p>
          <w:p w14:paraId="6AA4EE06" w14:textId="77777777" w:rsidR="004B44CB" w:rsidRPr="00735821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821">
              <w:rPr>
                <w:rFonts w:asciiTheme="minorHAnsi" w:hAnsiTheme="minorHAnsi" w:cstheme="minorHAnsi"/>
                <w:sz w:val="20"/>
                <w:szCs w:val="20"/>
              </w:rPr>
              <w:t>obszarze produkcyjnym lub remontowym, biorących udział w procesie</w:t>
            </w:r>
          </w:p>
          <w:p w14:paraId="62CA9EEC" w14:textId="1144818A" w:rsidR="004B44CB" w:rsidRPr="00735821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821">
              <w:rPr>
                <w:rFonts w:asciiTheme="minorHAnsi" w:hAnsiTheme="minorHAnsi" w:cstheme="minorHAnsi"/>
                <w:sz w:val="20"/>
                <w:szCs w:val="20"/>
              </w:rPr>
              <w:t>wytwarzania energii elektrycznej albo udział w procesie wydobywczym węgla brunatnego.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celu</w:t>
            </w:r>
            <w:r w:rsidRPr="00735821">
              <w:rPr>
                <w:rFonts w:asciiTheme="minorHAnsi" w:hAnsiTheme="minorHAnsi" w:cstheme="minorHAnsi"/>
                <w:sz w:val="20"/>
                <w:szCs w:val="20"/>
              </w:rPr>
              <w:t xml:space="preserve"> ujednolicenia formy i treści wydawanych zaświadczeń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projekcie zostanie określony wzór </w:t>
            </w:r>
            <w:r w:rsidRPr="00735821">
              <w:rPr>
                <w:rFonts w:asciiTheme="minorHAnsi" w:hAnsiTheme="minorHAnsi"/>
                <w:sz w:val="20"/>
                <w:szCs w:val="20"/>
              </w:rPr>
              <w:t>zaświadczenia o okresie korzystania przez pracownika z urlopu energetycznego lub z urlopu górniczego</w:t>
            </w:r>
            <w:r w:rsidRPr="0073582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6F70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IV kwartał 2023 r.</w:t>
            </w:r>
          </w:p>
          <w:p w14:paraId="2A65DA07" w14:textId="77777777" w:rsidR="00940509" w:rsidRDefault="00940509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BA9D4C7" w14:textId="77777777" w:rsidR="00940509" w:rsidRDefault="00940509" w:rsidP="009405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</w:p>
          <w:p w14:paraId="2C98E8F1" w14:textId="77777777" w:rsidR="00940509" w:rsidRDefault="00940509" w:rsidP="009405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</w:p>
          <w:p w14:paraId="3C92F2B4" w14:textId="77777777" w:rsidR="00940509" w:rsidRDefault="00940509" w:rsidP="009405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</w:p>
          <w:p w14:paraId="5E3E3A1F" w14:textId="4D331AAB" w:rsidR="00940509" w:rsidRPr="00640BED" w:rsidRDefault="00940509" w:rsidP="009405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123FACDD" w14:textId="036A18ED" w:rsidR="00940509" w:rsidRDefault="00940509" w:rsidP="0094050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4 r. poz. </w:t>
            </w:r>
            <w:r w:rsidR="004C518E">
              <w:rPr>
                <w:rFonts w:asciiTheme="minorHAnsi" w:hAnsiTheme="minorHAnsi" w:cs="Helv"/>
                <w:sz w:val="20"/>
                <w:szCs w:val="20"/>
              </w:rPr>
              <w:t>629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4DC1" w14:textId="2635A375" w:rsidR="004B44CB" w:rsidRPr="00A1061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Maciej Kapalski główny specjalista w Departamencie </w:t>
            </w:r>
            <w:r w:rsidRPr="00A10614">
              <w:rPr>
                <w:rFonts w:asciiTheme="minorHAnsi" w:hAnsiTheme="minorHAnsi" w:cstheme="minorHAnsi"/>
                <w:sz w:val="20"/>
                <w:szCs w:val="20"/>
              </w:rPr>
              <w:t>Spółek Paliwowo-</w:t>
            </w:r>
          </w:p>
          <w:p w14:paraId="3420EB3A" w14:textId="7B57B350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Energetycznych</w:t>
            </w:r>
          </w:p>
          <w:p w14:paraId="2FD75328" w14:textId="3AFFABA0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A10614">
              <w:rPr>
                <w:rFonts w:asciiTheme="minorHAnsi" w:hAnsiTheme="minorHAnsi" w:cstheme="minorHAnsi"/>
                <w:sz w:val="20"/>
                <w:szCs w:val="20"/>
              </w:rPr>
              <w:t>tel. 022 695 88 72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A106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e-mail: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Maciej.Kapalski@map.gov.pl)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DFA33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3C955FEE" w14:textId="77777777" w:rsidTr="00115116">
        <w:trPr>
          <w:trHeight w:val="10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1591F" w14:textId="2793CA18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lastRenderedPageBreak/>
              <w:t>23.23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4957E" w14:textId="77777777" w:rsidR="004B44CB" w:rsidRPr="00A1061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 Ministra Aktywów Państwowych w sprawie dotacji budżetowej</w:t>
            </w:r>
          </w:p>
          <w:p w14:paraId="6AA7D9FD" w14:textId="77777777" w:rsidR="004B44CB" w:rsidRPr="00A1061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na finansowanie świadczeń socjalnych oraz jednorazowych odpraw pieniężnych dla</w:t>
            </w:r>
          </w:p>
          <w:p w14:paraId="6534B77A" w14:textId="4462A93C" w:rsidR="004B44CB" w:rsidRPr="00EC7373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pracowników sektora elektroenergetycznego i branży górnictwa węgla brunatnego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FAC85" w14:textId="49C0EA8C" w:rsidR="004B44CB" w:rsidRPr="0004150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Wydanie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rozporządzenia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przez ministra właściwego do spraw aktywów państwowych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będzie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stanowi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ć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wykonanie upow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ażnienia zawartego w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art.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 ustawy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 dnia 30 sierpnia 2023 r.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o osłonach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socjalnych dla pracowników sektora elektroenergetycznego i branży górnictwa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węgla brunatnego.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B4F34" w14:textId="79F51C0C" w:rsidR="004B44CB" w:rsidRPr="00213FA6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projektowanym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rozporządzeni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zostaną określone szczegółowe warunki i tryb przyznawania oraz sposób</w:t>
            </w:r>
          </w:p>
          <w:p w14:paraId="173A4B5F" w14:textId="71DAA51E" w:rsidR="004B44CB" w:rsidRPr="00213FA6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wykorzystania i tryb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 rozliczania dotacji budżetowej przeznaczonej na</w:t>
            </w:r>
          </w:p>
          <w:p w14:paraId="3B6E0409" w14:textId="731E8B56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finansowanie świadczeń, o 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órych mowa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w art. 4 ustawy z dnia 30 sierpnia 2023 r.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o osłonach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socjalnych dla pracowników sektora elektroenergetycznego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i branży górnictwa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węgla brunatnego, tj. urlopów górniczych, urlopów energetycznych oraz jednorazowych odpraw pieniężnych. </w:t>
            </w:r>
          </w:p>
          <w:p w14:paraId="013A450F" w14:textId="66245564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rozporządzeniu zostaną określone m. in. </w:t>
            </w:r>
            <w:r w:rsidRPr="004E5EF6">
              <w:rPr>
                <w:rFonts w:asciiTheme="minorHAnsi" w:hAnsiTheme="minorHAnsi" w:cstheme="minorHAnsi"/>
                <w:sz w:val="20"/>
                <w:szCs w:val="20"/>
              </w:rPr>
              <w:t>obligatoryjne elementy wniosku o przyznanie dotacji oraz obligatoryjne elementy jakie powinny znaleźć się w miesięcznym i 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ocznym rozliczeniu dotacji, a także </w:t>
            </w:r>
            <w:r w:rsidRPr="004E5EF6">
              <w:rPr>
                <w:rFonts w:asciiTheme="minorHAnsi" w:hAnsiTheme="minorHAnsi" w:cstheme="minorHAnsi"/>
                <w:sz w:val="20"/>
                <w:szCs w:val="20"/>
              </w:rPr>
              <w:t>terminy składania rozliczeń przyznanej dotacji.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5EF6">
              <w:rPr>
                <w:rFonts w:asciiTheme="minorHAnsi" w:hAnsiTheme="minorHAnsi" w:cstheme="minorHAnsi"/>
                <w:sz w:val="20"/>
                <w:szCs w:val="20"/>
              </w:rPr>
              <w:t xml:space="preserve">Projektowane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4E5EF6">
              <w:rPr>
                <w:rFonts w:asciiTheme="minorHAnsi" w:hAnsiTheme="minorHAnsi" w:cstheme="minorHAnsi"/>
                <w:sz w:val="20"/>
                <w:szCs w:val="20"/>
              </w:rPr>
              <w:t xml:space="preserve"> również termin zwrotu dotacji budżetowej, która nie zostanie wykorzystana w całości lub w części.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908BD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IV kwartał 2023 r.</w:t>
            </w:r>
          </w:p>
          <w:p w14:paraId="2E2EEC24" w14:textId="77777777" w:rsidR="00940509" w:rsidRDefault="00940509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782F82E" w14:textId="77777777" w:rsidR="00940509" w:rsidRDefault="00940509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F6F8515" w14:textId="77777777" w:rsidR="00940509" w:rsidRPr="00640BED" w:rsidRDefault="00940509" w:rsidP="009405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337802A7" w14:textId="036A687A" w:rsidR="00940509" w:rsidRDefault="00940509" w:rsidP="0094050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4 r. poz.</w:t>
            </w:r>
            <w:r w:rsidR="004C518E">
              <w:rPr>
                <w:rFonts w:asciiTheme="minorHAnsi" w:hAnsiTheme="minorHAnsi" w:cs="Helv"/>
                <w:sz w:val="20"/>
                <w:szCs w:val="20"/>
              </w:rPr>
              <w:t xml:space="preserve"> 259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BA498" w14:textId="3D9F909F" w:rsidR="004B44CB" w:rsidRPr="00A1061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Maciej Kapalski</w:t>
            </w:r>
            <w:r w:rsidRPr="00A106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główny specjalista w Departamencie </w:t>
            </w:r>
            <w:r w:rsidRPr="00A10614">
              <w:rPr>
                <w:rFonts w:asciiTheme="minorHAnsi" w:hAnsiTheme="minorHAnsi" w:cstheme="minorHAnsi"/>
                <w:sz w:val="20"/>
                <w:szCs w:val="20"/>
              </w:rPr>
              <w:t>Spółek Paliwowo-</w:t>
            </w:r>
          </w:p>
          <w:p w14:paraId="3936586D" w14:textId="77777777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Energetycznych</w:t>
            </w:r>
          </w:p>
          <w:p w14:paraId="1D8DEA1A" w14:textId="77777777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A10614">
              <w:rPr>
                <w:rFonts w:asciiTheme="minorHAnsi" w:hAnsiTheme="minorHAnsi" w:cstheme="minorHAnsi"/>
                <w:sz w:val="20"/>
                <w:szCs w:val="20"/>
              </w:rPr>
              <w:t>tel. 022 695 88 72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A106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e-mail:</w:t>
            </w:r>
          </w:p>
          <w:p w14:paraId="1E0A8EF9" w14:textId="5A2376B5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Maciej.Kapalski@map.gov.pl)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B9E52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063B941E" w14:textId="77777777" w:rsidTr="00115116">
        <w:trPr>
          <w:trHeight w:val="10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3658" w14:textId="4BA30093" w:rsidR="004B44CB" w:rsidRPr="00C42B04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24</w:t>
            </w:r>
            <w:r w:rsidRPr="00C42B04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.23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706C" w14:textId="373804CF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Rozporządzenie Ministra Aktywów Państwowych </w:t>
            </w:r>
          </w:p>
          <w:p w14:paraId="75FFD5FE" w14:textId="77777777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b/>
                <w:sz w:val="20"/>
                <w:szCs w:val="20"/>
              </w:rPr>
              <w:t>w sprawie dotacji budżetowej przeznaczonej na finansowanie likwidacji kopalń, działań</w:t>
            </w:r>
          </w:p>
          <w:p w14:paraId="01988D98" w14:textId="6553EE51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b/>
                <w:sz w:val="20"/>
                <w:szCs w:val="20"/>
              </w:rPr>
              <w:t>wykonywanych po zakończeniu likwidacji kopalń, naprawiania szkód wywołanych ruchem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42B04">
              <w:rPr>
                <w:rFonts w:asciiTheme="minorHAnsi" w:hAnsiTheme="minorHAnsi" w:cstheme="minorHAnsi"/>
                <w:b/>
                <w:sz w:val="20"/>
                <w:szCs w:val="20"/>
              </w:rPr>
              <w:t>zakładu górniczego oraz zabezpieczenia kopalń sąsiednich przed zagrożeniem wodnym,</w:t>
            </w:r>
          </w:p>
          <w:p w14:paraId="3DF37B9A" w14:textId="38397B10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gazowym oraz pożarowym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EC21" w14:textId="128431F8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Wydanie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rozporządzenia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przez ministra właściwego do spraw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gospodarki złożami kopal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 będzie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stanowi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ć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wykonanie upoważnienia zawartego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art. 8a ust. 5 ustawy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 xml:space="preserve"> z dnia 7 września 2007 r.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funkcjonowaniu górnictwa węgla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kamiennego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brzemieniu ustalonym w nowelizacji ww. ustawy dokonanej w</w:t>
            </w:r>
          </w:p>
          <w:p w14:paraId="40D98E2C" w14:textId="4DEBFF94" w:rsidR="004B44CB" w:rsidRPr="00041507" w:rsidRDefault="004B44CB" w:rsidP="00FA0A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art. 21 pkt 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ustawy o zasadach udzielania przez Skarb Państwa gwarancji za zobowiązania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Narodowej Agencji Bezpieczeństwa Energetycznego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uchwalonej przez Sejm RP w dniu 17 sierpnia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 xml:space="preserve">2023 r.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E225" w14:textId="459610B7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projektowanym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rozporządzeni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zostaną określone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szczegółowe warunki i tryb przyznawania dotacji budżetowej</w:t>
            </w:r>
          </w:p>
          <w:p w14:paraId="77027563" w14:textId="77777777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przeznaczonej na finansowanie likwidacji kopalń, zabezpieczenia kopalń sąsiednich</w:t>
            </w:r>
          </w:p>
          <w:p w14:paraId="345E4FE6" w14:textId="77777777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przed zagrożeniem wodnym, gazowym oraz pożarowym w trakcie i po zakończeniu</w:t>
            </w:r>
          </w:p>
          <w:p w14:paraId="212C0AFD" w14:textId="77777777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likwidacji kopalni, naprawiania szkód wywołanych ruchem zakładu górniczego</w:t>
            </w:r>
          </w:p>
          <w:p w14:paraId="31AE5CFC" w14:textId="77777777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w trakcie i po zakończeniu likwidacji zakładu górniczego, w tym szkód powstałych</w:t>
            </w:r>
          </w:p>
          <w:p w14:paraId="753015E8" w14:textId="65A2C72A" w:rsidR="004B44CB" w:rsidRDefault="004B44CB" w:rsidP="00FA0A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w wyniku reaktywacji starych zrobów, a także na finansowanie działań wykonywanych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 xml:space="preserve">po zakończeniu likwidacji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kopalń, tryb rozliczania dotacji budżetowej oraz warunki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powodujące czasowe wstrzymanie wypłaty przyznanej dotacji.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06825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IV kwartał 2023 r.</w:t>
            </w:r>
          </w:p>
          <w:p w14:paraId="45F7B3BC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0C56303" w14:textId="704A3079" w:rsidR="004B44CB" w:rsidRPr="00DA3DE7" w:rsidRDefault="004B44CB" w:rsidP="004B44CB">
            <w:pPr>
              <w:rPr>
                <w:rFonts w:asciiTheme="minorHAnsi" w:hAnsiTheme="minorHAnsi"/>
                <w:sz w:val="20"/>
                <w:szCs w:val="20"/>
              </w:rPr>
            </w:pPr>
            <w:r w:rsidRPr="00DA3DE7">
              <w:rPr>
                <w:rFonts w:asciiTheme="minorHAnsi" w:hAnsiTheme="minorHAnsi"/>
                <w:sz w:val="20"/>
                <w:szCs w:val="20"/>
              </w:rPr>
              <w:t>Zrezygnowano z prowadzenia prac legislacyjnych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3E0D8" w14:textId="3F958289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Dyrektor Departamentu Górnictwa i Hutnictwa</w:t>
            </w:r>
          </w:p>
          <w:p w14:paraId="5EB43379" w14:textId="5973CD24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(tel. 22 695 83 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F743C23" w14:textId="0A53831F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e-mail: SekretariatDGH@map.gov.pl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B81D" w14:textId="7EE5ADE9" w:rsidR="004B44CB" w:rsidRPr="00172FE6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2FE6">
              <w:rPr>
                <w:rFonts w:asciiTheme="minorHAnsi" w:hAnsiTheme="minorHAnsi" w:cstheme="minorHAnsi"/>
                <w:sz w:val="20"/>
                <w:szCs w:val="20"/>
              </w:rPr>
              <w:t>Z uwagi na odrzucenie prze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172FE6">
              <w:rPr>
                <w:rFonts w:asciiTheme="minorHAnsi" w:hAnsiTheme="minorHAnsi" w:cstheme="minorHAnsi"/>
                <w:sz w:val="20"/>
                <w:szCs w:val="20"/>
              </w:rPr>
              <w:t xml:space="preserve"> Senat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RP</w:t>
            </w:r>
          </w:p>
          <w:p w14:paraId="66F0F5D7" w14:textId="34C31312" w:rsidR="004B44CB" w:rsidRPr="00172FE6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ustawy</w:t>
            </w:r>
            <w:r w:rsidRPr="00172F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zawierającej upoważnienie do wydania rozporządzenia </w:t>
            </w:r>
          </w:p>
          <w:p w14:paraId="6933E095" w14:textId="05FD3853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zakończenie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przez Sejm RP posiedzeń w bieżącej  kadencji, zrezygnowano z prac nad projektem.</w:t>
            </w:r>
          </w:p>
        </w:tc>
      </w:tr>
      <w:tr w:rsidR="004B44CB" w:rsidRPr="00EA5B97" w14:paraId="16D9C95E" w14:textId="77777777" w:rsidTr="00115116">
        <w:trPr>
          <w:trHeight w:val="39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17651" w14:textId="4038C075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lastRenderedPageBreak/>
              <w:t>25.23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D078B" w14:textId="02CE174E" w:rsidR="004B44CB" w:rsidRPr="001E21C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21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Rozporządzenie Ministra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Aktywów Państwowych </w:t>
            </w:r>
            <w:r w:rsidRPr="001E21C7">
              <w:rPr>
                <w:rFonts w:asciiTheme="minorHAnsi" w:hAnsiTheme="minorHAnsi" w:cstheme="minorHAnsi"/>
                <w:b/>
                <w:sz w:val="20"/>
                <w:szCs w:val="20"/>
              </w:rPr>
              <w:t>zmieniają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 </w:t>
            </w:r>
            <w:r w:rsidRPr="001E21C7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 w sprawie udzielania pomocy na</w:t>
            </w:r>
          </w:p>
          <w:p w14:paraId="4FC4E6A7" w14:textId="67C00D91" w:rsidR="004B44CB" w:rsidRPr="001E21C7" w:rsidRDefault="004B44CB" w:rsidP="004B44C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21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inwestycje wspierające robotyzację i cyfryzację w przedsiębiorstwach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1E21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 ramach Krajowego Planu Odbudowy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1E21C7">
              <w:rPr>
                <w:rFonts w:asciiTheme="minorHAnsi" w:hAnsiTheme="minorHAnsi" w:cstheme="minorHAnsi"/>
                <w:b/>
                <w:sz w:val="20"/>
                <w:szCs w:val="20"/>
              </w:rPr>
              <w:t>i Zwiększania Odporności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17DB7" w14:textId="3C9E78ED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54E2">
              <w:rPr>
                <w:rFonts w:asciiTheme="minorHAnsi" w:hAnsiTheme="minorHAnsi" w:cstheme="minorHAnsi"/>
                <w:sz w:val="20"/>
                <w:szCs w:val="20"/>
              </w:rPr>
              <w:t xml:space="preserve">W związku z nowelizacją rozporządzenia Komisji (UE) nr 651/2014 z dnia 17 czerwca 2014 r. uznającego niektóre rodzaje pomocy za zgodne z rynkiem wewnętrznym w zastosowaniu art. 107 i 108 Traktatu (Dz. Urz. UE L 187 z 26.6.2014, str. 1 z późn. zm.),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niezbędna</w:t>
            </w:r>
            <w:r w:rsidRPr="009854E2">
              <w:rPr>
                <w:rFonts w:asciiTheme="minorHAnsi" w:hAnsiTheme="minorHAnsi" w:cstheme="minorHAnsi"/>
                <w:sz w:val="20"/>
                <w:szCs w:val="20"/>
              </w:rPr>
              <w:t xml:space="preserve"> jest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modyfikacja </w:t>
            </w:r>
            <w:r w:rsidRPr="009854E2">
              <w:rPr>
                <w:rFonts w:asciiTheme="minorHAnsi" w:hAnsiTheme="minorHAnsi" w:cstheme="minorHAnsi"/>
                <w:sz w:val="20"/>
                <w:szCs w:val="20"/>
              </w:rPr>
              <w:t>rozporządzenia Ministra Aktywów Państwowych z dnia 30 marca 2023 r. w sprawie udzielania pomocy na inwestycje wspierające robotyzację i cyfryzację w przedsiębiorstwach w ramach Krajowego Planu Odbudowy i Zwiększania Odporności (Dz. U. z 2023 r. poz. 621).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3254C" w14:textId="65AF932E" w:rsidR="004B44CB" w:rsidRPr="00D03B40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 uwagi na to</w:t>
            </w:r>
            <w:r w:rsidRPr="00D03B40">
              <w:rPr>
                <w:rFonts w:asciiTheme="minorHAnsi" w:hAnsiTheme="minorHAnsi" w:cstheme="minorHAnsi"/>
                <w:sz w:val="20"/>
                <w:szCs w:val="20"/>
              </w:rPr>
              <w:t>, że w wyniku nowelizacji rozporządzenia nr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03B40">
              <w:rPr>
                <w:rFonts w:asciiTheme="minorHAnsi" w:hAnsiTheme="minorHAnsi" w:cstheme="minorHAnsi"/>
                <w:sz w:val="20"/>
                <w:szCs w:val="20"/>
              </w:rPr>
              <w:t>651/2014 do art. 7 ust. 1 dodano zdanie: „przy obliczaniu intensywności pomocy i kosztów kwalifikowalnych nie uwzględnia się jednak podatku od wartości dodanej</w:t>
            </w:r>
          </w:p>
          <w:p w14:paraId="32D0C8A5" w14:textId="41941194" w:rsidR="004B44CB" w:rsidRDefault="004B44CB" w:rsidP="00FE22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3B40">
              <w:rPr>
                <w:rFonts w:asciiTheme="minorHAnsi" w:hAnsiTheme="minorHAnsi" w:cstheme="minorHAnsi"/>
                <w:sz w:val="20"/>
                <w:szCs w:val="20"/>
              </w:rPr>
              <w:t xml:space="preserve">naliczanego od kosztów lub wydatków kwalifikowalnych, który podlega zwrotowi zgodnie z obowiązującym krajowym prawem podatkowym”,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odpowiedniej </w:t>
            </w:r>
            <w:r w:rsidRPr="00D03B40">
              <w:rPr>
                <w:rFonts w:asciiTheme="minorHAnsi" w:hAnsiTheme="minorHAnsi" w:cstheme="minorHAnsi"/>
                <w:sz w:val="20"/>
                <w:szCs w:val="20"/>
              </w:rPr>
              <w:t xml:space="preserve">zmianie ulegnie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brzmienie </w:t>
            </w:r>
            <w:r w:rsidRPr="00D03B40">
              <w:rPr>
                <w:rFonts w:asciiTheme="minorHAnsi" w:hAnsiTheme="minorHAnsi" w:cstheme="minorHAnsi"/>
                <w:sz w:val="20"/>
                <w:szCs w:val="20"/>
              </w:rPr>
              <w:t xml:space="preserve">§ 10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nowelizowanego </w:t>
            </w:r>
            <w:r w:rsidRPr="00D03B40">
              <w:rPr>
                <w:rFonts w:asciiTheme="minorHAnsi" w:hAnsiTheme="minorHAnsi" w:cstheme="minorHAnsi"/>
                <w:sz w:val="20"/>
                <w:szCs w:val="20"/>
              </w:rPr>
              <w:t>rozporządzenia.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89F96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IV kwartał 2023 r.</w:t>
            </w:r>
          </w:p>
          <w:p w14:paraId="11B8B150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ADD3581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EAE42C1" w14:textId="517C9923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3 r. poz. 2604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D47" w14:textId="3747627D" w:rsidR="004B44CB" w:rsidRPr="001E21C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21C7">
              <w:rPr>
                <w:rFonts w:asciiTheme="minorHAnsi" w:hAnsiTheme="minorHAnsi" w:cstheme="minorHAnsi"/>
                <w:sz w:val="20"/>
                <w:szCs w:val="20"/>
              </w:rPr>
              <w:t xml:space="preserve">Magdalena Zielińska naczelnik wydziału w </w:t>
            </w:r>
          </w:p>
          <w:p w14:paraId="38D5357A" w14:textId="77777777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21C7">
              <w:rPr>
                <w:rFonts w:asciiTheme="minorHAnsi" w:hAnsiTheme="minorHAnsi" w:cstheme="minorHAnsi"/>
                <w:sz w:val="20"/>
                <w:szCs w:val="20"/>
              </w:rPr>
              <w:t xml:space="preserve">Departamencie Funduszy Europejskich i Instrumentów Rozwojowych </w:t>
            </w:r>
          </w:p>
          <w:p w14:paraId="4E438D4D" w14:textId="6995F497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21C7">
              <w:rPr>
                <w:rFonts w:asciiTheme="minorHAnsi" w:hAnsiTheme="minorHAnsi" w:cstheme="minorHAnsi"/>
                <w:sz w:val="20"/>
                <w:szCs w:val="20"/>
              </w:rPr>
              <w:t>(tel. 22 695 89 28)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9CBD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6949615F" w14:textId="77777777" w:rsidTr="00115116">
        <w:trPr>
          <w:trHeight w:val="419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F34C9" w14:textId="5F7BF5A1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lastRenderedPageBreak/>
              <w:t>26.23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6BBAB" w14:textId="260BBD27" w:rsidR="004B44CB" w:rsidRPr="009C0BD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0BDF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 Ministra Aktywów Państwowych  zmieniające rozporządzenie w sprawie</w:t>
            </w:r>
          </w:p>
          <w:p w14:paraId="7D2A6B21" w14:textId="77777777" w:rsidR="004B44CB" w:rsidRPr="009C0BD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0BDF">
              <w:rPr>
                <w:rFonts w:asciiTheme="minorHAnsi" w:hAnsiTheme="minorHAnsi" w:cstheme="minorHAnsi"/>
                <w:b/>
                <w:sz w:val="20"/>
                <w:szCs w:val="20"/>
              </w:rPr>
              <w:t>dotacji budżetowej przeznaczonej na finansowanie likwidacji kopalń, działań</w:t>
            </w:r>
          </w:p>
          <w:p w14:paraId="5F5CD349" w14:textId="77777777" w:rsidR="004B44CB" w:rsidRPr="009C0BD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0BDF">
              <w:rPr>
                <w:rFonts w:asciiTheme="minorHAnsi" w:hAnsiTheme="minorHAnsi" w:cstheme="minorHAnsi"/>
                <w:b/>
                <w:sz w:val="20"/>
                <w:szCs w:val="20"/>
              </w:rPr>
              <w:t>wykonywanych po zakończeniu likwidacji kopalń, naprawiania szkód wywołanych ruchem</w:t>
            </w:r>
          </w:p>
          <w:p w14:paraId="072292EE" w14:textId="77777777" w:rsidR="004B44CB" w:rsidRPr="009C0BD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0BDF">
              <w:rPr>
                <w:rFonts w:asciiTheme="minorHAnsi" w:hAnsiTheme="minorHAnsi" w:cstheme="minorHAnsi"/>
                <w:b/>
                <w:sz w:val="20"/>
                <w:szCs w:val="20"/>
              </w:rPr>
              <w:t>zakładu górniczego oraz zabezpieczenia kopalń sąsiednich przed zagrożeniem wodnym,</w:t>
            </w:r>
          </w:p>
          <w:p w14:paraId="3778C542" w14:textId="649CAD89" w:rsidR="004B44CB" w:rsidRPr="009C0BD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0BD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gazowym oraz pożarowym 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9EC52" w14:textId="6BB0A78E" w:rsidR="004B44CB" w:rsidRPr="00C826B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826B4">
              <w:rPr>
                <w:rFonts w:asciiTheme="minorHAnsi" w:hAnsiTheme="minorHAnsi" w:cstheme="minorHAnsi"/>
                <w:sz w:val="20"/>
                <w:szCs w:val="20"/>
              </w:rPr>
              <w:t>Nowelizacja rozporządzenia ma na celu umożliwienie finansowania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C826B4">
              <w:rPr>
                <w:rFonts w:asciiTheme="minorHAnsi" w:hAnsiTheme="minorHAnsi" w:cstheme="minorHAnsi"/>
                <w:sz w:val="20"/>
                <w:szCs w:val="20"/>
              </w:rPr>
              <w:t xml:space="preserve"> z dotacji budżetowej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C826B4">
              <w:rPr>
                <w:rFonts w:asciiTheme="minorHAnsi" w:hAnsiTheme="minorHAnsi" w:cstheme="minorHAnsi"/>
                <w:sz w:val="20"/>
                <w:szCs w:val="20"/>
              </w:rPr>
              <w:t xml:space="preserve"> wykonywania przez Spółkę Restrukturyzacji Kopalń S.A. działań polikwidacyjnych obejmujących prace zabezpieczające oraz przedsięwzięcia</w:t>
            </w:r>
          </w:p>
          <w:p w14:paraId="2F343E55" w14:textId="6D60DEAF" w:rsidR="004B44CB" w:rsidRPr="009C0BDF" w:rsidRDefault="004B44CB" w:rsidP="00FA0A0B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20"/>
                <w:szCs w:val="20"/>
              </w:rPr>
            </w:pPr>
            <w:r w:rsidRPr="00C826B4">
              <w:rPr>
                <w:rFonts w:asciiTheme="minorHAnsi" w:hAnsiTheme="minorHAnsi" w:cstheme="minorHAnsi"/>
                <w:sz w:val="20"/>
                <w:szCs w:val="20"/>
              </w:rPr>
              <w:t xml:space="preserve">zapobiegające zagrożeniom w związku ze zlikwidowaną </w:t>
            </w:r>
            <w:r w:rsidRPr="00A879A4">
              <w:rPr>
                <w:rFonts w:asciiTheme="minorHAnsi" w:hAnsiTheme="minorHAnsi" w:cstheme="minorHAnsi"/>
                <w:sz w:val="20"/>
                <w:szCs w:val="20"/>
              </w:rPr>
              <w:t xml:space="preserve">kopalnią. Ponadto, z uwagi na to, że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spółka przy weryfikacji wniosków o dotację, musi przedkładać szereg </w:t>
            </w:r>
            <w:r w:rsidRPr="00A879A4">
              <w:rPr>
                <w:rFonts w:asciiTheme="minorHAnsi" w:hAnsiTheme="minorHAnsi" w:cstheme="minorHAnsi"/>
                <w:sz w:val="20"/>
                <w:szCs w:val="20"/>
              </w:rPr>
              <w:t xml:space="preserve">dokumentów potwierdzających zasadność i konieczność naprawienia szkody,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uzasadniona  jest rezygnacja</w:t>
            </w:r>
            <w:r w:rsidRPr="00A879A4">
              <w:rPr>
                <w:rFonts w:asciiTheme="minorHAnsi" w:hAnsiTheme="minorHAnsi" w:cstheme="minorHAnsi"/>
                <w:sz w:val="20"/>
                <w:szCs w:val="20"/>
              </w:rPr>
              <w:t xml:space="preserve">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dodatkowych wymagań obejmujących </w:t>
            </w:r>
            <w:r w:rsidRPr="00A879A4">
              <w:rPr>
                <w:rFonts w:asciiTheme="minorHAnsi" w:hAnsiTheme="minorHAnsi" w:cstheme="minorHAnsi"/>
                <w:sz w:val="20"/>
                <w:szCs w:val="20"/>
              </w:rPr>
              <w:t>przedstawienie prawomocnych orzeczeń sądu lub ugód zawartych z poszkodowanymi.</w:t>
            </w:r>
            <w:r w:rsidRPr="008A0E7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B465E" w14:textId="20AB6F37" w:rsidR="004B44CB" w:rsidRPr="008A0E7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roz</w:t>
            </w:r>
            <w:r w:rsidRPr="008A0E7F">
              <w:rPr>
                <w:rFonts w:asciiTheme="minorHAnsi" w:hAnsiTheme="minorHAnsi" w:cstheme="minorHAnsi"/>
                <w:sz w:val="20"/>
                <w:szCs w:val="20"/>
              </w:rPr>
              <w:t>szerzy katalog działań polikwidacyjnych wykonywanych przez SRK S.A. w oparciu o fina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8A0E7F">
              <w:rPr>
                <w:rFonts w:asciiTheme="minorHAnsi" w:hAnsiTheme="minorHAnsi" w:cstheme="minorHAnsi"/>
                <w:sz w:val="20"/>
                <w:szCs w:val="20"/>
              </w:rPr>
              <w:t xml:space="preserve">sowanie z dotacji budżetowej oraz uchyli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przepis </w:t>
            </w:r>
            <w:r w:rsidRPr="008A0E7F">
              <w:rPr>
                <w:rFonts w:asciiTheme="minorHAnsi" w:hAnsiTheme="minorHAnsi" w:cstheme="minorHAnsi"/>
                <w:sz w:val="20"/>
                <w:szCs w:val="20"/>
              </w:rPr>
              <w:t xml:space="preserve">zawierający wymóg dołączania do wniosku o dotację prawomocnych orzeczeń sądu lub ugód zawartych z poszkodowanymi. </w:t>
            </w:r>
          </w:p>
          <w:p w14:paraId="0248160E" w14:textId="679C1B44" w:rsidR="004B44CB" w:rsidRPr="009C0BDF" w:rsidRDefault="004B44CB" w:rsidP="004B44CB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7BA9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IV kwartał 2023 r.</w:t>
            </w:r>
          </w:p>
          <w:p w14:paraId="6411471E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E9EB6FA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282BC07" w14:textId="32A95978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U. z 2024 r. poz. 47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67464" w14:textId="6F097AC1" w:rsidR="004B44CB" w:rsidRPr="009C0BD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C0BDF">
              <w:rPr>
                <w:rFonts w:asciiTheme="minorHAnsi" w:hAnsiTheme="minorHAnsi" w:cstheme="minorHAnsi"/>
                <w:sz w:val="20"/>
                <w:szCs w:val="20"/>
              </w:rPr>
              <w:t xml:space="preserve">Elżbieta Kiełbasińska naczelnik wydziału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C0BDF">
              <w:rPr>
                <w:rFonts w:asciiTheme="minorHAnsi" w:hAnsiTheme="minorHAnsi" w:cstheme="minorHAnsi"/>
                <w:sz w:val="20"/>
                <w:szCs w:val="20"/>
              </w:rPr>
              <w:t>w Departamencie Górnictwa i Hutnictwa</w:t>
            </w:r>
          </w:p>
          <w:p w14:paraId="066FCC99" w14:textId="3ED306FE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C0BDF">
              <w:rPr>
                <w:rFonts w:asciiTheme="minorHAnsi" w:hAnsiTheme="minorHAnsi" w:cstheme="minorHAnsi"/>
                <w:sz w:val="20"/>
                <w:szCs w:val="20"/>
              </w:rPr>
              <w:t>(tel. 22 695 83 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9C0B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C742114" w14:textId="0EAAD644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C0BDF">
              <w:rPr>
                <w:rFonts w:asciiTheme="minorHAnsi" w:hAnsiTheme="minorHAnsi" w:cstheme="minorHAnsi"/>
                <w:sz w:val="20"/>
                <w:szCs w:val="20"/>
              </w:rPr>
              <w:t>e-mail: SekretariatDGH@map.gov.pl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5C026" w14:textId="43E05642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 związku ze zmianą właściwości ministra, prace nad rozporządzeniem dokończył Minister Przemysłu.</w:t>
            </w:r>
          </w:p>
        </w:tc>
      </w:tr>
      <w:tr w:rsidR="004B44CB" w:rsidRPr="00EA5B97" w14:paraId="68F528C6" w14:textId="77777777" w:rsidTr="00115116">
        <w:trPr>
          <w:trHeight w:val="55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5AACA" w14:textId="367AC75F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27.24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EE263" w14:textId="7397AE94" w:rsidR="004B44CB" w:rsidRPr="006F646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Rozporządzenie </w:t>
            </w:r>
            <w:r w:rsidRPr="006F6467">
              <w:rPr>
                <w:rFonts w:asciiTheme="minorHAnsi" w:hAnsiTheme="minorHAnsi" w:cstheme="minorHAnsi"/>
                <w:b/>
                <w:sz w:val="20"/>
                <w:szCs w:val="20"/>
              </w:rPr>
              <w:t>Ministra Aktywów Państwowych w sprawie egzaminu dla</w:t>
            </w:r>
          </w:p>
          <w:p w14:paraId="0775DC35" w14:textId="326FBAF8" w:rsidR="004B44CB" w:rsidRPr="009C0BD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6467">
              <w:rPr>
                <w:rFonts w:asciiTheme="minorHAnsi" w:hAnsiTheme="minorHAnsi" w:cstheme="minorHAnsi"/>
                <w:b/>
                <w:sz w:val="20"/>
                <w:szCs w:val="20"/>
              </w:rPr>
              <w:t>kandydatów na członków organów nadzorczych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820B" w14:textId="43210626" w:rsidR="004B44CB" w:rsidRPr="00C826B4" w:rsidRDefault="004B44CB" w:rsidP="00E90D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stanowi wykonanie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upoważnienia ustawowego zawartego w art. 21 ust. 9 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stawy z dnia 16 grudnia 2016 r.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o zasadach zarządzania mieniem państwowym (Dz.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U. </w:t>
            </w:r>
            <w:r w:rsidR="00E90D6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 2023 r. poz. 973 i 1859). </w:t>
            </w:r>
            <w:r w:rsidR="00E90D6D">
              <w:rPr>
                <w:rFonts w:asciiTheme="minorHAnsi" w:hAnsiTheme="minorHAnsi" w:cstheme="minorHAnsi"/>
                <w:sz w:val="20"/>
                <w:szCs w:val="20"/>
              </w:rPr>
              <w:t xml:space="preserve">Ze względu na przewidziane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zasadnicze zmiany w sposobie przeprowadza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nia egzaminu,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 xml:space="preserve">dla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zapewnienia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prze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jrzystości przepisów, właściwe będzie wydanie nowego rozporządzenia.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Wprowadzenie do obiegu prawnego tego aktu prawnego</w:t>
            </w:r>
            <w:r w:rsidR="003322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będzie </w:t>
            </w:r>
            <w:r w:rsidR="003322FA">
              <w:rPr>
                <w:rFonts w:asciiTheme="minorHAnsi" w:hAnsiTheme="minorHAnsi" w:cstheme="minorHAnsi"/>
                <w:sz w:val="20"/>
                <w:szCs w:val="20"/>
              </w:rPr>
              <w:t xml:space="preserve">się wiązać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 uchyleniem rozporządzenia Ministra Aktywów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Państwowych z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nia 5 czerwca 2020 r. w sprawie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egzaminu dla kandydatów na członków organów nadzorczych (Dz.</w:t>
            </w:r>
            <w:r w:rsidR="0096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U. poz. 1022).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28C60" w14:textId="1E48142D" w:rsidR="004B44CB" w:rsidRPr="006F646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Regulacje zaproponowane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w projekcie</w:t>
            </w:r>
          </w:p>
          <w:p w14:paraId="4CFFFC17" w14:textId="22A5EDF1" w:rsidR="004B44CB" w:rsidRPr="006F646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rozporządzenia uwzględni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ą sprawdzone rozwiązania określone w dotychczasowym</w:t>
            </w:r>
          </w:p>
          <w:p w14:paraId="1376E78F" w14:textId="128EBD53" w:rsidR="004B44CB" w:rsidRPr="006F646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 xml:space="preserve">rozporządzeniu, ze zmianami wynikającymi </w:t>
            </w:r>
            <w:r w:rsidR="00E90D6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z doświadczeń w zakresie przeprowadzania</w:t>
            </w:r>
          </w:p>
          <w:p w14:paraId="539E0D53" w14:textId="77777777" w:rsidR="004B44CB" w:rsidRPr="006F646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egzaminu oraz z analizy liczby zgłoszeń osób zainteresowanych przystąpieniem do</w:t>
            </w:r>
          </w:p>
          <w:p w14:paraId="3DB8BE25" w14:textId="4394FFB8" w:rsidR="004B44CB" w:rsidRPr="006F646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 xml:space="preserve">egzaminu i osiąganej zdawalności. Zasadnicze zmiany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będą dotyczyć rozwiązań określających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sposób przeprowadzania części pisemnej egzaminu.</w:t>
            </w:r>
          </w:p>
          <w:p w14:paraId="02C2C0F5" w14:textId="28A6D4DC" w:rsidR="004B44CB" w:rsidRPr="006F6467" w:rsidRDefault="004B44CB" w:rsidP="004B44CB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Wdrożenie projektowanych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rozwiązań nie wymaga zmian brzmienia art. 21 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stawy </w:t>
            </w:r>
            <w:r w:rsidR="00E90D6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 dnia 16 grudnia 2016 r. o zasadach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 xml:space="preserve">zarządzania mieniem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państwowym.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F0822" w14:textId="0789881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 kwartał 2024 r.</w:t>
            </w:r>
          </w:p>
          <w:p w14:paraId="3052125B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4E7366B" w14:textId="77777777" w:rsidR="00940509" w:rsidRPr="00640BED" w:rsidRDefault="00940509" w:rsidP="009405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4712C22" w14:textId="2F238BF6" w:rsidR="00940509" w:rsidRDefault="00940509" w:rsidP="0094050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4 r. poz.</w:t>
            </w:r>
            <w:r w:rsidR="004C518E">
              <w:rPr>
                <w:rFonts w:asciiTheme="minorHAnsi" w:hAnsiTheme="minorHAnsi" w:cs="Helv"/>
                <w:sz w:val="20"/>
                <w:szCs w:val="20"/>
              </w:rPr>
              <w:t xml:space="preserve"> 462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1B00C" w14:textId="4D6F6B20" w:rsidR="004B44CB" w:rsidRPr="006F646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Beata Trejnowska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 xml:space="preserve"> radca w Biurze</w:t>
            </w:r>
          </w:p>
          <w:p w14:paraId="0801DEF8" w14:textId="77777777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 xml:space="preserve">Ministra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89 67; e-mail:</w:t>
            </w:r>
          </w:p>
          <w:p w14:paraId="6F8D16C5" w14:textId="59C8D0DF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beata.trejnowska@</w:t>
            </w:r>
          </w:p>
          <w:p w14:paraId="04B6BF84" w14:textId="1DA8F6BB" w:rsidR="004B44CB" w:rsidRPr="009C0BD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map.gov.pl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DE709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0509" w:rsidRPr="00EA5B97" w14:paraId="64DA423C" w14:textId="77777777" w:rsidTr="00115116">
        <w:trPr>
          <w:trHeight w:val="55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7889B" w14:textId="7B353B56" w:rsidR="00940509" w:rsidRDefault="00940509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lastRenderedPageBreak/>
              <w:t>28.24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9BB89" w14:textId="4FD11497" w:rsidR="00940509" w:rsidRDefault="00940509" w:rsidP="00F64B4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Rozporządzenie </w:t>
            </w:r>
            <w:r w:rsidRPr="006F6467">
              <w:rPr>
                <w:rFonts w:asciiTheme="minorHAnsi" w:hAnsiTheme="minorHAnsi" w:cstheme="minorHAnsi"/>
                <w:b/>
                <w:sz w:val="20"/>
                <w:szCs w:val="20"/>
              </w:rPr>
              <w:t>Ministra Aktywów Państwowych</w:t>
            </w:r>
            <w:r w:rsidR="005A7C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zmieniające </w:t>
            </w:r>
          </w:p>
          <w:p w14:paraId="03168275" w14:textId="68B49D82" w:rsidR="005A7C0E" w:rsidRPr="005A7C0E" w:rsidRDefault="005A7C0E" w:rsidP="00F64B4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7C0E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 w sprawie warunków wykonywania usług powszechnych przez</w:t>
            </w:r>
          </w:p>
          <w:p w14:paraId="0DA0988D" w14:textId="0A9ABBC7" w:rsidR="005A7C0E" w:rsidRDefault="005A7C0E" w:rsidP="00F64B4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operatora </w:t>
            </w:r>
            <w:r w:rsidRPr="005A7C0E">
              <w:rPr>
                <w:rFonts w:asciiTheme="minorHAnsi" w:hAnsiTheme="minorHAnsi" w:cstheme="minorHAnsi"/>
                <w:b/>
                <w:sz w:val="20"/>
                <w:szCs w:val="20"/>
              </w:rPr>
              <w:t>wyznaczonego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02D0" w14:textId="3CDB50D0" w:rsidR="00E250A0" w:rsidRDefault="00E250A0" w:rsidP="00E250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Celem planowanej n</w:t>
            </w:r>
            <w:r w:rsidRPr="00E250A0">
              <w:rPr>
                <w:rFonts w:asciiTheme="minorHAnsi" w:hAnsiTheme="minorHAnsi" w:cstheme="minorHAnsi"/>
                <w:sz w:val="20"/>
                <w:szCs w:val="20"/>
              </w:rPr>
              <w:t>owelizacj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E250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7764E">
              <w:rPr>
                <w:rFonts w:asciiTheme="minorHAnsi" w:hAnsiTheme="minorHAnsi" w:cstheme="minorHAnsi"/>
                <w:sz w:val="20"/>
                <w:szCs w:val="20"/>
              </w:rPr>
              <w:t xml:space="preserve">rozporządzenia, </w:t>
            </w:r>
            <w:r w:rsidR="00B538EB">
              <w:rPr>
                <w:rFonts w:asciiTheme="minorHAnsi" w:hAnsiTheme="minorHAnsi" w:cstheme="minorHAnsi"/>
                <w:sz w:val="20"/>
                <w:szCs w:val="20"/>
              </w:rPr>
              <w:t xml:space="preserve">wydawanego na podstawie art. 47 ustawy z dnia 23 listopada 2012 r. – Prawo pocztowe,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jest </w:t>
            </w:r>
            <w:r w:rsidRPr="00E250A0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="00B538EB">
              <w:rPr>
                <w:rFonts w:asciiTheme="minorHAnsi" w:hAnsiTheme="minorHAnsi" w:cstheme="minorHAnsi"/>
                <w:sz w:val="20"/>
                <w:szCs w:val="20"/>
              </w:rPr>
              <w:t xml:space="preserve">stosowanie warunków świadczenia </w:t>
            </w:r>
            <w:r w:rsidRPr="00E250A0">
              <w:rPr>
                <w:rFonts w:asciiTheme="minorHAnsi" w:hAnsiTheme="minorHAnsi" w:cstheme="minorHAnsi"/>
                <w:sz w:val="20"/>
                <w:szCs w:val="20"/>
              </w:rPr>
              <w:t>usług powszechnych do zmieniającego</w:t>
            </w:r>
            <w:r w:rsidR="00B538EB">
              <w:rPr>
                <w:rFonts w:asciiTheme="minorHAnsi" w:hAnsiTheme="minorHAnsi" w:cstheme="minorHAnsi"/>
                <w:sz w:val="20"/>
                <w:szCs w:val="20"/>
              </w:rPr>
              <w:t xml:space="preserve"> się rynku pocztowego i potrzeb </w:t>
            </w:r>
            <w:r w:rsidRPr="00E250A0">
              <w:rPr>
                <w:rFonts w:asciiTheme="minorHAnsi" w:hAnsiTheme="minorHAnsi" w:cstheme="minorHAnsi"/>
                <w:sz w:val="20"/>
                <w:szCs w:val="20"/>
              </w:rPr>
              <w:t xml:space="preserve">klientów. </w:t>
            </w:r>
          </w:p>
          <w:p w14:paraId="6508FE76" w14:textId="77CFA8CA" w:rsidR="00940509" w:rsidRDefault="00940509" w:rsidP="00E250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21504" w14:textId="0377A4C6" w:rsidR="00E250A0" w:rsidRPr="00E250A0" w:rsidRDefault="00B538EB" w:rsidP="00E250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Planuje się</w:t>
            </w:r>
            <w:r w:rsidR="00965DC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65DCB">
              <w:rPr>
                <w:rFonts w:asciiTheme="minorHAnsi" w:hAnsiTheme="minorHAnsi" w:cstheme="minorHAnsi"/>
                <w:sz w:val="20"/>
                <w:szCs w:val="20"/>
              </w:rPr>
              <w:t>w szczególności,</w:t>
            </w:r>
            <w:r w:rsidR="00CE6A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skorygowanie określon</w:t>
            </w:r>
            <w:r w:rsidR="0067764E">
              <w:rPr>
                <w:rFonts w:asciiTheme="minorHAnsi" w:hAnsiTheme="minorHAnsi" w:cstheme="minorHAnsi"/>
                <w:sz w:val="20"/>
                <w:szCs w:val="20"/>
              </w:rPr>
              <w:t>ych w rozporządzeniu czasów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wskaźników </w:t>
            </w:r>
            <w:r w:rsidR="00E250A0" w:rsidRPr="00E250A0">
              <w:rPr>
                <w:rFonts w:asciiTheme="minorHAnsi" w:hAnsiTheme="minorHAnsi" w:cstheme="minorHAnsi"/>
                <w:sz w:val="20"/>
                <w:szCs w:val="20"/>
              </w:rPr>
              <w:t>przebiegu przesyłek krajowych w obrocie pocztowym oraz wyłączenie</w:t>
            </w:r>
          </w:p>
          <w:p w14:paraId="786D2C7E" w14:textId="77777777" w:rsidR="00E250A0" w:rsidRPr="00E250A0" w:rsidRDefault="00E250A0" w:rsidP="00E250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50A0">
              <w:rPr>
                <w:rFonts w:asciiTheme="minorHAnsi" w:hAnsiTheme="minorHAnsi" w:cstheme="minorHAnsi"/>
                <w:sz w:val="20"/>
                <w:szCs w:val="20"/>
              </w:rPr>
              <w:t>możliwości przewozu piskląt ptactwa domowego, pszczół i próbek mleka</w:t>
            </w:r>
          </w:p>
          <w:p w14:paraId="2516D946" w14:textId="0F50C94D" w:rsidR="00940509" w:rsidRDefault="00E250A0" w:rsidP="00E250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50A0">
              <w:rPr>
                <w:rFonts w:asciiTheme="minorHAnsi" w:hAnsiTheme="minorHAnsi" w:cstheme="minorHAnsi"/>
                <w:sz w:val="20"/>
                <w:szCs w:val="20"/>
              </w:rPr>
              <w:t>w ramach i na warunkach usługi powszechnej.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3C0FC" w14:textId="77777777" w:rsidR="00940509" w:rsidRDefault="00940509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IV kwartał 2024 r. </w:t>
            </w:r>
          </w:p>
          <w:p w14:paraId="739F0E75" w14:textId="77777777" w:rsidR="001B408E" w:rsidRDefault="001B408E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D1B3FE2" w14:textId="77777777" w:rsidR="001B408E" w:rsidRPr="00640BED" w:rsidRDefault="001B408E" w:rsidP="001B408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789A1530" w14:textId="5EA652DA" w:rsidR="001B408E" w:rsidRDefault="001B408E" w:rsidP="001B408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4 r. poz.</w:t>
            </w:r>
            <w:r w:rsidR="00C31EBE">
              <w:rPr>
                <w:rFonts w:asciiTheme="minorHAnsi" w:hAnsiTheme="minorHAnsi" w:cs="Helv"/>
                <w:sz w:val="20"/>
                <w:szCs w:val="20"/>
              </w:rPr>
              <w:t xml:space="preserve"> 1745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7CE9A" w14:textId="77777777" w:rsidR="00FE22AC" w:rsidRDefault="005A7C0E" w:rsidP="005A7C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A7C0E">
              <w:rPr>
                <w:rFonts w:asciiTheme="minorHAnsi" w:hAnsiTheme="minorHAnsi" w:cstheme="minorHAnsi"/>
                <w:sz w:val="20"/>
                <w:szCs w:val="20"/>
              </w:rPr>
              <w:t>Renata Zając</w:t>
            </w:r>
          </w:p>
          <w:p w14:paraId="55DCC7ED" w14:textId="525A929F" w:rsidR="005A7C0E" w:rsidRPr="005A7C0E" w:rsidRDefault="00E250A0" w:rsidP="005A7C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Zastępca D</w:t>
            </w:r>
            <w:r w:rsidR="005A7C0E" w:rsidRPr="005A7C0E">
              <w:rPr>
                <w:rFonts w:asciiTheme="minorHAnsi" w:hAnsiTheme="minorHAnsi" w:cstheme="minorHAnsi"/>
                <w:sz w:val="20"/>
                <w:szCs w:val="20"/>
              </w:rPr>
              <w:t>yrektora Departamentu Nadzoru II</w:t>
            </w:r>
          </w:p>
          <w:p w14:paraId="4A2BCC92" w14:textId="1DB5F55B" w:rsidR="00940509" w:rsidRDefault="005A7C0E" w:rsidP="005A7C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5A7C0E">
              <w:rPr>
                <w:rFonts w:asciiTheme="minorHAnsi" w:hAnsiTheme="minorHAnsi" w:cstheme="minorHAnsi"/>
                <w:sz w:val="20"/>
                <w:szCs w:val="20"/>
              </w:rPr>
              <w:t>22 695 84 66</w:t>
            </w:r>
            <w:r w:rsidR="00E250A0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="0067764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E250A0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  <w:r w:rsidR="0067764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renata.zaja</w:t>
            </w:r>
            <w:r w:rsidRPr="005A7C0E">
              <w:rPr>
                <w:rFonts w:asciiTheme="minorHAnsi" w:hAnsiTheme="minorHAnsi" w:cstheme="minorHAnsi"/>
                <w:sz w:val="20"/>
                <w:szCs w:val="20"/>
              </w:rPr>
              <w:t>c@map.gov.pl</w:t>
            </w:r>
            <w:r w:rsidR="00E250A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3D9E1" w14:textId="77777777" w:rsidR="00940509" w:rsidRDefault="00940509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6AD4" w:rsidRPr="00EA5B97" w14:paraId="178D6985" w14:textId="77777777" w:rsidTr="00115116">
        <w:trPr>
          <w:trHeight w:val="55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BCA01" w14:textId="5503A5C0" w:rsidR="00CE6AD4" w:rsidRDefault="00C97DAC" w:rsidP="00CE6AD4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29</w:t>
            </w:r>
            <w:r w:rsidR="00CE6AD4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.24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643BA" w14:textId="77777777" w:rsidR="00CE6AD4" w:rsidRDefault="00CE6AD4" w:rsidP="00CE6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Rozporządzenie </w:t>
            </w:r>
            <w:r w:rsidRPr="006F6467">
              <w:rPr>
                <w:rFonts w:asciiTheme="minorHAnsi" w:hAnsiTheme="minorHAnsi" w:cstheme="minorHAnsi"/>
                <w:b/>
                <w:sz w:val="20"/>
                <w:szCs w:val="20"/>
              </w:rPr>
              <w:t>Ministra Aktywów Państwowych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zmieniające </w:t>
            </w:r>
          </w:p>
          <w:p w14:paraId="22F98BFD" w14:textId="77777777" w:rsidR="00C97DAC" w:rsidRPr="00C97DAC" w:rsidRDefault="00CE6AD4" w:rsidP="00C97D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7C0E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 w sprawie</w:t>
            </w:r>
            <w:r w:rsidR="00C97D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97DAC" w:rsidRPr="00C97DAC">
              <w:rPr>
                <w:rFonts w:asciiTheme="minorHAnsi" w:hAnsiTheme="minorHAnsi" w:cstheme="minorHAnsi"/>
                <w:b/>
                <w:sz w:val="20"/>
                <w:szCs w:val="20"/>
              </w:rPr>
              <w:t>konkursu na operatora pocztowego wyznaczonego</w:t>
            </w:r>
          </w:p>
          <w:p w14:paraId="24F16726" w14:textId="5A7C2813" w:rsidR="00CE6AD4" w:rsidRDefault="00C97DAC" w:rsidP="00C97D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DAC">
              <w:rPr>
                <w:rFonts w:asciiTheme="minorHAnsi" w:hAnsiTheme="minorHAnsi" w:cstheme="minorHAnsi"/>
                <w:b/>
                <w:sz w:val="20"/>
                <w:szCs w:val="20"/>
              </w:rPr>
              <w:t>do świadczenia usług powszechnych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9E834" w14:textId="77777777" w:rsidR="00C97DAC" w:rsidRPr="00D82598" w:rsidRDefault="00C97DAC" w:rsidP="00C97D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82598">
              <w:rPr>
                <w:rFonts w:asciiTheme="minorHAnsi" w:hAnsiTheme="minorHAnsi" w:cstheme="minorHAnsi"/>
                <w:sz w:val="20"/>
                <w:szCs w:val="20"/>
              </w:rPr>
              <w:t>Konieczność nowelizacji rozporządzenia wynika z potrzeby aktualizacji</w:t>
            </w:r>
          </w:p>
          <w:p w14:paraId="5CFD04AD" w14:textId="21FD9DF5" w:rsidR="00C97DAC" w:rsidRPr="00D82598" w:rsidRDefault="00C97DAC" w:rsidP="00C97D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82598">
              <w:rPr>
                <w:rFonts w:asciiTheme="minorHAnsi" w:hAnsiTheme="minorHAnsi" w:cstheme="minorHAnsi"/>
                <w:sz w:val="20"/>
                <w:szCs w:val="20"/>
              </w:rPr>
              <w:t>treści i dostosowania do obowiązków operatora wyznaczonego</w:t>
            </w:r>
            <w:r w:rsidR="009A69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82598">
              <w:rPr>
                <w:rFonts w:asciiTheme="minorHAnsi" w:hAnsiTheme="minorHAnsi" w:cstheme="minorHAnsi"/>
                <w:sz w:val="20"/>
                <w:szCs w:val="20"/>
              </w:rPr>
              <w:t xml:space="preserve">wynikających </w:t>
            </w:r>
            <w:r w:rsidR="009A694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82598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="009A6940">
              <w:rPr>
                <w:rFonts w:asciiTheme="minorHAnsi" w:hAnsiTheme="minorHAnsi" w:cstheme="minorHAnsi"/>
                <w:sz w:val="20"/>
                <w:szCs w:val="20"/>
              </w:rPr>
              <w:t xml:space="preserve">przepisów </w:t>
            </w:r>
            <w:r w:rsidRPr="00D82598">
              <w:rPr>
                <w:rFonts w:asciiTheme="minorHAnsi" w:hAnsiTheme="minorHAnsi" w:cstheme="minorHAnsi"/>
                <w:sz w:val="20"/>
                <w:szCs w:val="20"/>
              </w:rPr>
              <w:t xml:space="preserve">ustawy z 18 listopada 2020 </w:t>
            </w:r>
            <w:r w:rsidR="009A6940">
              <w:rPr>
                <w:rFonts w:asciiTheme="minorHAnsi" w:hAnsiTheme="minorHAnsi" w:cstheme="minorHAnsi"/>
                <w:sz w:val="20"/>
                <w:szCs w:val="20"/>
              </w:rPr>
              <w:t xml:space="preserve">r. </w:t>
            </w:r>
            <w:r w:rsidRPr="00D82598">
              <w:rPr>
                <w:rFonts w:asciiTheme="minorHAnsi" w:hAnsiTheme="minorHAnsi" w:cstheme="minorHAnsi"/>
                <w:sz w:val="20"/>
                <w:szCs w:val="20"/>
              </w:rPr>
              <w:t>o doręczeniach elektronicznych</w:t>
            </w:r>
          </w:p>
          <w:p w14:paraId="71A955E2" w14:textId="40B7F00D" w:rsidR="00D82598" w:rsidRPr="00D82598" w:rsidRDefault="00D82598" w:rsidP="00D825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(Dz. </w:t>
            </w:r>
            <w:r w:rsidR="00C97DAC" w:rsidRPr="00D82598">
              <w:rPr>
                <w:rFonts w:asciiTheme="minorHAnsi" w:hAnsiTheme="minorHAnsi" w:cstheme="minorHAnsi"/>
                <w:sz w:val="20"/>
                <w:szCs w:val="20"/>
              </w:rPr>
              <w:t>U.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 202</w:t>
            </w:r>
            <w:r w:rsidR="009A694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r. </w:t>
            </w:r>
            <w:r w:rsidR="009A6940">
              <w:rPr>
                <w:rFonts w:asciiTheme="minorHAnsi" w:hAnsiTheme="minorHAnsi" w:cstheme="minorHAnsi"/>
                <w:sz w:val="20"/>
                <w:szCs w:val="20"/>
              </w:rPr>
              <w:t xml:space="preserve"> poz. 1045)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C0EEE07" w14:textId="3D48681A" w:rsidR="00CE6AD4" w:rsidRPr="00C97DAC" w:rsidRDefault="00CE6AD4" w:rsidP="00C97DA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E4D36" w14:textId="6767A65C" w:rsidR="00D82598" w:rsidRPr="00D82598" w:rsidRDefault="00D82598" w:rsidP="00D825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82598">
              <w:rPr>
                <w:rFonts w:asciiTheme="minorHAnsi" w:hAnsiTheme="minorHAnsi" w:cstheme="minorHAnsi"/>
                <w:sz w:val="20"/>
                <w:szCs w:val="20"/>
              </w:rPr>
              <w:t>Planuje się uwzględnienie w wymogach</w:t>
            </w:r>
          </w:p>
          <w:p w14:paraId="6074D46D" w14:textId="77777777" w:rsidR="00D82598" w:rsidRPr="00D82598" w:rsidRDefault="00D82598" w:rsidP="00D825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82598">
              <w:rPr>
                <w:rFonts w:asciiTheme="minorHAnsi" w:hAnsiTheme="minorHAnsi" w:cstheme="minorHAnsi"/>
                <w:sz w:val="20"/>
                <w:szCs w:val="20"/>
              </w:rPr>
              <w:t>konkursowych konieczności prowadzenia publicznej usługi doręczenia</w:t>
            </w:r>
          </w:p>
          <w:p w14:paraId="7D064232" w14:textId="2F12697A" w:rsidR="00D82598" w:rsidRPr="00D82598" w:rsidRDefault="00D82598" w:rsidP="00D825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82598">
              <w:rPr>
                <w:rFonts w:asciiTheme="minorHAnsi" w:hAnsiTheme="minorHAnsi" w:cstheme="minorHAnsi"/>
                <w:sz w:val="20"/>
                <w:szCs w:val="20"/>
              </w:rPr>
              <w:t xml:space="preserve">elektronicznego i publicznej usługi hybrydowej. Ponadto </w:t>
            </w:r>
            <w:r w:rsidR="004B61C1">
              <w:rPr>
                <w:rFonts w:asciiTheme="minorHAnsi" w:hAnsiTheme="minorHAnsi" w:cstheme="minorHAnsi"/>
                <w:sz w:val="20"/>
                <w:szCs w:val="20"/>
              </w:rPr>
              <w:t xml:space="preserve">jest </w:t>
            </w:r>
            <w:r w:rsidRPr="00D82598">
              <w:rPr>
                <w:rFonts w:asciiTheme="minorHAnsi" w:hAnsiTheme="minorHAnsi" w:cstheme="minorHAnsi"/>
                <w:sz w:val="20"/>
                <w:szCs w:val="20"/>
              </w:rPr>
              <w:t xml:space="preserve">rozważane </w:t>
            </w:r>
          </w:p>
          <w:p w14:paraId="742667E1" w14:textId="77777777" w:rsidR="00D82598" w:rsidRPr="00D82598" w:rsidRDefault="00D82598" w:rsidP="00D825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82598">
              <w:rPr>
                <w:rFonts w:asciiTheme="minorHAnsi" w:hAnsiTheme="minorHAnsi" w:cstheme="minorHAnsi"/>
                <w:sz w:val="20"/>
                <w:szCs w:val="20"/>
              </w:rPr>
              <w:t>dostosowanie trybu prac komisji konkursowej przy Prezesie Urzędu</w:t>
            </w:r>
          </w:p>
          <w:p w14:paraId="006C1C5A" w14:textId="77777777" w:rsidR="00D82598" w:rsidRPr="00D82598" w:rsidRDefault="00D82598" w:rsidP="00D825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82598">
              <w:rPr>
                <w:rFonts w:asciiTheme="minorHAnsi" w:hAnsiTheme="minorHAnsi" w:cstheme="minorHAnsi"/>
                <w:sz w:val="20"/>
                <w:szCs w:val="20"/>
              </w:rPr>
              <w:t>Komunikacji Elektronicznej do obowiązujących wyzwań rynkowych oraz</w:t>
            </w:r>
          </w:p>
          <w:p w14:paraId="4E8854AD" w14:textId="77777777" w:rsidR="00D82598" w:rsidRPr="00D82598" w:rsidRDefault="00D82598" w:rsidP="00D825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82598">
              <w:rPr>
                <w:rFonts w:asciiTheme="minorHAnsi" w:hAnsiTheme="minorHAnsi" w:cstheme="minorHAnsi"/>
                <w:sz w:val="20"/>
                <w:szCs w:val="20"/>
              </w:rPr>
              <w:t>ryzyka operacyjnego operatora wyznaczonego, a także wyzwań</w:t>
            </w:r>
          </w:p>
          <w:p w14:paraId="43CE587C" w14:textId="1FF6F94E" w:rsidR="00CE6AD4" w:rsidRDefault="00D82598" w:rsidP="00D825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82598">
              <w:rPr>
                <w:rFonts w:asciiTheme="minorHAnsi" w:hAnsiTheme="minorHAnsi" w:cstheme="minorHAnsi"/>
                <w:sz w:val="20"/>
                <w:szCs w:val="20"/>
              </w:rPr>
              <w:t>w zakresie bezpieczeństwa i cyberbezpieczeństwa państwa przez rozszerzenie składu komisji o osoby wyznaczone przez</w:t>
            </w:r>
            <w:r w:rsidR="004B61C1">
              <w:rPr>
                <w:rFonts w:asciiTheme="minorHAnsi" w:hAnsiTheme="minorHAnsi" w:cstheme="minorHAnsi"/>
                <w:sz w:val="20"/>
                <w:szCs w:val="20"/>
              </w:rPr>
              <w:t xml:space="preserve"> ministrów</w:t>
            </w:r>
            <w:r w:rsidRPr="00D825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B61C1">
              <w:rPr>
                <w:rFonts w:asciiTheme="minorHAnsi" w:hAnsiTheme="minorHAnsi" w:cstheme="minorHAnsi"/>
                <w:sz w:val="20"/>
                <w:szCs w:val="20"/>
              </w:rPr>
              <w:t xml:space="preserve">właściwych </w:t>
            </w:r>
            <w:r w:rsidRPr="00D82598">
              <w:rPr>
                <w:rFonts w:asciiTheme="minorHAnsi" w:hAnsiTheme="minorHAnsi" w:cstheme="minorHAnsi"/>
                <w:sz w:val="20"/>
                <w:szCs w:val="20"/>
              </w:rPr>
              <w:t>do spraw</w:t>
            </w:r>
            <w:r w:rsidR="004B61C1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D82598">
              <w:rPr>
                <w:rFonts w:asciiTheme="minorHAnsi" w:hAnsiTheme="minorHAnsi" w:cstheme="minorHAnsi"/>
                <w:sz w:val="20"/>
                <w:szCs w:val="20"/>
              </w:rPr>
              <w:t>łączności</w:t>
            </w:r>
            <w:r w:rsidR="004B61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82598">
              <w:rPr>
                <w:rFonts w:asciiTheme="minorHAnsi" w:hAnsiTheme="minorHAnsi" w:cstheme="minorHAnsi"/>
                <w:sz w:val="20"/>
                <w:szCs w:val="20"/>
              </w:rPr>
              <w:t xml:space="preserve">spraw </w:t>
            </w:r>
            <w:r w:rsidR="004B61C1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Pr="00D82598">
              <w:rPr>
                <w:rFonts w:asciiTheme="minorHAnsi" w:hAnsiTheme="minorHAnsi" w:cstheme="minorHAnsi"/>
                <w:sz w:val="20"/>
                <w:szCs w:val="20"/>
              </w:rPr>
              <w:t>informatyzac</w:t>
            </w:r>
            <w:r w:rsidR="004B61C1">
              <w:rPr>
                <w:rFonts w:asciiTheme="minorHAnsi" w:hAnsiTheme="minorHAnsi" w:cstheme="minorHAnsi"/>
                <w:sz w:val="20"/>
                <w:szCs w:val="20"/>
              </w:rPr>
              <w:t>ji oraz Ministra Obrony N</w:t>
            </w:r>
            <w:r w:rsidRPr="00D82598">
              <w:rPr>
                <w:rFonts w:asciiTheme="minorHAnsi" w:hAnsiTheme="minorHAnsi" w:cstheme="minorHAnsi"/>
                <w:sz w:val="20"/>
                <w:szCs w:val="20"/>
              </w:rPr>
              <w:t>arodowej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31F53" w14:textId="77777777" w:rsidR="00CE6AD4" w:rsidRDefault="00CE6AD4" w:rsidP="00CE6AD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IV kwartał 2024 r. </w:t>
            </w:r>
          </w:p>
          <w:p w14:paraId="18FE66DB" w14:textId="77777777" w:rsidR="001B408E" w:rsidRDefault="001B408E" w:rsidP="00CE6AD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7C0369D" w14:textId="77777777" w:rsidR="001B408E" w:rsidRPr="00640BED" w:rsidRDefault="001B408E" w:rsidP="001B408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5E2573FF" w14:textId="4CC575B7" w:rsidR="001B408E" w:rsidRDefault="001B408E" w:rsidP="001B408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4 r. poz.</w:t>
            </w:r>
            <w:r w:rsidR="00C31EBE">
              <w:rPr>
                <w:rFonts w:asciiTheme="minorHAnsi" w:hAnsiTheme="minorHAnsi" w:cs="Helv"/>
                <w:sz w:val="20"/>
                <w:szCs w:val="20"/>
              </w:rPr>
              <w:t xml:space="preserve"> 1624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D5C51" w14:textId="77777777" w:rsidR="00CE6AD4" w:rsidRDefault="00CE6AD4" w:rsidP="00CE6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A7C0E">
              <w:rPr>
                <w:rFonts w:asciiTheme="minorHAnsi" w:hAnsiTheme="minorHAnsi" w:cstheme="minorHAnsi"/>
                <w:sz w:val="20"/>
                <w:szCs w:val="20"/>
              </w:rPr>
              <w:t>Renata Zając</w:t>
            </w:r>
          </w:p>
          <w:p w14:paraId="64AB6F08" w14:textId="77777777" w:rsidR="00CE6AD4" w:rsidRPr="005A7C0E" w:rsidRDefault="00CE6AD4" w:rsidP="00CE6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Zastępca D</w:t>
            </w:r>
            <w:r w:rsidRPr="005A7C0E">
              <w:rPr>
                <w:rFonts w:asciiTheme="minorHAnsi" w:hAnsiTheme="minorHAnsi" w:cstheme="minorHAnsi"/>
                <w:sz w:val="20"/>
                <w:szCs w:val="20"/>
              </w:rPr>
              <w:t>yrektora Departamentu Nadzoru II</w:t>
            </w:r>
          </w:p>
          <w:p w14:paraId="5DDFED81" w14:textId="1FCF7D6B" w:rsidR="00CE6AD4" w:rsidRPr="005A7C0E" w:rsidRDefault="00CE6AD4" w:rsidP="00CE6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5A7C0E">
              <w:rPr>
                <w:rFonts w:asciiTheme="minorHAnsi" w:hAnsiTheme="minorHAnsi" w:cstheme="minorHAnsi"/>
                <w:sz w:val="20"/>
                <w:szCs w:val="20"/>
              </w:rPr>
              <w:t>22 695 84 66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e-mail: renata.zaja</w:t>
            </w:r>
            <w:r w:rsidRPr="005A7C0E">
              <w:rPr>
                <w:rFonts w:asciiTheme="minorHAnsi" w:hAnsiTheme="minorHAnsi" w:cstheme="minorHAnsi"/>
                <w:sz w:val="20"/>
                <w:szCs w:val="20"/>
              </w:rPr>
              <w:t>c@map.gov.pl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74EF8" w14:textId="77777777" w:rsidR="00CE6AD4" w:rsidRDefault="00CE6AD4" w:rsidP="00CE6A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0024" w:rsidRPr="00EA5B97" w14:paraId="2B506B7D" w14:textId="77777777" w:rsidTr="00115116">
        <w:trPr>
          <w:trHeight w:val="55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E3F68" w14:textId="1C159716" w:rsidR="005F0024" w:rsidRDefault="005F0024" w:rsidP="00CE6AD4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30.24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BD5E2" w14:textId="3963E010" w:rsidR="00115116" w:rsidRPr="00115116" w:rsidRDefault="005F0024" w:rsidP="001151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Rozporządzenie </w:t>
            </w:r>
            <w:r w:rsidRPr="006F6467">
              <w:rPr>
                <w:rFonts w:asciiTheme="minorHAnsi" w:hAnsiTheme="minorHAnsi" w:cstheme="minorHAnsi"/>
                <w:b/>
                <w:sz w:val="20"/>
                <w:szCs w:val="20"/>
              </w:rPr>
              <w:t>Ministra Aktywów Państwowych</w:t>
            </w:r>
            <w:r w:rsidR="0011511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5298F74C" w14:textId="59C06986" w:rsidR="00115116" w:rsidRPr="00115116" w:rsidRDefault="00115116" w:rsidP="001151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5116">
              <w:rPr>
                <w:rFonts w:asciiTheme="minorHAnsi" w:hAnsiTheme="minorHAnsi" w:cstheme="minorHAnsi"/>
                <w:b/>
                <w:sz w:val="20"/>
                <w:szCs w:val="20"/>
              </w:rPr>
              <w:t>w sprawie szczegółowego sposobu postępowania w zakresie nabywania lub</w:t>
            </w:r>
          </w:p>
          <w:p w14:paraId="5154014A" w14:textId="77777777" w:rsidR="00115116" w:rsidRPr="00115116" w:rsidRDefault="00115116" w:rsidP="001151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5116">
              <w:rPr>
                <w:rFonts w:asciiTheme="minorHAnsi" w:hAnsiTheme="minorHAnsi" w:cstheme="minorHAnsi"/>
                <w:b/>
                <w:sz w:val="20"/>
                <w:szCs w:val="20"/>
              </w:rPr>
              <w:t>obejmowania akcji przez Skarb Państwa ze środków Funduszu Inwestycji Kapitałowych</w:t>
            </w:r>
          </w:p>
          <w:p w14:paraId="533370E4" w14:textId="5F6A163E" w:rsidR="005F0024" w:rsidRDefault="005F0024" w:rsidP="00CE6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1264" w14:textId="59F7BBC7" w:rsidR="00FC5D95" w:rsidRPr="00A97C13" w:rsidRDefault="00A97C13" w:rsidP="00FC5D9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7C13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FC5D95" w:rsidRPr="00A97C13">
              <w:rPr>
                <w:rFonts w:asciiTheme="minorHAnsi" w:hAnsiTheme="minorHAnsi" w:cstheme="minorHAnsi"/>
                <w:sz w:val="20"/>
                <w:szCs w:val="20"/>
              </w:rPr>
              <w:t>adania nałożone w obowiązującym rozporządzeniu</w:t>
            </w:r>
            <w:r w:rsidR="0062453A">
              <w:rPr>
                <w:rFonts w:asciiTheme="minorHAnsi" w:hAnsiTheme="minorHAnsi" w:cstheme="minorHAnsi"/>
                <w:sz w:val="20"/>
                <w:szCs w:val="20"/>
              </w:rPr>
              <w:t xml:space="preserve"> na </w:t>
            </w:r>
            <w:r w:rsidR="00FC5D95" w:rsidRPr="00A97C13">
              <w:rPr>
                <w:rFonts w:asciiTheme="minorHAnsi" w:hAnsiTheme="minorHAnsi" w:cstheme="minorHAnsi"/>
                <w:sz w:val="20"/>
                <w:szCs w:val="20"/>
              </w:rPr>
              <w:t>Prezesa Rady Ministrów, jako dysponenta Funduszu In</w:t>
            </w:r>
            <w:r w:rsidR="0062453A">
              <w:rPr>
                <w:rFonts w:asciiTheme="minorHAnsi" w:hAnsiTheme="minorHAnsi" w:cstheme="minorHAnsi"/>
                <w:sz w:val="20"/>
                <w:szCs w:val="20"/>
              </w:rPr>
              <w:t xml:space="preserve">westycji Kapitałowych, wykonuje </w:t>
            </w:r>
            <w:r w:rsidR="00FC5D95" w:rsidRPr="00A97C13">
              <w:rPr>
                <w:rFonts w:asciiTheme="minorHAnsi" w:hAnsiTheme="minorHAnsi" w:cstheme="minorHAnsi"/>
                <w:sz w:val="20"/>
                <w:szCs w:val="20"/>
              </w:rPr>
              <w:t>obecni</w:t>
            </w:r>
            <w:r w:rsidR="00891E53">
              <w:rPr>
                <w:rFonts w:asciiTheme="minorHAnsi" w:hAnsiTheme="minorHAnsi" w:cstheme="minorHAnsi"/>
                <w:sz w:val="20"/>
                <w:szCs w:val="20"/>
              </w:rPr>
              <w:t xml:space="preserve">e Minister Aktywów Państwowych – </w:t>
            </w:r>
            <w:r w:rsidR="00FC5D95" w:rsidRPr="00A97C13">
              <w:rPr>
                <w:rFonts w:asciiTheme="minorHAnsi" w:hAnsiTheme="minorHAnsi" w:cstheme="minorHAnsi"/>
                <w:sz w:val="20"/>
                <w:szCs w:val="20"/>
              </w:rPr>
              <w:t>zgodnie z art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68 ustawy z dnia 15 maja 2024 </w:t>
            </w:r>
            <w:r w:rsidR="00FC5D95" w:rsidRPr="00A97C13">
              <w:rPr>
                <w:rFonts w:asciiTheme="minorHAnsi" w:hAnsiTheme="minorHAnsi" w:cstheme="minorHAnsi"/>
                <w:sz w:val="20"/>
                <w:szCs w:val="20"/>
              </w:rPr>
              <w:t>r. o zmianie niektórych ustaw związanych z funkcjonowaniem administracji rządowej (Dz.</w:t>
            </w:r>
            <w:r w:rsidR="0062453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C5D95" w:rsidRPr="00A97C13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62453A">
              <w:rPr>
                <w:rFonts w:asciiTheme="minorHAnsi" w:hAnsiTheme="minorHAnsi" w:cstheme="minorHAnsi"/>
                <w:sz w:val="20"/>
                <w:szCs w:val="20"/>
              </w:rPr>
              <w:t>. z</w:t>
            </w:r>
            <w:r w:rsidR="00FC5D95" w:rsidRPr="00A97C13">
              <w:rPr>
                <w:rFonts w:asciiTheme="minorHAnsi" w:hAnsiTheme="minorHAnsi" w:cstheme="minorHAnsi"/>
                <w:sz w:val="20"/>
                <w:szCs w:val="20"/>
              </w:rPr>
              <w:t xml:space="preserve"> 2024 r. poz. 834)</w:t>
            </w:r>
            <w:r w:rsidR="0033007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FC5D95" w:rsidRPr="00A97C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3007F">
              <w:rPr>
                <w:rFonts w:asciiTheme="minorHAnsi" w:hAnsiTheme="minorHAnsi" w:cstheme="minorHAnsi"/>
                <w:sz w:val="20"/>
                <w:szCs w:val="20"/>
              </w:rPr>
              <w:t>W związku z powyższym</w:t>
            </w:r>
            <w:r w:rsidR="00ED12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3007F">
              <w:rPr>
                <w:rFonts w:asciiTheme="minorHAnsi" w:hAnsiTheme="minorHAnsi" w:cstheme="minorHAnsi"/>
                <w:sz w:val="20"/>
                <w:szCs w:val="20"/>
              </w:rPr>
              <w:t xml:space="preserve"> konieczne jest </w:t>
            </w:r>
            <w:r w:rsidR="00FC5D95" w:rsidRPr="00A97C13">
              <w:rPr>
                <w:rFonts w:asciiTheme="minorHAnsi" w:hAnsiTheme="minorHAnsi" w:cstheme="minorHAnsi"/>
                <w:sz w:val="20"/>
                <w:szCs w:val="20"/>
              </w:rPr>
              <w:t>uspójnienie terminologii używanej w rozporządzeniu</w:t>
            </w:r>
            <w:r w:rsidR="0062453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C5D95" w:rsidRPr="00A97C13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="00FC5D95" w:rsidRPr="00A97C1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przepisami znowelizowanej ustawy z dnia 16 grudnia 2016 r. o zasadach zarządzania</w:t>
            </w:r>
          </w:p>
          <w:p w14:paraId="777EBB42" w14:textId="00963663" w:rsidR="005F0024" w:rsidRPr="00D82598" w:rsidRDefault="00FC5D95" w:rsidP="003300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7C13">
              <w:rPr>
                <w:rFonts w:asciiTheme="minorHAnsi" w:hAnsiTheme="minorHAnsi" w:cstheme="minorHAnsi"/>
                <w:sz w:val="20"/>
                <w:szCs w:val="20"/>
              </w:rPr>
              <w:t>mieniem państwowym</w:t>
            </w:r>
            <w:r w:rsidR="0062453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33007F">
              <w:rPr>
                <w:rFonts w:asciiTheme="minorHAnsi" w:hAnsiTheme="minorHAnsi" w:cstheme="minorHAnsi"/>
                <w:sz w:val="20"/>
                <w:szCs w:val="20"/>
              </w:rPr>
              <w:t>zgodnie z którymi obecnie dysponentem ww. f</w:t>
            </w:r>
            <w:r w:rsidRPr="00A97C13">
              <w:rPr>
                <w:rFonts w:asciiTheme="minorHAnsi" w:hAnsiTheme="minorHAnsi" w:cstheme="minorHAnsi"/>
                <w:sz w:val="20"/>
                <w:szCs w:val="20"/>
              </w:rPr>
              <w:t>unduszu jest minister właściwy do spraw aktywów państwowych.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5F89E" w14:textId="37622E5F" w:rsidR="00FC5D95" w:rsidRPr="00A97C13" w:rsidRDefault="00ED12AE" w:rsidP="00FC5D9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Poza wprowadzeniem </w:t>
            </w:r>
            <w:r w:rsidR="00FC5D95" w:rsidRPr="00A97C13">
              <w:rPr>
                <w:rFonts w:asciiTheme="minorHAnsi" w:hAnsiTheme="minorHAnsi" w:cstheme="minorHAnsi"/>
                <w:sz w:val="20"/>
                <w:szCs w:val="20"/>
              </w:rPr>
              <w:t>aktualnej terminologii</w:t>
            </w:r>
            <w:r w:rsidR="0033007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FC5D95" w:rsidRPr="00A97C13">
              <w:rPr>
                <w:rFonts w:asciiTheme="minorHAnsi" w:hAnsiTheme="minorHAnsi" w:cstheme="minorHAnsi"/>
                <w:sz w:val="20"/>
                <w:szCs w:val="20"/>
              </w:rPr>
              <w:t xml:space="preserve"> rozważa </w:t>
            </w:r>
            <w:r w:rsidR="0033007F">
              <w:rPr>
                <w:rFonts w:asciiTheme="minorHAnsi" w:hAnsiTheme="minorHAnsi" w:cstheme="minorHAnsi"/>
                <w:sz w:val="20"/>
                <w:szCs w:val="20"/>
              </w:rPr>
              <w:t xml:space="preserve">się </w:t>
            </w:r>
            <w:r w:rsidR="00FC5D95" w:rsidRPr="00A97C13">
              <w:rPr>
                <w:rFonts w:asciiTheme="minorHAnsi" w:hAnsiTheme="minorHAnsi" w:cstheme="minorHAnsi"/>
                <w:sz w:val="20"/>
                <w:szCs w:val="20"/>
              </w:rPr>
              <w:t>również uregulowanie</w:t>
            </w:r>
          </w:p>
          <w:p w14:paraId="59F6D709" w14:textId="640E7238" w:rsidR="00FC5D95" w:rsidRPr="00A97C13" w:rsidRDefault="00FC5D95" w:rsidP="003300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7C13">
              <w:rPr>
                <w:rFonts w:asciiTheme="minorHAnsi" w:hAnsiTheme="minorHAnsi" w:cstheme="minorHAnsi"/>
                <w:sz w:val="20"/>
                <w:szCs w:val="20"/>
              </w:rPr>
              <w:t>kwestii dotyczącej informowania ministra właściwego do spraw aktywów państwowych</w:t>
            </w:r>
            <w:r w:rsidR="00ED12A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97C13">
              <w:rPr>
                <w:rFonts w:asciiTheme="minorHAnsi" w:hAnsiTheme="minorHAnsi" w:cstheme="minorHAnsi"/>
                <w:sz w:val="20"/>
                <w:szCs w:val="20"/>
              </w:rPr>
              <w:t xml:space="preserve">jako dysponenta Funduszu </w:t>
            </w:r>
            <w:r w:rsidR="00ED12AE" w:rsidRPr="00A97C13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="00ED12AE">
              <w:rPr>
                <w:rFonts w:asciiTheme="minorHAnsi" w:hAnsiTheme="minorHAnsi" w:cstheme="minorHAnsi"/>
                <w:sz w:val="20"/>
                <w:szCs w:val="20"/>
              </w:rPr>
              <w:t>westycji Kapitałowych,</w:t>
            </w:r>
            <w:r w:rsidR="00ED12AE" w:rsidRPr="00A97C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7C13">
              <w:rPr>
                <w:rFonts w:asciiTheme="minorHAnsi" w:hAnsiTheme="minorHAnsi" w:cstheme="minorHAnsi"/>
                <w:sz w:val="20"/>
                <w:szCs w:val="20"/>
              </w:rPr>
              <w:t>przez dysponentów częśc</w:t>
            </w:r>
            <w:r w:rsidR="0062453A">
              <w:rPr>
                <w:rFonts w:asciiTheme="minorHAnsi" w:hAnsiTheme="minorHAnsi" w:cstheme="minorHAnsi"/>
                <w:sz w:val="20"/>
                <w:szCs w:val="20"/>
              </w:rPr>
              <w:t xml:space="preserve">i budżetowych, o których mowa w </w:t>
            </w:r>
            <w:r w:rsidRPr="00A97C13">
              <w:rPr>
                <w:rFonts w:asciiTheme="minorHAnsi" w:hAnsiTheme="minorHAnsi" w:cstheme="minorHAnsi"/>
                <w:sz w:val="20"/>
                <w:szCs w:val="20"/>
              </w:rPr>
              <w:t xml:space="preserve">art. 33b ust. 3 </w:t>
            </w:r>
            <w:r w:rsidR="00ED12AE">
              <w:rPr>
                <w:rFonts w:asciiTheme="minorHAnsi" w:hAnsiTheme="minorHAnsi" w:cstheme="minorHAnsi"/>
                <w:sz w:val="20"/>
                <w:szCs w:val="20"/>
              </w:rPr>
              <w:t>ustawy</w:t>
            </w:r>
            <w:r w:rsidR="0033007F">
              <w:rPr>
                <w:rFonts w:asciiTheme="minorHAnsi" w:hAnsiTheme="minorHAnsi" w:cstheme="minorHAnsi"/>
                <w:sz w:val="20"/>
                <w:szCs w:val="20"/>
              </w:rPr>
              <w:t xml:space="preserve"> o zasadach zarządzania </w:t>
            </w:r>
            <w:r w:rsidR="0033007F" w:rsidRPr="00A97C13">
              <w:rPr>
                <w:rFonts w:asciiTheme="minorHAnsi" w:hAnsiTheme="minorHAnsi" w:cstheme="minorHAnsi"/>
                <w:sz w:val="20"/>
                <w:szCs w:val="20"/>
              </w:rPr>
              <w:t>mieniem państwowym</w:t>
            </w:r>
            <w:r w:rsidR="00891E53">
              <w:rPr>
                <w:rFonts w:asciiTheme="minorHAnsi" w:hAnsiTheme="minorHAnsi" w:cstheme="minorHAnsi"/>
                <w:sz w:val="20"/>
                <w:szCs w:val="20"/>
              </w:rPr>
              <w:t>, o</w:t>
            </w:r>
            <w:r w:rsidR="0033007F" w:rsidRPr="00A97C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7C13">
              <w:rPr>
                <w:rFonts w:asciiTheme="minorHAnsi" w:hAnsiTheme="minorHAnsi" w:cstheme="minorHAnsi"/>
                <w:sz w:val="20"/>
                <w:szCs w:val="20"/>
              </w:rPr>
              <w:t>dokonanyc</w:t>
            </w:r>
            <w:r w:rsidR="00891E53">
              <w:rPr>
                <w:rFonts w:asciiTheme="minorHAnsi" w:hAnsiTheme="minorHAnsi" w:cstheme="minorHAnsi"/>
                <w:sz w:val="20"/>
                <w:szCs w:val="20"/>
              </w:rPr>
              <w:t>h wpłatach środków na rachunek ww. f</w:t>
            </w:r>
            <w:r w:rsidRPr="00A97C13">
              <w:rPr>
                <w:rFonts w:asciiTheme="minorHAnsi" w:hAnsiTheme="minorHAnsi" w:cstheme="minorHAnsi"/>
                <w:sz w:val="20"/>
                <w:szCs w:val="20"/>
              </w:rPr>
              <w:t>unduszu.</w:t>
            </w:r>
          </w:p>
          <w:p w14:paraId="53E2CA69" w14:textId="77777777" w:rsidR="005F0024" w:rsidRPr="00D82598" w:rsidRDefault="005F0024" w:rsidP="00D825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C0CAA" w14:textId="226DE29E" w:rsidR="005F0024" w:rsidRDefault="005F0024" w:rsidP="00CE6AD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IV kwartał 2024 r.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25A1C" w14:textId="77777777" w:rsidR="00115116" w:rsidRDefault="00115116" w:rsidP="001151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5116">
              <w:rPr>
                <w:rFonts w:asciiTheme="minorHAnsi" w:hAnsiTheme="minorHAnsi" w:cstheme="minorHAnsi"/>
                <w:sz w:val="20"/>
                <w:szCs w:val="20"/>
              </w:rPr>
              <w:t xml:space="preserve">Grzegorz Pazura </w:t>
            </w:r>
          </w:p>
          <w:p w14:paraId="06BFC2B5" w14:textId="77777777" w:rsidR="00115116" w:rsidRDefault="00115116" w:rsidP="00CE6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</w:t>
            </w:r>
            <w:r w:rsidRPr="00115116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strumentów Rozwojowych </w:t>
            </w:r>
          </w:p>
          <w:p w14:paraId="02FDFF82" w14:textId="264D83A3" w:rsidR="00115116" w:rsidRDefault="00115116" w:rsidP="00CE6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22 695 87 09; e-mail: </w:t>
            </w:r>
            <w:hyperlink r:id="rId12" w:history="1">
              <w:proofErr w:type="spellStart"/>
              <w:r w:rsidRPr="00115116">
                <w:rPr>
                  <w:rFonts w:asciiTheme="minorHAnsi" w:hAnsiTheme="minorHAnsi" w:cstheme="minorHAnsi"/>
                  <w:sz w:val="20"/>
                  <w:szCs w:val="20"/>
                </w:rPr>
                <w:t>SekretariatDIR</w:t>
              </w:r>
              <w:proofErr w:type="spellEnd"/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>@</w:t>
            </w:r>
          </w:p>
          <w:p w14:paraId="59B87B6C" w14:textId="406F257D" w:rsidR="005F0024" w:rsidRDefault="00115116" w:rsidP="00CE6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map.gov.pl)</w:t>
            </w:r>
          </w:p>
          <w:p w14:paraId="3374146A" w14:textId="77777777" w:rsidR="00115116" w:rsidRDefault="00115116" w:rsidP="00CE6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8A868B" w14:textId="77777777" w:rsidR="00115116" w:rsidRDefault="00115116" w:rsidP="00CE6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FEAC87" w14:textId="573FF5C2" w:rsidR="00115116" w:rsidRPr="005A7C0E" w:rsidRDefault="00115116" w:rsidP="001151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D778E" w14:textId="77777777" w:rsidR="005F0024" w:rsidRDefault="005F0024" w:rsidP="00CE6A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06B5" w:rsidRPr="00EA5B97" w14:paraId="3F1410A3" w14:textId="77777777" w:rsidTr="00115116">
        <w:trPr>
          <w:trHeight w:val="55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A56BB" w14:textId="0A66A519" w:rsidR="00D806B5" w:rsidRDefault="00D806B5" w:rsidP="00D806B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31.25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194FE" w14:textId="37033D54" w:rsidR="001B408E" w:rsidRPr="001B408E" w:rsidRDefault="00D806B5" w:rsidP="001B408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Rozporządzenie </w:t>
            </w:r>
            <w:r w:rsidRPr="006F6467">
              <w:rPr>
                <w:rFonts w:asciiTheme="minorHAnsi" w:hAnsiTheme="minorHAnsi" w:cstheme="minorHAnsi"/>
                <w:b/>
                <w:sz w:val="20"/>
                <w:szCs w:val="20"/>
              </w:rPr>
              <w:t>Ministra Aktywów Państwowych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zmieniające </w:t>
            </w:r>
            <w:r w:rsidR="001B408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</w:t>
            </w:r>
            <w:r w:rsidRPr="005A7C0E">
              <w:rPr>
                <w:rFonts w:asciiTheme="minorHAnsi" w:hAnsiTheme="minorHAnsi" w:cstheme="minorHAnsi"/>
                <w:b/>
                <w:sz w:val="20"/>
                <w:szCs w:val="20"/>
              </w:rPr>
              <w:t>ozporządzenie</w:t>
            </w:r>
            <w:r w:rsidR="001B408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1B408E" w:rsidRPr="001B408E">
              <w:rPr>
                <w:rFonts w:asciiTheme="minorHAnsi" w:hAnsiTheme="minorHAnsi" w:cstheme="minorHAnsi"/>
                <w:b/>
                <w:sz w:val="20"/>
                <w:szCs w:val="20"/>
              </w:rPr>
              <w:t>w sprawie</w:t>
            </w:r>
          </w:p>
          <w:p w14:paraId="338DC0EC" w14:textId="77777777" w:rsidR="001B408E" w:rsidRPr="001B408E" w:rsidRDefault="001B408E" w:rsidP="001B408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408E">
              <w:rPr>
                <w:rFonts w:asciiTheme="minorHAnsi" w:hAnsiTheme="minorHAnsi" w:cstheme="minorHAnsi"/>
                <w:b/>
                <w:sz w:val="20"/>
                <w:szCs w:val="20"/>
              </w:rPr>
              <w:t>kalkulacji kosztu netto obowiązku świadczenia usług powszechnych oraz trybu wypłaty</w:t>
            </w:r>
          </w:p>
          <w:p w14:paraId="3C6DFEC1" w14:textId="602EDFE5" w:rsidR="00D806B5" w:rsidRDefault="001B408E" w:rsidP="001B408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408E">
              <w:rPr>
                <w:rFonts w:asciiTheme="minorHAnsi" w:hAnsiTheme="minorHAnsi" w:cstheme="minorHAnsi"/>
                <w:b/>
                <w:sz w:val="20"/>
                <w:szCs w:val="20"/>
              </w:rPr>
              <w:t>finansowania tego kosztu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7B96D" w14:textId="2F4D59CB" w:rsidR="00820A69" w:rsidRDefault="00820A69" w:rsidP="00820A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Przyczyną planowanej nowelizacji rozporządzenia jest </w:t>
            </w:r>
          </w:p>
          <w:p w14:paraId="261D73F7" w14:textId="72D6E8AB" w:rsidR="004C0D00" w:rsidRPr="00C31EBE" w:rsidRDefault="00820A69" w:rsidP="004C0D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brak </w:t>
            </w:r>
            <w:r w:rsidR="001B408E" w:rsidRPr="00C31EBE">
              <w:rPr>
                <w:rFonts w:asciiTheme="minorHAnsi" w:hAnsiTheme="minorHAnsi" w:cstheme="minorHAnsi"/>
                <w:sz w:val="20"/>
                <w:szCs w:val="20"/>
              </w:rPr>
              <w:t xml:space="preserve">możliwości wypłaty </w:t>
            </w:r>
            <w:r w:rsidR="004C0D00">
              <w:rPr>
                <w:rFonts w:asciiTheme="minorHAnsi" w:hAnsiTheme="minorHAnsi" w:cstheme="minorHAnsi"/>
                <w:sz w:val="20"/>
                <w:szCs w:val="20"/>
              </w:rPr>
              <w:t xml:space="preserve">operatorowi wyznaczonemu </w:t>
            </w:r>
          </w:p>
          <w:p w14:paraId="62D2FC24" w14:textId="75A81669" w:rsidR="00D806B5" w:rsidRPr="00A97C13" w:rsidRDefault="000C79C3" w:rsidP="004C0D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finansowania </w:t>
            </w:r>
            <w:r w:rsidR="001B408E" w:rsidRPr="00C31EBE">
              <w:rPr>
                <w:rFonts w:asciiTheme="minorHAnsi" w:hAnsiTheme="minorHAnsi" w:cstheme="minorHAnsi"/>
                <w:sz w:val="20"/>
                <w:szCs w:val="20"/>
              </w:rPr>
              <w:t xml:space="preserve">kosztu netto </w:t>
            </w:r>
            <w:r w:rsidR="004C0D00">
              <w:rPr>
                <w:rFonts w:asciiTheme="minorHAnsi" w:hAnsiTheme="minorHAnsi" w:cstheme="minorHAnsi"/>
                <w:sz w:val="20"/>
                <w:szCs w:val="20"/>
              </w:rPr>
              <w:t>w transzach.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FDC99" w14:textId="39A3DDFE" w:rsidR="00D806B5" w:rsidRDefault="009E19E0" w:rsidP="004C0D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Planuje się </w:t>
            </w:r>
            <w:r w:rsidR="004C0D00">
              <w:rPr>
                <w:rFonts w:asciiTheme="minorHAnsi" w:hAnsiTheme="minorHAnsi" w:cstheme="minorHAnsi"/>
                <w:sz w:val="20"/>
                <w:szCs w:val="20"/>
              </w:rPr>
              <w:t xml:space="preserve">odpowiednią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modyfikację</w:t>
            </w:r>
            <w:r w:rsidR="00EC79AE">
              <w:rPr>
                <w:rFonts w:asciiTheme="minorHAnsi" w:hAnsiTheme="minorHAnsi" w:cstheme="minorHAnsi"/>
                <w:sz w:val="20"/>
                <w:szCs w:val="20"/>
              </w:rPr>
              <w:t xml:space="preserve"> przepisów</w:t>
            </w:r>
            <w:r w:rsidR="00820A69">
              <w:rPr>
                <w:rFonts w:asciiTheme="minorHAnsi" w:hAnsiTheme="minorHAnsi" w:cstheme="minorHAnsi"/>
                <w:sz w:val="20"/>
                <w:szCs w:val="20"/>
              </w:rPr>
              <w:t xml:space="preserve"> zgodnie z którymi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820A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E0042">
              <w:rPr>
                <w:rFonts w:asciiTheme="minorHAnsi" w:hAnsiTheme="minorHAnsi" w:cstheme="minorHAnsi"/>
                <w:sz w:val="20"/>
                <w:szCs w:val="20"/>
              </w:rPr>
              <w:t xml:space="preserve">obecnie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Minister Aktywów Państwowych </w:t>
            </w:r>
            <w:r w:rsidR="00C31EBE" w:rsidRPr="00C31EBE">
              <w:rPr>
                <w:rFonts w:asciiTheme="minorHAnsi" w:hAnsiTheme="minorHAnsi" w:cstheme="minorHAnsi"/>
                <w:sz w:val="20"/>
                <w:szCs w:val="20"/>
              </w:rPr>
              <w:t>dokonuje wypłaty finansowania kosztu netto w terminie 30 dni od dnia zatwierdzenia</w:t>
            </w:r>
            <w:r w:rsidR="004E1E0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1EBE" w:rsidRPr="00C31EBE">
              <w:rPr>
                <w:rFonts w:asciiTheme="minorHAnsi" w:hAnsiTheme="minorHAnsi" w:cstheme="minorHAnsi"/>
                <w:sz w:val="20"/>
                <w:szCs w:val="20"/>
              </w:rPr>
              <w:t>wniosku</w:t>
            </w:r>
            <w:r w:rsidR="000C79C3">
              <w:rPr>
                <w:rFonts w:asciiTheme="minorHAnsi" w:hAnsiTheme="minorHAnsi" w:cstheme="minorHAnsi"/>
                <w:sz w:val="20"/>
                <w:szCs w:val="20"/>
              </w:rPr>
              <w:t xml:space="preserve"> operatora wyznaczonego</w:t>
            </w:r>
            <w:r w:rsidR="004E1E0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ECC87" w14:textId="60630039" w:rsidR="00D806B5" w:rsidRDefault="00D806B5" w:rsidP="006750C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</w:t>
            </w:r>
            <w:r w:rsidR="006750C6">
              <w:rPr>
                <w:rFonts w:asciiTheme="minorHAnsi" w:hAnsiTheme="minorHAnsi"/>
                <w:b/>
                <w:sz w:val="20"/>
                <w:szCs w:val="20"/>
              </w:rPr>
              <w:t>II</w:t>
            </w:r>
            <w:bookmarkStart w:id="0" w:name="_GoBack"/>
            <w:bookmarkEnd w:id="0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kwartał 2025 r.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168A" w14:textId="77777777" w:rsidR="00D806B5" w:rsidRDefault="00D806B5" w:rsidP="00D806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A7C0E">
              <w:rPr>
                <w:rFonts w:asciiTheme="minorHAnsi" w:hAnsiTheme="minorHAnsi" w:cstheme="minorHAnsi"/>
                <w:sz w:val="20"/>
                <w:szCs w:val="20"/>
              </w:rPr>
              <w:t>Renata Zając</w:t>
            </w:r>
          </w:p>
          <w:p w14:paraId="79B2A01E" w14:textId="77777777" w:rsidR="00D806B5" w:rsidRPr="005A7C0E" w:rsidRDefault="00D806B5" w:rsidP="00D806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Zastępca D</w:t>
            </w:r>
            <w:r w:rsidRPr="005A7C0E">
              <w:rPr>
                <w:rFonts w:asciiTheme="minorHAnsi" w:hAnsiTheme="minorHAnsi" w:cstheme="minorHAnsi"/>
                <w:sz w:val="20"/>
                <w:szCs w:val="20"/>
              </w:rPr>
              <w:t>yrektora Departamentu Nadzoru II</w:t>
            </w:r>
          </w:p>
          <w:p w14:paraId="37D8FC95" w14:textId="54B5A5FE" w:rsidR="00D806B5" w:rsidRPr="00115116" w:rsidRDefault="00D806B5" w:rsidP="00D806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5A7C0E">
              <w:rPr>
                <w:rFonts w:asciiTheme="minorHAnsi" w:hAnsiTheme="minorHAnsi" w:cstheme="minorHAnsi"/>
                <w:sz w:val="20"/>
                <w:szCs w:val="20"/>
              </w:rPr>
              <w:t>22 695 84 66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e-mail: renata.zaja</w:t>
            </w:r>
            <w:r w:rsidRPr="005A7C0E">
              <w:rPr>
                <w:rFonts w:asciiTheme="minorHAnsi" w:hAnsiTheme="minorHAnsi" w:cstheme="minorHAnsi"/>
                <w:sz w:val="20"/>
                <w:szCs w:val="20"/>
              </w:rPr>
              <w:t>c@map.gov.pl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EBA0C" w14:textId="77777777" w:rsidR="00D806B5" w:rsidRDefault="00D806B5" w:rsidP="00D806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9750B75" w14:textId="77777777" w:rsidR="001376FA" w:rsidRPr="00C80B78" w:rsidRDefault="001376FA" w:rsidP="00C42B04">
      <w:pPr>
        <w:pStyle w:val="NIEARTTEKSTtekstnieartykuowanynppodstprawnarozplubpreambua"/>
        <w:spacing w:line="240" w:lineRule="auto"/>
        <w:ind w:firstLine="0"/>
        <w:jc w:val="left"/>
        <w:rPr>
          <w:rFonts w:asciiTheme="minorHAnsi" w:eastAsia="Times New Roman" w:hAnsiTheme="minorHAnsi" w:cstheme="minorHAnsi"/>
          <w:bCs w:val="0"/>
          <w:sz w:val="22"/>
          <w:szCs w:val="22"/>
        </w:rPr>
      </w:pPr>
    </w:p>
    <w:sectPr w:rsidR="001376FA" w:rsidRPr="00C80B78" w:rsidSect="00917C8E">
      <w:footerReference w:type="default" r:id="rId13"/>
      <w:pgSz w:w="16838" w:h="11906" w:orient="landscape"/>
      <w:pgMar w:top="539" w:right="510" w:bottom="992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8F2A9" w14:textId="77777777" w:rsidR="0002713B" w:rsidRDefault="0002713B">
      <w:r>
        <w:separator/>
      </w:r>
    </w:p>
  </w:endnote>
  <w:endnote w:type="continuationSeparator" w:id="0">
    <w:p w14:paraId="37D02CBA" w14:textId="77777777" w:rsidR="0002713B" w:rsidRDefault="0002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Condensed Web">
    <w:altName w:val="Arial Narrow"/>
    <w:charset w:val="EE"/>
    <w:family w:val="swiss"/>
    <w:pitch w:val="variable"/>
    <w:sig w:usb0="00000001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Lato-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55F1C" w14:textId="6037D39E" w:rsidR="000C79C3" w:rsidRDefault="000C79C3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50C6">
      <w:rPr>
        <w:rStyle w:val="Numerstrony"/>
        <w:noProof/>
      </w:rPr>
      <w:t>19</w:t>
    </w:r>
    <w:r>
      <w:rPr>
        <w:rStyle w:val="Numerstrony"/>
      </w:rPr>
      <w:fldChar w:fldCharType="end"/>
    </w:r>
  </w:p>
  <w:p w14:paraId="181D7EFB" w14:textId="77777777" w:rsidR="000C79C3" w:rsidRDefault="000C79C3">
    <w:pPr>
      <w:pStyle w:val="Stopka"/>
      <w:framePr w:wrap="auto" w:vAnchor="text" w:hAnchor="margin" w:xAlign="center" w:y="1"/>
      <w:ind w:right="360"/>
      <w:rPr>
        <w:rStyle w:val="Numerstrony"/>
      </w:rPr>
    </w:pPr>
  </w:p>
  <w:p w14:paraId="5DB8B760" w14:textId="77777777" w:rsidR="000C79C3" w:rsidRDefault="000C79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603B9" w14:textId="77777777" w:rsidR="0002713B" w:rsidRDefault="0002713B">
      <w:r>
        <w:separator/>
      </w:r>
    </w:p>
  </w:footnote>
  <w:footnote w:type="continuationSeparator" w:id="0">
    <w:p w14:paraId="2A4C315D" w14:textId="77777777" w:rsidR="0002713B" w:rsidRDefault="00027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removePersonalInformation/>
  <w:removeDateAndTime/>
  <w:doNotDisplayPageBoundaries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EA"/>
    <w:rsid w:val="000003FD"/>
    <w:rsid w:val="00000C6A"/>
    <w:rsid w:val="00001791"/>
    <w:rsid w:val="00002833"/>
    <w:rsid w:val="00003884"/>
    <w:rsid w:val="0000527F"/>
    <w:rsid w:val="00005E63"/>
    <w:rsid w:val="00006867"/>
    <w:rsid w:val="00006EDA"/>
    <w:rsid w:val="000070F7"/>
    <w:rsid w:val="00011D0C"/>
    <w:rsid w:val="00011F93"/>
    <w:rsid w:val="000136B5"/>
    <w:rsid w:val="000154A2"/>
    <w:rsid w:val="00015B3E"/>
    <w:rsid w:val="00015C4D"/>
    <w:rsid w:val="00015C7D"/>
    <w:rsid w:val="0001671F"/>
    <w:rsid w:val="000169C9"/>
    <w:rsid w:val="00016B41"/>
    <w:rsid w:val="00017F6D"/>
    <w:rsid w:val="00020299"/>
    <w:rsid w:val="000224D1"/>
    <w:rsid w:val="00022A56"/>
    <w:rsid w:val="0002427F"/>
    <w:rsid w:val="00025D94"/>
    <w:rsid w:val="00026681"/>
    <w:rsid w:val="00026AA6"/>
    <w:rsid w:val="0002713B"/>
    <w:rsid w:val="00027967"/>
    <w:rsid w:val="00027CDA"/>
    <w:rsid w:val="00032184"/>
    <w:rsid w:val="000321AA"/>
    <w:rsid w:val="00032EDB"/>
    <w:rsid w:val="00033C68"/>
    <w:rsid w:val="0003402B"/>
    <w:rsid w:val="00034B21"/>
    <w:rsid w:val="000352BF"/>
    <w:rsid w:val="000356D6"/>
    <w:rsid w:val="00035920"/>
    <w:rsid w:val="00035BFB"/>
    <w:rsid w:val="00035F8F"/>
    <w:rsid w:val="00036620"/>
    <w:rsid w:val="00037C38"/>
    <w:rsid w:val="0004052A"/>
    <w:rsid w:val="0004122B"/>
    <w:rsid w:val="00041507"/>
    <w:rsid w:val="00042016"/>
    <w:rsid w:val="0004272E"/>
    <w:rsid w:val="00042D5E"/>
    <w:rsid w:val="00044C8C"/>
    <w:rsid w:val="00045325"/>
    <w:rsid w:val="000459B9"/>
    <w:rsid w:val="00045F7B"/>
    <w:rsid w:val="00047B54"/>
    <w:rsid w:val="00047E24"/>
    <w:rsid w:val="000501EE"/>
    <w:rsid w:val="00052284"/>
    <w:rsid w:val="00053298"/>
    <w:rsid w:val="000535F3"/>
    <w:rsid w:val="000540DD"/>
    <w:rsid w:val="000545D2"/>
    <w:rsid w:val="00054858"/>
    <w:rsid w:val="00054DF3"/>
    <w:rsid w:val="00054F75"/>
    <w:rsid w:val="00055857"/>
    <w:rsid w:val="00056B2F"/>
    <w:rsid w:val="00057324"/>
    <w:rsid w:val="00057C5F"/>
    <w:rsid w:val="00060E83"/>
    <w:rsid w:val="000613D5"/>
    <w:rsid w:val="00061FA2"/>
    <w:rsid w:val="00063082"/>
    <w:rsid w:val="000633BF"/>
    <w:rsid w:val="00064036"/>
    <w:rsid w:val="00064314"/>
    <w:rsid w:val="0006527B"/>
    <w:rsid w:val="0006529F"/>
    <w:rsid w:val="0006674F"/>
    <w:rsid w:val="000675E2"/>
    <w:rsid w:val="00067861"/>
    <w:rsid w:val="00070ACE"/>
    <w:rsid w:val="00070DE1"/>
    <w:rsid w:val="000716B1"/>
    <w:rsid w:val="00071FEC"/>
    <w:rsid w:val="00072278"/>
    <w:rsid w:val="00072C19"/>
    <w:rsid w:val="00074235"/>
    <w:rsid w:val="0007527D"/>
    <w:rsid w:val="000755D5"/>
    <w:rsid w:val="00077DD4"/>
    <w:rsid w:val="0008015A"/>
    <w:rsid w:val="00080B8D"/>
    <w:rsid w:val="00081517"/>
    <w:rsid w:val="0008230B"/>
    <w:rsid w:val="00082853"/>
    <w:rsid w:val="0008311C"/>
    <w:rsid w:val="00083AB9"/>
    <w:rsid w:val="00083E68"/>
    <w:rsid w:val="0008634B"/>
    <w:rsid w:val="000866F6"/>
    <w:rsid w:val="000868F5"/>
    <w:rsid w:val="0008718D"/>
    <w:rsid w:val="000877A1"/>
    <w:rsid w:val="00090181"/>
    <w:rsid w:val="00091949"/>
    <w:rsid w:val="00092905"/>
    <w:rsid w:val="00092915"/>
    <w:rsid w:val="00092CDC"/>
    <w:rsid w:val="00093A79"/>
    <w:rsid w:val="000943C9"/>
    <w:rsid w:val="0009455A"/>
    <w:rsid w:val="000959E3"/>
    <w:rsid w:val="000969D3"/>
    <w:rsid w:val="0009792B"/>
    <w:rsid w:val="000A0D7A"/>
    <w:rsid w:val="000A1480"/>
    <w:rsid w:val="000A1C92"/>
    <w:rsid w:val="000A28DC"/>
    <w:rsid w:val="000A2C61"/>
    <w:rsid w:val="000A5471"/>
    <w:rsid w:val="000A57C9"/>
    <w:rsid w:val="000A61FC"/>
    <w:rsid w:val="000A694E"/>
    <w:rsid w:val="000A6A87"/>
    <w:rsid w:val="000A72B9"/>
    <w:rsid w:val="000B033A"/>
    <w:rsid w:val="000B1A6D"/>
    <w:rsid w:val="000B1B07"/>
    <w:rsid w:val="000B2441"/>
    <w:rsid w:val="000B28C5"/>
    <w:rsid w:val="000B3631"/>
    <w:rsid w:val="000B4824"/>
    <w:rsid w:val="000B4E6B"/>
    <w:rsid w:val="000B5885"/>
    <w:rsid w:val="000B5E5A"/>
    <w:rsid w:val="000B7A4F"/>
    <w:rsid w:val="000C0082"/>
    <w:rsid w:val="000C11EF"/>
    <w:rsid w:val="000C1242"/>
    <w:rsid w:val="000C1281"/>
    <w:rsid w:val="000C1558"/>
    <w:rsid w:val="000C15B0"/>
    <w:rsid w:val="000C1FD5"/>
    <w:rsid w:val="000C2195"/>
    <w:rsid w:val="000C33E1"/>
    <w:rsid w:val="000C471B"/>
    <w:rsid w:val="000C5903"/>
    <w:rsid w:val="000C5FB3"/>
    <w:rsid w:val="000C6712"/>
    <w:rsid w:val="000C6809"/>
    <w:rsid w:val="000C79C3"/>
    <w:rsid w:val="000D1C51"/>
    <w:rsid w:val="000D2641"/>
    <w:rsid w:val="000D28B4"/>
    <w:rsid w:val="000D2E04"/>
    <w:rsid w:val="000D3182"/>
    <w:rsid w:val="000D322F"/>
    <w:rsid w:val="000D3382"/>
    <w:rsid w:val="000D3C96"/>
    <w:rsid w:val="000D3DEA"/>
    <w:rsid w:val="000D4798"/>
    <w:rsid w:val="000D64CA"/>
    <w:rsid w:val="000D68FA"/>
    <w:rsid w:val="000D6E21"/>
    <w:rsid w:val="000D7801"/>
    <w:rsid w:val="000D78F2"/>
    <w:rsid w:val="000E037B"/>
    <w:rsid w:val="000E0E20"/>
    <w:rsid w:val="000E11CD"/>
    <w:rsid w:val="000E1E9F"/>
    <w:rsid w:val="000E20A9"/>
    <w:rsid w:val="000E2FAA"/>
    <w:rsid w:val="000E3507"/>
    <w:rsid w:val="000E52D7"/>
    <w:rsid w:val="000E5A00"/>
    <w:rsid w:val="000E677E"/>
    <w:rsid w:val="000E6BE2"/>
    <w:rsid w:val="000E7752"/>
    <w:rsid w:val="000F0216"/>
    <w:rsid w:val="000F036C"/>
    <w:rsid w:val="000F08D9"/>
    <w:rsid w:val="000F097A"/>
    <w:rsid w:val="000F1444"/>
    <w:rsid w:val="000F1789"/>
    <w:rsid w:val="000F1BE0"/>
    <w:rsid w:val="000F42D3"/>
    <w:rsid w:val="000F42FB"/>
    <w:rsid w:val="000F61A0"/>
    <w:rsid w:val="001008F5"/>
    <w:rsid w:val="00100F2F"/>
    <w:rsid w:val="00101A99"/>
    <w:rsid w:val="00103CBE"/>
    <w:rsid w:val="00104702"/>
    <w:rsid w:val="00104963"/>
    <w:rsid w:val="00105284"/>
    <w:rsid w:val="001067E5"/>
    <w:rsid w:val="00106E7F"/>
    <w:rsid w:val="001105B4"/>
    <w:rsid w:val="001105E1"/>
    <w:rsid w:val="00110B18"/>
    <w:rsid w:val="001119DE"/>
    <w:rsid w:val="00111E04"/>
    <w:rsid w:val="00113CEC"/>
    <w:rsid w:val="00114D25"/>
    <w:rsid w:val="00115116"/>
    <w:rsid w:val="00115743"/>
    <w:rsid w:val="00115E02"/>
    <w:rsid w:val="00116502"/>
    <w:rsid w:val="001172EB"/>
    <w:rsid w:val="0011768C"/>
    <w:rsid w:val="001177D8"/>
    <w:rsid w:val="00120A05"/>
    <w:rsid w:val="00120E84"/>
    <w:rsid w:val="00121B5C"/>
    <w:rsid w:val="0012223B"/>
    <w:rsid w:val="00126548"/>
    <w:rsid w:val="00127404"/>
    <w:rsid w:val="00127D7E"/>
    <w:rsid w:val="00127F15"/>
    <w:rsid w:val="00130022"/>
    <w:rsid w:val="001301C1"/>
    <w:rsid w:val="00131EAE"/>
    <w:rsid w:val="001352CE"/>
    <w:rsid w:val="00136A8E"/>
    <w:rsid w:val="001376FA"/>
    <w:rsid w:val="00137B59"/>
    <w:rsid w:val="00140846"/>
    <w:rsid w:val="00140B6A"/>
    <w:rsid w:val="0014114A"/>
    <w:rsid w:val="00141160"/>
    <w:rsid w:val="00141530"/>
    <w:rsid w:val="00146904"/>
    <w:rsid w:val="00147E02"/>
    <w:rsid w:val="00150AC4"/>
    <w:rsid w:val="00150F83"/>
    <w:rsid w:val="001512CD"/>
    <w:rsid w:val="0015134E"/>
    <w:rsid w:val="0015223C"/>
    <w:rsid w:val="0015328D"/>
    <w:rsid w:val="00153D11"/>
    <w:rsid w:val="00153DEE"/>
    <w:rsid w:val="00154A27"/>
    <w:rsid w:val="00155644"/>
    <w:rsid w:val="00156039"/>
    <w:rsid w:val="0015646F"/>
    <w:rsid w:val="001570AB"/>
    <w:rsid w:val="00160C85"/>
    <w:rsid w:val="00160FD8"/>
    <w:rsid w:val="00161669"/>
    <w:rsid w:val="00161DB0"/>
    <w:rsid w:val="001627BC"/>
    <w:rsid w:val="001647DB"/>
    <w:rsid w:val="00164E70"/>
    <w:rsid w:val="00165D43"/>
    <w:rsid w:val="00166551"/>
    <w:rsid w:val="00167650"/>
    <w:rsid w:val="001709B8"/>
    <w:rsid w:val="00170A29"/>
    <w:rsid w:val="00171632"/>
    <w:rsid w:val="00171B9E"/>
    <w:rsid w:val="00172FE6"/>
    <w:rsid w:val="001734BE"/>
    <w:rsid w:val="001737F8"/>
    <w:rsid w:val="00173AF9"/>
    <w:rsid w:val="00173EEB"/>
    <w:rsid w:val="00174F5B"/>
    <w:rsid w:val="001759B2"/>
    <w:rsid w:val="00176D42"/>
    <w:rsid w:val="001771CC"/>
    <w:rsid w:val="00177D29"/>
    <w:rsid w:val="0018135F"/>
    <w:rsid w:val="0018162A"/>
    <w:rsid w:val="00181740"/>
    <w:rsid w:val="00181C59"/>
    <w:rsid w:val="00182864"/>
    <w:rsid w:val="0018404B"/>
    <w:rsid w:val="00184083"/>
    <w:rsid w:val="001855FE"/>
    <w:rsid w:val="0018660E"/>
    <w:rsid w:val="001876DA"/>
    <w:rsid w:val="00187873"/>
    <w:rsid w:val="00187989"/>
    <w:rsid w:val="001879BE"/>
    <w:rsid w:val="00187B49"/>
    <w:rsid w:val="00190962"/>
    <w:rsid w:val="00190C4D"/>
    <w:rsid w:val="00191C49"/>
    <w:rsid w:val="00191F41"/>
    <w:rsid w:val="00193CD9"/>
    <w:rsid w:val="0019496A"/>
    <w:rsid w:val="0019555E"/>
    <w:rsid w:val="001956AE"/>
    <w:rsid w:val="001A05CD"/>
    <w:rsid w:val="001A0F07"/>
    <w:rsid w:val="001A2622"/>
    <w:rsid w:val="001A3487"/>
    <w:rsid w:val="001A34EB"/>
    <w:rsid w:val="001A4EF5"/>
    <w:rsid w:val="001A5EF3"/>
    <w:rsid w:val="001A65A3"/>
    <w:rsid w:val="001B0360"/>
    <w:rsid w:val="001B0F53"/>
    <w:rsid w:val="001B27B1"/>
    <w:rsid w:val="001B408E"/>
    <w:rsid w:val="001B442F"/>
    <w:rsid w:val="001B4D04"/>
    <w:rsid w:val="001B538D"/>
    <w:rsid w:val="001B5EB2"/>
    <w:rsid w:val="001B61AA"/>
    <w:rsid w:val="001B644B"/>
    <w:rsid w:val="001B78F6"/>
    <w:rsid w:val="001B7962"/>
    <w:rsid w:val="001B7A54"/>
    <w:rsid w:val="001C1F15"/>
    <w:rsid w:val="001C1F41"/>
    <w:rsid w:val="001C2CEB"/>
    <w:rsid w:val="001C3C71"/>
    <w:rsid w:val="001C6608"/>
    <w:rsid w:val="001D08BF"/>
    <w:rsid w:val="001D427D"/>
    <w:rsid w:val="001D427E"/>
    <w:rsid w:val="001D6959"/>
    <w:rsid w:val="001E21C7"/>
    <w:rsid w:val="001E29FB"/>
    <w:rsid w:val="001E3ACE"/>
    <w:rsid w:val="001E3BAE"/>
    <w:rsid w:val="001E3BC5"/>
    <w:rsid w:val="001E52D0"/>
    <w:rsid w:val="001E56A4"/>
    <w:rsid w:val="001E56A8"/>
    <w:rsid w:val="001E5AC9"/>
    <w:rsid w:val="001E60E2"/>
    <w:rsid w:val="001E61D2"/>
    <w:rsid w:val="001E6D10"/>
    <w:rsid w:val="001E6E23"/>
    <w:rsid w:val="001E705C"/>
    <w:rsid w:val="001E79FC"/>
    <w:rsid w:val="001F0017"/>
    <w:rsid w:val="001F1752"/>
    <w:rsid w:val="001F1C61"/>
    <w:rsid w:val="001F347C"/>
    <w:rsid w:val="001F45DF"/>
    <w:rsid w:val="001F50F1"/>
    <w:rsid w:val="001F6BA9"/>
    <w:rsid w:val="001F6BB9"/>
    <w:rsid w:val="002009D5"/>
    <w:rsid w:val="00201962"/>
    <w:rsid w:val="002025F4"/>
    <w:rsid w:val="00203754"/>
    <w:rsid w:val="0020386B"/>
    <w:rsid w:val="00204E2B"/>
    <w:rsid w:val="00204F9A"/>
    <w:rsid w:val="00205D6A"/>
    <w:rsid w:val="00206ABF"/>
    <w:rsid w:val="00206EB9"/>
    <w:rsid w:val="002075C1"/>
    <w:rsid w:val="00207A85"/>
    <w:rsid w:val="00210F2D"/>
    <w:rsid w:val="00211FEB"/>
    <w:rsid w:val="0021310E"/>
    <w:rsid w:val="00213FA6"/>
    <w:rsid w:val="002146A3"/>
    <w:rsid w:val="0021481D"/>
    <w:rsid w:val="00216A6A"/>
    <w:rsid w:val="002171FB"/>
    <w:rsid w:val="0021752E"/>
    <w:rsid w:val="00217FFE"/>
    <w:rsid w:val="002210A1"/>
    <w:rsid w:val="00222BFC"/>
    <w:rsid w:val="0022526A"/>
    <w:rsid w:val="00225AE5"/>
    <w:rsid w:val="002263F2"/>
    <w:rsid w:val="00226D48"/>
    <w:rsid w:val="0022715B"/>
    <w:rsid w:val="00227304"/>
    <w:rsid w:val="002308CA"/>
    <w:rsid w:val="00230D21"/>
    <w:rsid w:val="00230FD6"/>
    <w:rsid w:val="002319EC"/>
    <w:rsid w:val="00231A68"/>
    <w:rsid w:val="00231E1A"/>
    <w:rsid w:val="002320E8"/>
    <w:rsid w:val="00234E68"/>
    <w:rsid w:val="00235646"/>
    <w:rsid w:val="002366F3"/>
    <w:rsid w:val="002371AD"/>
    <w:rsid w:val="00237585"/>
    <w:rsid w:val="00240BDD"/>
    <w:rsid w:val="00241297"/>
    <w:rsid w:val="00241E59"/>
    <w:rsid w:val="00242344"/>
    <w:rsid w:val="00242937"/>
    <w:rsid w:val="00242F89"/>
    <w:rsid w:val="00243599"/>
    <w:rsid w:val="00243F2D"/>
    <w:rsid w:val="002449BE"/>
    <w:rsid w:val="00245DA4"/>
    <w:rsid w:val="00246076"/>
    <w:rsid w:val="00250F14"/>
    <w:rsid w:val="002511B8"/>
    <w:rsid w:val="00252538"/>
    <w:rsid w:val="00252562"/>
    <w:rsid w:val="00252F0E"/>
    <w:rsid w:val="00254AE6"/>
    <w:rsid w:val="00255BC8"/>
    <w:rsid w:val="00256B98"/>
    <w:rsid w:val="0025705D"/>
    <w:rsid w:val="00257150"/>
    <w:rsid w:val="002577B5"/>
    <w:rsid w:val="00260464"/>
    <w:rsid w:val="002606B0"/>
    <w:rsid w:val="002609D7"/>
    <w:rsid w:val="00262388"/>
    <w:rsid w:val="00262E60"/>
    <w:rsid w:val="00263945"/>
    <w:rsid w:val="002639A4"/>
    <w:rsid w:val="00263A3B"/>
    <w:rsid w:val="00264F19"/>
    <w:rsid w:val="00265F46"/>
    <w:rsid w:val="0026650E"/>
    <w:rsid w:val="00267A82"/>
    <w:rsid w:val="002708F4"/>
    <w:rsid w:val="00272DF3"/>
    <w:rsid w:val="00273B3F"/>
    <w:rsid w:val="00275AD6"/>
    <w:rsid w:val="00275D0A"/>
    <w:rsid w:val="002770EA"/>
    <w:rsid w:val="0027764C"/>
    <w:rsid w:val="00280453"/>
    <w:rsid w:val="00280554"/>
    <w:rsid w:val="00282C83"/>
    <w:rsid w:val="00282FA4"/>
    <w:rsid w:val="00283B82"/>
    <w:rsid w:val="0028441E"/>
    <w:rsid w:val="00284824"/>
    <w:rsid w:val="00284AA1"/>
    <w:rsid w:val="002852F6"/>
    <w:rsid w:val="00286439"/>
    <w:rsid w:val="002901C3"/>
    <w:rsid w:val="0029067E"/>
    <w:rsid w:val="00290C82"/>
    <w:rsid w:val="00292736"/>
    <w:rsid w:val="00294C86"/>
    <w:rsid w:val="00295D3B"/>
    <w:rsid w:val="002973C5"/>
    <w:rsid w:val="00297B38"/>
    <w:rsid w:val="002A0A8C"/>
    <w:rsid w:val="002A0D7C"/>
    <w:rsid w:val="002A0FA1"/>
    <w:rsid w:val="002A1E0F"/>
    <w:rsid w:val="002A347F"/>
    <w:rsid w:val="002A3922"/>
    <w:rsid w:val="002A392F"/>
    <w:rsid w:val="002A3ABE"/>
    <w:rsid w:val="002A4106"/>
    <w:rsid w:val="002A4531"/>
    <w:rsid w:val="002A5664"/>
    <w:rsid w:val="002A7CB8"/>
    <w:rsid w:val="002B1C88"/>
    <w:rsid w:val="002B3E49"/>
    <w:rsid w:val="002B444F"/>
    <w:rsid w:val="002B58FF"/>
    <w:rsid w:val="002B6100"/>
    <w:rsid w:val="002B6BC2"/>
    <w:rsid w:val="002B73E6"/>
    <w:rsid w:val="002B750B"/>
    <w:rsid w:val="002B7D73"/>
    <w:rsid w:val="002B7DEB"/>
    <w:rsid w:val="002C1A39"/>
    <w:rsid w:val="002C1E61"/>
    <w:rsid w:val="002C2D83"/>
    <w:rsid w:val="002C42D7"/>
    <w:rsid w:val="002C6834"/>
    <w:rsid w:val="002C6C44"/>
    <w:rsid w:val="002C76A2"/>
    <w:rsid w:val="002C7B0A"/>
    <w:rsid w:val="002D0BC5"/>
    <w:rsid w:val="002D18AC"/>
    <w:rsid w:val="002D1BFE"/>
    <w:rsid w:val="002D2EE0"/>
    <w:rsid w:val="002D314A"/>
    <w:rsid w:val="002D3619"/>
    <w:rsid w:val="002D36B6"/>
    <w:rsid w:val="002D40EB"/>
    <w:rsid w:val="002D53B1"/>
    <w:rsid w:val="002D586A"/>
    <w:rsid w:val="002D5B10"/>
    <w:rsid w:val="002D677C"/>
    <w:rsid w:val="002D67BA"/>
    <w:rsid w:val="002D72AB"/>
    <w:rsid w:val="002D779D"/>
    <w:rsid w:val="002E0042"/>
    <w:rsid w:val="002E0644"/>
    <w:rsid w:val="002E0867"/>
    <w:rsid w:val="002E0A07"/>
    <w:rsid w:val="002E1D21"/>
    <w:rsid w:val="002E26F8"/>
    <w:rsid w:val="002E3FF7"/>
    <w:rsid w:val="002E61CE"/>
    <w:rsid w:val="002E7A27"/>
    <w:rsid w:val="002F0130"/>
    <w:rsid w:val="002F171F"/>
    <w:rsid w:val="002F2D45"/>
    <w:rsid w:val="002F44E3"/>
    <w:rsid w:val="002F4B70"/>
    <w:rsid w:val="002F5B72"/>
    <w:rsid w:val="002F656C"/>
    <w:rsid w:val="002F68DF"/>
    <w:rsid w:val="002F6D6D"/>
    <w:rsid w:val="003002A9"/>
    <w:rsid w:val="00300888"/>
    <w:rsid w:val="00300D24"/>
    <w:rsid w:val="0030103B"/>
    <w:rsid w:val="00304A13"/>
    <w:rsid w:val="003057EA"/>
    <w:rsid w:val="00305E4B"/>
    <w:rsid w:val="003068E5"/>
    <w:rsid w:val="003102B5"/>
    <w:rsid w:val="00311969"/>
    <w:rsid w:val="00312600"/>
    <w:rsid w:val="00312891"/>
    <w:rsid w:val="003131A5"/>
    <w:rsid w:val="00314BA9"/>
    <w:rsid w:val="00315168"/>
    <w:rsid w:val="003152EB"/>
    <w:rsid w:val="003154E2"/>
    <w:rsid w:val="00316A9E"/>
    <w:rsid w:val="00320309"/>
    <w:rsid w:val="00320B92"/>
    <w:rsid w:val="00321544"/>
    <w:rsid w:val="003222B4"/>
    <w:rsid w:val="00323A4E"/>
    <w:rsid w:val="00323B8B"/>
    <w:rsid w:val="00324E64"/>
    <w:rsid w:val="00327479"/>
    <w:rsid w:val="00327B28"/>
    <w:rsid w:val="0033007F"/>
    <w:rsid w:val="0033098A"/>
    <w:rsid w:val="00331094"/>
    <w:rsid w:val="00331877"/>
    <w:rsid w:val="003322FA"/>
    <w:rsid w:val="00333596"/>
    <w:rsid w:val="003341CF"/>
    <w:rsid w:val="00334F86"/>
    <w:rsid w:val="0033516C"/>
    <w:rsid w:val="00335238"/>
    <w:rsid w:val="00335E7E"/>
    <w:rsid w:val="00336A6C"/>
    <w:rsid w:val="00337314"/>
    <w:rsid w:val="00337941"/>
    <w:rsid w:val="00337D59"/>
    <w:rsid w:val="003418BD"/>
    <w:rsid w:val="00343A4E"/>
    <w:rsid w:val="003454E5"/>
    <w:rsid w:val="003457A5"/>
    <w:rsid w:val="003458D2"/>
    <w:rsid w:val="00345FF7"/>
    <w:rsid w:val="003467CA"/>
    <w:rsid w:val="00350617"/>
    <w:rsid w:val="00351310"/>
    <w:rsid w:val="003544A2"/>
    <w:rsid w:val="00355A69"/>
    <w:rsid w:val="003565BA"/>
    <w:rsid w:val="00356F0D"/>
    <w:rsid w:val="00357874"/>
    <w:rsid w:val="00357978"/>
    <w:rsid w:val="00360A8C"/>
    <w:rsid w:val="00361225"/>
    <w:rsid w:val="00362BF7"/>
    <w:rsid w:val="00363631"/>
    <w:rsid w:val="00363770"/>
    <w:rsid w:val="00363EC9"/>
    <w:rsid w:val="00363F69"/>
    <w:rsid w:val="003649FD"/>
    <w:rsid w:val="00366391"/>
    <w:rsid w:val="00366FA6"/>
    <w:rsid w:val="003671A3"/>
    <w:rsid w:val="00367863"/>
    <w:rsid w:val="00370D93"/>
    <w:rsid w:val="003710F0"/>
    <w:rsid w:val="00372857"/>
    <w:rsid w:val="003736C2"/>
    <w:rsid w:val="00374C00"/>
    <w:rsid w:val="00375C7B"/>
    <w:rsid w:val="00377223"/>
    <w:rsid w:val="0038185E"/>
    <w:rsid w:val="00382597"/>
    <w:rsid w:val="00382BFC"/>
    <w:rsid w:val="003833D9"/>
    <w:rsid w:val="00385175"/>
    <w:rsid w:val="00385EAB"/>
    <w:rsid w:val="0038756D"/>
    <w:rsid w:val="00387AE6"/>
    <w:rsid w:val="00391063"/>
    <w:rsid w:val="00391283"/>
    <w:rsid w:val="00392B05"/>
    <w:rsid w:val="003936FF"/>
    <w:rsid w:val="003951E3"/>
    <w:rsid w:val="00395CB1"/>
    <w:rsid w:val="00396240"/>
    <w:rsid w:val="003A0753"/>
    <w:rsid w:val="003A4428"/>
    <w:rsid w:val="003A469D"/>
    <w:rsid w:val="003A4B52"/>
    <w:rsid w:val="003A7087"/>
    <w:rsid w:val="003A73C7"/>
    <w:rsid w:val="003B0D80"/>
    <w:rsid w:val="003B3384"/>
    <w:rsid w:val="003B3B1C"/>
    <w:rsid w:val="003B3D53"/>
    <w:rsid w:val="003B43AE"/>
    <w:rsid w:val="003B674E"/>
    <w:rsid w:val="003C09E4"/>
    <w:rsid w:val="003C1C72"/>
    <w:rsid w:val="003C42A1"/>
    <w:rsid w:val="003C49CF"/>
    <w:rsid w:val="003C4FBF"/>
    <w:rsid w:val="003C5134"/>
    <w:rsid w:val="003C5ABC"/>
    <w:rsid w:val="003C65FD"/>
    <w:rsid w:val="003D074F"/>
    <w:rsid w:val="003D21A8"/>
    <w:rsid w:val="003D2584"/>
    <w:rsid w:val="003D2D2F"/>
    <w:rsid w:val="003D31AA"/>
    <w:rsid w:val="003D3F17"/>
    <w:rsid w:val="003D58B2"/>
    <w:rsid w:val="003D62D1"/>
    <w:rsid w:val="003D715F"/>
    <w:rsid w:val="003D7CE0"/>
    <w:rsid w:val="003E0E66"/>
    <w:rsid w:val="003E0FD5"/>
    <w:rsid w:val="003E1F77"/>
    <w:rsid w:val="003E2479"/>
    <w:rsid w:val="003E29DF"/>
    <w:rsid w:val="003E3676"/>
    <w:rsid w:val="003E47B1"/>
    <w:rsid w:val="003E5D2C"/>
    <w:rsid w:val="003F02C6"/>
    <w:rsid w:val="003F0712"/>
    <w:rsid w:val="003F0AFB"/>
    <w:rsid w:val="003F1E18"/>
    <w:rsid w:val="003F2BBD"/>
    <w:rsid w:val="003F3106"/>
    <w:rsid w:val="003F360D"/>
    <w:rsid w:val="003F5BD3"/>
    <w:rsid w:val="003F7DBB"/>
    <w:rsid w:val="00400249"/>
    <w:rsid w:val="004020A7"/>
    <w:rsid w:val="0040227F"/>
    <w:rsid w:val="00402E5A"/>
    <w:rsid w:val="0040598E"/>
    <w:rsid w:val="00405E80"/>
    <w:rsid w:val="004069B3"/>
    <w:rsid w:val="00406CB2"/>
    <w:rsid w:val="00407505"/>
    <w:rsid w:val="004076CC"/>
    <w:rsid w:val="00410485"/>
    <w:rsid w:val="00410A63"/>
    <w:rsid w:val="004116A5"/>
    <w:rsid w:val="00412199"/>
    <w:rsid w:val="004121BE"/>
    <w:rsid w:val="00413598"/>
    <w:rsid w:val="00413ADF"/>
    <w:rsid w:val="00413B47"/>
    <w:rsid w:val="00413CAA"/>
    <w:rsid w:val="00414D1C"/>
    <w:rsid w:val="00415C1F"/>
    <w:rsid w:val="00415FA7"/>
    <w:rsid w:val="00416032"/>
    <w:rsid w:val="00423102"/>
    <w:rsid w:val="00423473"/>
    <w:rsid w:val="00423689"/>
    <w:rsid w:val="00424E15"/>
    <w:rsid w:val="00425559"/>
    <w:rsid w:val="00425812"/>
    <w:rsid w:val="00427A3F"/>
    <w:rsid w:val="004301E0"/>
    <w:rsid w:val="0043030A"/>
    <w:rsid w:val="00430CCC"/>
    <w:rsid w:val="00430FD2"/>
    <w:rsid w:val="0043243C"/>
    <w:rsid w:val="00432AB1"/>
    <w:rsid w:val="0043307E"/>
    <w:rsid w:val="0043585E"/>
    <w:rsid w:val="00435898"/>
    <w:rsid w:val="00435DC1"/>
    <w:rsid w:val="00435E5F"/>
    <w:rsid w:val="00440009"/>
    <w:rsid w:val="00440A5E"/>
    <w:rsid w:val="00442ECF"/>
    <w:rsid w:val="00442F6A"/>
    <w:rsid w:val="00443255"/>
    <w:rsid w:val="00443CA4"/>
    <w:rsid w:val="00443EBC"/>
    <w:rsid w:val="00444158"/>
    <w:rsid w:val="00444271"/>
    <w:rsid w:val="004456CE"/>
    <w:rsid w:val="004460AC"/>
    <w:rsid w:val="004460BD"/>
    <w:rsid w:val="00446BEE"/>
    <w:rsid w:val="00447566"/>
    <w:rsid w:val="00447A26"/>
    <w:rsid w:val="00452019"/>
    <w:rsid w:val="004538BF"/>
    <w:rsid w:val="004545CC"/>
    <w:rsid w:val="0045483C"/>
    <w:rsid w:val="00455645"/>
    <w:rsid w:val="00456A05"/>
    <w:rsid w:val="004576DF"/>
    <w:rsid w:val="0045777A"/>
    <w:rsid w:val="00460095"/>
    <w:rsid w:val="00461294"/>
    <w:rsid w:val="0046197F"/>
    <w:rsid w:val="004619C4"/>
    <w:rsid w:val="0046377B"/>
    <w:rsid w:val="0046383D"/>
    <w:rsid w:val="004639C3"/>
    <w:rsid w:val="004665AD"/>
    <w:rsid w:val="00467C58"/>
    <w:rsid w:val="004702E9"/>
    <w:rsid w:val="00472363"/>
    <w:rsid w:val="00473576"/>
    <w:rsid w:val="00474F42"/>
    <w:rsid w:val="00476D2B"/>
    <w:rsid w:val="00477B56"/>
    <w:rsid w:val="0048064C"/>
    <w:rsid w:val="00480ABD"/>
    <w:rsid w:val="004812A8"/>
    <w:rsid w:val="00481C7B"/>
    <w:rsid w:val="00482BAC"/>
    <w:rsid w:val="00483783"/>
    <w:rsid w:val="004838F3"/>
    <w:rsid w:val="004848CA"/>
    <w:rsid w:val="00485319"/>
    <w:rsid w:val="00485A59"/>
    <w:rsid w:val="0048620F"/>
    <w:rsid w:val="004864C4"/>
    <w:rsid w:val="004865B3"/>
    <w:rsid w:val="00486AF2"/>
    <w:rsid w:val="00486F66"/>
    <w:rsid w:val="0049134E"/>
    <w:rsid w:val="00493CB7"/>
    <w:rsid w:val="00493D48"/>
    <w:rsid w:val="00494228"/>
    <w:rsid w:val="00495194"/>
    <w:rsid w:val="00495DBD"/>
    <w:rsid w:val="0049780D"/>
    <w:rsid w:val="004A087E"/>
    <w:rsid w:val="004A0A8A"/>
    <w:rsid w:val="004A0B6F"/>
    <w:rsid w:val="004A0B92"/>
    <w:rsid w:val="004A2D34"/>
    <w:rsid w:val="004A3364"/>
    <w:rsid w:val="004A3C3D"/>
    <w:rsid w:val="004A3DF9"/>
    <w:rsid w:val="004A4DA2"/>
    <w:rsid w:val="004A5101"/>
    <w:rsid w:val="004A52C8"/>
    <w:rsid w:val="004A61EE"/>
    <w:rsid w:val="004A6813"/>
    <w:rsid w:val="004A7C22"/>
    <w:rsid w:val="004B07EF"/>
    <w:rsid w:val="004B1B4F"/>
    <w:rsid w:val="004B1C1A"/>
    <w:rsid w:val="004B2007"/>
    <w:rsid w:val="004B2317"/>
    <w:rsid w:val="004B3B2F"/>
    <w:rsid w:val="004B3E10"/>
    <w:rsid w:val="004B3EE2"/>
    <w:rsid w:val="004B4432"/>
    <w:rsid w:val="004B44CB"/>
    <w:rsid w:val="004B4687"/>
    <w:rsid w:val="004B5200"/>
    <w:rsid w:val="004B584C"/>
    <w:rsid w:val="004B61C1"/>
    <w:rsid w:val="004B6432"/>
    <w:rsid w:val="004B725C"/>
    <w:rsid w:val="004C0D00"/>
    <w:rsid w:val="004C2EF0"/>
    <w:rsid w:val="004C38B0"/>
    <w:rsid w:val="004C4624"/>
    <w:rsid w:val="004C5015"/>
    <w:rsid w:val="004C518E"/>
    <w:rsid w:val="004C5CD0"/>
    <w:rsid w:val="004C68B7"/>
    <w:rsid w:val="004C6EAE"/>
    <w:rsid w:val="004C769F"/>
    <w:rsid w:val="004D1149"/>
    <w:rsid w:val="004D1351"/>
    <w:rsid w:val="004D2508"/>
    <w:rsid w:val="004D274D"/>
    <w:rsid w:val="004D40A9"/>
    <w:rsid w:val="004D48D8"/>
    <w:rsid w:val="004D4C58"/>
    <w:rsid w:val="004D5A3B"/>
    <w:rsid w:val="004D6F95"/>
    <w:rsid w:val="004D7A20"/>
    <w:rsid w:val="004E0050"/>
    <w:rsid w:val="004E05FF"/>
    <w:rsid w:val="004E0F8C"/>
    <w:rsid w:val="004E1E03"/>
    <w:rsid w:val="004E307D"/>
    <w:rsid w:val="004E58D3"/>
    <w:rsid w:val="004E5CFE"/>
    <w:rsid w:val="004E5EF6"/>
    <w:rsid w:val="004E646E"/>
    <w:rsid w:val="004F0E11"/>
    <w:rsid w:val="004F147D"/>
    <w:rsid w:val="004F2B87"/>
    <w:rsid w:val="004F3DB2"/>
    <w:rsid w:val="004F4B55"/>
    <w:rsid w:val="004F5061"/>
    <w:rsid w:val="004F6036"/>
    <w:rsid w:val="004F6174"/>
    <w:rsid w:val="004F6DE0"/>
    <w:rsid w:val="00501FED"/>
    <w:rsid w:val="00502AE9"/>
    <w:rsid w:val="005033D1"/>
    <w:rsid w:val="005038B3"/>
    <w:rsid w:val="00503B0E"/>
    <w:rsid w:val="005044D5"/>
    <w:rsid w:val="0050554A"/>
    <w:rsid w:val="00505864"/>
    <w:rsid w:val="005061C8"/>
    <w:rsid w:val="005068D4"/>
    <w:rsid w:val="00507DEC"/>
    <w:rsid w:val="00507E99"/>
    <w:rsid w:val="00510AFE"/>
    <w:rsid w:val="0051148D"/>
    <w:rsid w:val="00512C47"/>
    <w:rsid w:val="00512D2B"/>
    <w:rsid w:val="00513973"/>
    <w:rsid w:val="0051486E"/>
    <w:rsid w:val="00517604"/>
    <w:rsid w:val="00517899"/>
    <w:rsid w:val="00517E98"/>
    <w:rsid w:val="00520A6E"/>
    <w:rsid w:val="005212C6"/>
    <w:rsid w:val="005239FB"/>
    <w:rsid w:val="00523E21"/>
    <w:rsid w:val="005242D6"/>
    <w:rsid w:val="00524AA8"/>
    <w:rsid w:val="005255D1"/>
    <w:rsid w:val="00527A06"/>
    <w:rsid w:val="00527AC1"/>
    <w:rsid w:val="0053059C"/>
    <w:rsid w:val="00530B76"/>
    <w:rsid w:val="00530B8E"/>
    <w:rsid w:val="00530D1A"/>
    <w:rsid w:val="00530E66"/>
    <w:rsid w:val="00530E95"/>
    <w:rsid w:val="00531211"/>
    <w:rsid w:val="0053129B"/>
    <w:rsid w:val="00531EAA"/>
    <w:rsid w:val="00532F0B"/>
    <w:rsid w:val="005338D5"/>
    <w:rsid w:val="005338E8"/>
    <w:rsid w:val="00533F14"/>
    <w:rsid w:val="0053544D"/>
    <w:rsid w:val="0053547F"/>
    <w:rsid w:val="00535C8F"/>
    <w:rsid w:val="00536612"/>
    <w:rsid w:val="00536E84"/>
    <w:rsid w:val="005404CF"/>
    <w:rsid w:val="00540F93"/>
    <w:rsid w:val="00541BBA"/>
    <w:rsid w:val="00542C60"/>
    <w:rsid w:val="00544225"/>
    <w:rsid w:val="00545285"/>
    <w:rsid w:val="00547356"/>
    <w:rsid w:val="00550169"/>
    <w:rsid w:val="00550F16"/>
    <w:rsid w:val="00550F27"/>
    <w:rsid w:val="0055135F"/>
    <w:rsid w:val="00551B6C"/>
    <w:rsid w:val="00552A0E"/>
    <w:rsid w:val="005534C3"/>
    <w:rsid w:val="00554237"/>
    <w:rsid w:val="005559D8"/>
    <w:rsid w:val="00556823"/>
    <w:rsid w:val="00556FC2"/>
    <w:rsid w:val="00556FE0"/>
    <w:rsid w:val="0055717E"/>
    <w:rsid w:val="005577DF"/>
    <w:rsid w:val="00557A91"/>
    <w:rsid w:val="00561BE9"/>
    <w:rsid w:val="00562FA9"/>
    <w:rsid w:val="005634BB"/>
    <w:rsid w:val="005669FA"/>
    <w:rsid w:val="00566A4E"/>
    <w:rsid w:val="00567373"/>
    <w:rsid w:val="005675A7"/>
    <w:rsid w:val="0056796E"/>
    <w:rsid w:val="00567C76"/>
    <w:rsid w:val="00570306"/>
    <w:rsid w:val="00571E3A"/>
    <w:rsid w:val="005723C3"/>
    <w:rsid w:val="00574CE7"/>
    <w:rsid w:val="00575033"/>
    <w:rsid w:val="00576B82"/>
    <w:rsid w:val="00576C79"/>
    <w:rsid w:val="00580C93"/>
    <w:rsid w:val="00582B4E"/>
    <w:rsid w:val="0058337D"/>
    <w:rsid w:val="0058350F"/>
    <w:rsid w:val="00583F2D"/>
    <w:rsid w:val="00585565"/>
    <w:rsid w:val="00585F02"/>
    <w:rsid w:val="00587423"/>
    <w:rsid w:val="00587B51"/>
    <w:rsid w:val="00590971"/>
    <w:rsid w:val="00590F8D"/>
    <w:rsid w:val="0059145A"/>
    <w:rsid w:val="00592031"/>
    <w:rsid w:val="00592281"/>
    <w:rsid w:val="005945AD"/>
    <w:rsid w:val="005948D7"/>
    <w:rsid w:val="005A05CA"/>
    <w:rsid w:val="005A12A2"/>
    <w:rsid w:val="005A2B73"/>
    <w:rsid w:val="005A52F4"/>
    <w:rsid w:val="005A584C"/>
    <w:rsid w:val="005A5DF6"/>
    <w:rsid w:val="005A7C0E"/>
    <w:rsid w:val="005B010A"/>
    <w:rsid w:val="005B02BB"/>
    <w:rsid w:val="005B0349"/>
    <w:rsid w:val="005B262A"/>
    <w:rsid w:val="005B2999"/>
    <w:rsid w:val="005B2BD3"/>
    <w:rsid w:val="005B3846"/>
    <w:rsid w:val="005B3E64"/>
    <w:rsid w:val="005B4568"/>
    <w:rsid w:val="005B4E68"/>
    <w:rsid w:val="005B60AA"/>
    <w:rsid w:val="005B6113"/>
    <w:rsid w:val="005B7EA8"/>
    <w:rsid w:val="005C05C0"/>
    <w:rsid w:val="005C274E"/>
    <w:rsid w:val="005C2A4D"/>
    <w:rsid w:val="005C2C8D"/>
    <w:rsid w:val="005C54EB"/>
    <w:rsid w:val="005C554F"/>
    <w:rsid w:val="005C5966"/>
    <w:rsid w:val="005C5FCA"/>
    <w:rsid w:val="005C6C93"/>
    <w:rsid w:val="005C7034"/>
    <w:rsid w:val="005C7323"/>
    <w:rsid w:val="005D0480"/>
    <w:rsid w:val="005D2901"/>
    <w:rsid w:val="005D2A62"/>
    <w:rsid w:val="005D34D6"/>
    <w:rsid w:val="005D3C24"/>
    <w:rsid w:val="005D41DB"/>
    <w:rsid w:val="005D45D1"/>
    <w:rsid w:val="005D4759"/>
    <w:rsid w:val="005D5289"/>
    <w:rsid w:val="005D6A0E"/>
    <w:rsid w:val="005D717B"/>
    <w:rsid w:val="005D7BD4"/>
    <w:rsid w:val="005D7FA9"/>
    <w:rsid w:val="005E073C"/>
    <w:rsid w:val="005E162A"/>
    <w:rsid w:val="005E2860"/>
    <w:rsid w:val="005E2B0E"/>
    <w:rsid w:val="005E2BB6"/>
    <w:rsid w:val="005E3843"/>
    <w:rsid w:val="005E3BA0"/>
    <w:rsid w:val="005E4192"/>
    <w:rsid w:val="005E43F3"/>
    <w:rsid w:val="005E4ADB"/>
    <w:rsid w:val="005E4FBC"/>
    <w:rsid w:val="005E5911"/>
    <w:rsid w:val="005E6443"/>
    <w:rsid w:val="005E6E63"/>
    <w:rsid w:val="005F0024"/>
    <w:rsid w:val="005F13BE"/>
    <w:rsid w:val="005F389E"/>
    <w:rsid w:val="005F4184"/>
    <w:rsid w:val="005F4959"/>
    <w:rsid w:val="005F4E75"/>
    <w:rsid w:val="005F5669"/>
    <w:rsid w:val="005F6255"/>
    <w:rsid w:val="005F7E63"/>
    <w:rsid w:val="00600D11"/>
    <w:rsid w:val="00600F48"/>
    <w:rsid w:val="006014B5"/>
    <w:rsid w:val="006014FC"/>
    <w:rsid w:val="00602818"/>
    <w:rsid w:val="00603D84"/>
    <w:rsid w:val="0060566B"/>
    <w:rsid w:val="006065E5"/>
    <w:rsid w:val="00606873"/>
    <w:rsid w:val="00606E4C"/>
    <w:rsid w:val="0061003D"/>
    <w:rsid w:val="006103AA"/>
    <w:rsid w:val="00611600"/>
    <w:rsid w:val="00613B79"/>
    <w:rsid w:val="00614116"/>
    <w:rsid w:val="00615F69"/>
    <w:rsid w:val="006160CE"/>
    <w:rsid w:val="00616640"/>
    <w:rsid w:val="00616849"/>
    <w:rsid w:val="0062001B"/>
    <w:rsid w:val="00620CAF"/>
    <w:rsid w:val="00622E18"/>
    <w:rsid w:val="0062379B"/>
    <w:rsid w:val="0062453A"/>
    <w:rsid w:val="00624C3A"/>
    <w:rsid w:val="006257C6"/>
    <w:rsid w:val="00626370"/>
    <w:rsid w:val="00627811"/>
    <w:rsid w:val="00627E25"/>
    <w:rsid w:val="0063092A"/>
    <w:rsid w:val="00630BB4"/>
    <w:rsid w:val="006324ED"/>
    <w:rsid w:val="00633309"/>
    <w:rsid w:val="00634D31"/>
    <w:rsid w:val="0063559F"/>
    <w:rsid w:val="0064042C"/>
    <w:rsid w:val="006404AF"/>
    <w:rsid w:val="00640BED"/>
    <w:rsid w:val="00640E14"/>
    <w:rsid w:val="006424AC"/>
    <w:rsid w:val="00642B11"/>
    <w:rsid w:val="0064347B"/>
    <w:rsid w:val="00643EBC"/>
    <w:rsid w:val="0064690C"/>
    <w:rsid w:val="00650338"/>
    <w:rsid w:val="00650E4F"/>
    <w:rsid w:val="0065131D"/>
    <w:rsid w:val="00651609"/>
    <w:rsid w:val="0065215B"/>
    <w:rsid w:val="006522F0"/>
    <w:rsid w:val="006527DA"/>
    <w:rsid w:val="006544ED"/>
    <w:rsid w:val="00655F21"/>
    <w:rsid w:val="006565FB"/>
    <w:rsid w:val="00657408"/>
    <w:rsid w:val="00657EB3"/>
    <w:rsid w:val="00661215"/>
    <w:rsid w:val="00661230"/>
    <w:rsid w:val="0066218F"/>
    <w:rsid w:val="0066320D"/>
    <w:rsid w:val="0066379E"/>
    <w:rsid w:val="00663AA8"/>
    <w:rsid w:val="006642EF"/>
    <w:rsid w:val="00664BF3"/>
    <w:rsid w:val="006665C4"/>
    <w:rsid w:val="00667C94"/>
    <w:rsid w:val="006702EE"/>
    <w:rsid w:val="00672A90"/>
    <w:rsid w:val="006732E8"/>
    <w:rsid w:val="00674F26"/>
    <w:rsid w:val="006750C6"/>
    <w:rsid w:val="00675669"/>
    <w:rsid w:val="00675DB0"/>
    <w:rsid w:val="0067671D"/>
    <w:rsid w:val="006770D5"/>
    <w:rsid w:val="0067764E"/>
    <w:rsid w:val="00677B74"/>
    <w:rsid w:val="00680582"/>
    <w:rsid w:val="00681621"/>
    <w:rsid w:val="00681CA6"/>
    <w:rsid w:val="006838ED"/>
    <w:rsid w:val="006845DA"/>
    <w:rsid w:val="00684803"/>
    <w:rsid w:val="00684A9E"/>
    <w:rsid w:val="00684FA8"/>
    <w:rsid w:val="00686DEB"/>
    <w:rsid w:val="00687523"/>
    <w:rsid w:val="0069082D"/>
    <w:rsid w:val="00690D47"/>
    <w:rsid w:val="00692B50"/>
    <w:rsid w:val="006944D0"/>
    <w:rsid w:val="006947CE"/>
    <w:rsid w:val="00696A0E"/>
    <w:rsid w:val="0069754F"/>
    <w:rsid w:val="006A039B"/>
    <w:rsid w:val="006A2955"/>
    <w:rsid w:val="006A3707"/>
    <w:rsid w:val="006A3C0A"/>
    <w:rsid w:val="006A47BC"/>
    <w:rsid w:val="006A6335"/>
    <w:rsid w:val="006A718A"/>
    <w:rsid w:val="006B05A6"/>
    <w:rsid w:val="006B1154"/>
    <w:rsid w:val="006B1A8C"/>
    <w:rsid w:val="006B3376"/>
    <w:rsid w:val="006B439B"/>
    <w:rsid w:val="006B4BFB"/>
    <w:rsid w:val="006B5283"/>
    <w:rsid w:val="006B598C"/>
    <w:rsid w:val="006B5B07"/>
    <w:rsid w:val="006B6FDA"/>
    <w:rsid w:val="006C052E"/>
    <w:rsid w:val="006C1449"/>
    <w:rsid w:val="006C278B"/>
    <w:rsid w:val="006C2DD3"/>
    <w:rsid w:val="006C3859"/>
    <w:rsid w:val="006C3F3D"/>
    <w:rsid w:val="006C483B"/>
    <w:rsid w:val="006C4903"/>
    <w:rsid w:val="006C5505"/>
    <w:rsid w:val="006C5CE4"/>
    <w:rsid w:val="006C5EC2"/>
    <w:rsid w:val="006C659F"/>
    <w:rsid w:val="006C6909"/>
    <w:rsid w:val="006C6C04"/>
    <w:rsid w:val="006C7661"/>
    <w:rsid w:val="006D214F"/>
    <w:rsid w:val="006D30E4"/>
    <w:rsid w:val="006D55A0"/>
    <w:rsid w:val="006D5C04"/>
    <w:rsid w:val="006D7E40"/>
    <w:rsid w:val="006E049A"/>
    <w:rsid w:val="006E0A0A"/>
    <w:rsid w:val="006E1922"/>
    <w:rsid w:val="006E1A48"/>
    <w:rsid w:val="006E2223"/>
    <w:rsid w:val="006E2AD2"/>
    <w:rsid w:val="006E2B95"/>
    <w:rsid w:val="006E307F"/>
    <w:rsid w:val="006E374A"/>
    <w:rsid w:val="006E38C0"/>
    <w:rsid w:val="006E517C"/>
    <w:rsid w:val="006E5534"/>
    <w:rsid w:val="006E6322"/>
    <w:rsid w:val="006E6756"/>
    <w:rsid w:val="006E6A5B"/>
    <w:rsid w:val="006E7FAA"/>
    <w:rsid w:val="006F0C27"/>
    <w:rsid w:val="006F0E75"/>
    <w:rsid w:val="006F358A"/>
    <w:rsid w:val="006F3A0B"/>
    <w:rsid w:val="006F464F"/>
    <w:rsid w:val="006F60AE"/>
    <w:rsid w:val="006F6467"/>
    <w:rsid w:val="006F74AE"/>
    <w:rsid w:val="006F784C"/>
    <w:rsid w:val="00700CD7"/>
    <w:rsid w:val="007013EE"/>
    <w:rsid w:val="00701E29"/>
    <w:rsid w:val="00701E2C"/>
    <w:rsid w:val="00702991"/>
    <w:rsid w:val="007031AF"/>
    <w:rsid w:val="00703645"/>
    <w:rsid w:val="00704751"/>
    <w:rsid w:val="007047AB"/>
    <w:rsid w:val="007056B4"/>
    <w:rsid w:val="00706299"/>
    <w:rsid w:val="007105CD"/>
    <w:rsid w:val="007108CF"/>
    <w:rsid w:val="00711102"/>
    <w:rsid w:val="0071140F"/>
    <w:rsid w:val="00711949"/>
    <w:rsid w:val="007124A3"/>
    <w:rsid w:val="00712D35"/>
    <w:rsid w:val="00713EAC"/>
    <w:rsid w:val="007154BF"/>
    <w:rsid w:val="00715C1C"/>
    <w:rsid w:val="00715D65"/>
    <w:rsid w:val="00717BC1"/>
    <w:rsid w:val="0072054B"/>
    <w:rsid w:val="00721452"/>
    <w:rsid w:val="00721977"/>
    <w:rsid w:val="00721BA5"/>
    <w:rsid w:val="00721C09"/>
    <w:rsid w:val="00721D26"/>
    <w:rsid w:val="00722496"/>
    <w:rsid w:val="00722883"/>
    <w:rsid w:val="00723017"/>
    <w:rsid w:val="007234BB"/>
    <w:rsid w:val="007240F8"/>
    <w:rsid w:val="007247EF"/>
    <w:rsid w:val="0072523E"/>
    <w:rsid w:val="007254B1"/>
    <w:rsid w:val="00727202"/>
    <w:rsid w:val="00727D74"/>
    <w:rsid w:val="00730488"/>
    <w:rsid w:val="00733A59"/>
    <w:rsid w:val="007349B3"/>
    <w:rsid w:val="00734E47"/>
    <w:rsid w:val="00735821"/>
    <w:rsid w:val="007368B8"/>
    <w:rsid w:val="00736E6D"/>
    <w:rsid w:val="00737984"/>
    <w:rsid w:val="0074115E"/>
    <w:rsid w:val="00741F57"/>
    <w:rsid w:val="007426F1"/>
    <w:rsid w:val="00743525"/>
    <w:rsid w:val="00745FFA"/>
    <w:rsid w:val="00746AF5"/>
    <w:rsid w:val="00751512"/>
    <w:rsid w:val="007519EE"/>
    <w:rsid w:val="00751E76"/>
    <w:rsid w:val="0075311C"/>
    <w:rsid w:val="00753261"/>
    <w:rsid w:val="00753EF3"/>
    <w:rsid w:val="007543B9"/>
    <w:rsid w:val="007560AC"/>
    <w:rsid w:val="007576AB"/>
    <w:rsid w:val="007579A6"/>
    <w:rsid w:val="00757EC4"/>
    <w:rsid w:val="007603E9"/>
    <w:rsid w:val="00762836"/>
    <w:rsid w:val="00763230"/>
    <w:rsid w:val="00763797"/>
    <w:rsid w:val="00766181"/>
    <w:rsid w:val="00766237"/>
    <w:rsid w:val="0076773A"/>
    <w:rsid w:val="007702AF"/>
    <w:rsid w:val="00771F21"/>
    <w:rsid w:val="0077296F"/>
    <w:rsid w:val="00772D73"/>
    <w:rsid w:val="00773D1A"/>
    <w:rsid w:val="00774D1D"/>
    <w:rsid w:val="00774DF0"/>
    <w:rsid w:val="00777390"/>
    <w:rsid w:val="00777DF0"/>
    <w:rsid w:val="00780A8C"/>
    <w:rsid w:val="007813A0"/>
    <w:rsid w:val="00783C97"/>
    <w:rsid w:val="0078423A"/>
    <w:rsid w:val="00785F5E"/>
    <w:rsid w:val="00787D6B"/>
    <w:rsid w:val="007910AF"/>
    <w:rsid w:val="007910E9"/>
    <w:rsid w:val="00791508"/>
    <w:rsid w:val="0079207D"/>
    <w:rsid w:val="0079294B"/>
    <w:rsid w:val="00794C66"/>
    <w:rsid w:val="00795753"/>
    <w:rsid w:val="0079642F"/>
    <w:rsid w:val="007968AD"/>
    <w:rsid w:val="00796B1B"/>
    <w:rsid w:val="00796E91"/>
    <w:rsid w:val="007975A7"/>
    <w:rsid w:val="007A0337"/>
    <w:rsid w:val="007A1711"/>
    <w:rsid w:val="007A226D"/>
    <w:rsid w:val="007A2B37"/>
    <w:rsid w:val="007A3AEF"/>
    <w:rsid w:val="007A554B"/>
    <w:rsid w:val="007A5A98"/>
    <w:rsid w:val="007A5EAC"/>
    <w:rsid w:val="007A6548"/>
    <w:rsid w:val="007B0AB5"/>
    <w:rsid w:val="007B3404"/>
    <w:rsid w:val="007B377A"/>
    <w:rsid w:val="007B37C2"/>
    <w:rsid w:val="007B3F4F"/>
    <w:rsid w:val="007B437A"/>
    <w:rsid w:val="007B51A5"/>
    <w:rsid w:val="007B5ADC"/>
    <w:rsid w:val="007B622B"/>
    <w:rsid w:val="007C12F1"/>
    <w:rsid w:val="007C2C68"/>
    <w:rsid w:val="007C46AA"/>
    <w:rsid w:val="007C6587"/>
    <w:rsid w:val="007C6E20"/>
    <w:rsid w:val="007C70D1"/>
    <w:rsid w:val="007D298E"/>
    <w:rsid w:val="007D2A65"/>
    <w:rsid w:val="007D5B03"/>
    <w:rsid w:val="007D7659"/>
    <w:rsid w:val="007D7DDB"/>
    <w:rsid w:val="007E125E"/>
    <w:rsid w:val="007E2366"/>
    <w:rsid w:val="007E2B9E"/>
    <w:rsid w:val="007E38EB"/>
    <w:rsid w:val="007E3E36"/>
    <w:rsid w:val="007E4ACC"/>
    <w:rsid w:val="007E4F79"/>
    <w:rsid w:val="007E5CA1"/>
    <w:rsid w:val="007E67EB"/>
    <w:rsid w:val="007E7046"/>
    <w:rsid w:val="007F1D80"/>
    <w:rsid w:val="007F43EA"/>
    <w:rsid w:val="007F4BBC"/>
    <w:rsid w:val="007F4FE5"/>
    <w:rsid w:val="007F5389"/>
    <w:rsid w:val="007F59C9"/>
    <w:rsid w:val="007F6CC5"/>
    <w:rsid w:val="007F6DB0"/>
    <w:rsid w:val="007F6E63"/>
    <w:rsid w:val="007F7AA8"/>
    <w:rsid w:val="008005DE"/>
    <w:rsid w:val="00801EE5"/>
    <w:rsid w:val="008025A0"/>
    <w:rsid w:val="00802B5E"/>
    <w:rsid w:val="00803C0D"/>
    <w:rsid w:val="00804FCC"/>
    <w:rsid w:val="00805978"/>
    <w:rsid w:val="00805DA7"/>
    <w:rsid w:val="008065FA"/>
    <w:rsid w:val="008068CB"/>
    <w:rsid w:val="0080734A"/>
    <w:rsid w:val="00807AF7"/>
    <w:rsid w:val="008105A3"/>
    <w:rsid w:val="008109A1"/>
    <w:rsid w:val="00811F37"/>
    <w:rsid w:val="00814519"/>
    <w:rsid w:val="00814734"/>
    <w:rsid w:val="00815F74"/>
    <w:rsid w:val="008162CF"/>
    <w:rsid w:val="00816B72"/>
    <w:rsid w:val="008177F0"/>
    <w:rsid w:val="00820A69"/>
    <w:rsid w:val="008221E4"/>
    <w:rsid w:val="00823962"/>
    <w:rsid w:val="00823969"/>
    <w:rsid w:val="00824292"/>
    <w:rsid w:val="00824A0F"/>
    <w:rsid w:val="00824ED2"/>
    <w:rsid w:val="008263C3"/>
    <w:rsid w:val="008268C5"/>
    <w:rsid w:val="00826EB2"/>
    <w:rsid w:val="00827370"/>
    <w:rsid w:val="00827A82"/>
    <w:rsid w:val="0083080D"/>
    <w:rsid w:val="00832302"/>
    <w:rsid w:val="008326C1"/>
    <w:rsid w:val="00833C37"/>
    <w:rsid w:val="00834439"/>
    <w:rsid w:val="00834993"/>
    <w:rsid w:val="00835ADE"/>
    <w:rsid w:val="008400DE"/>
    <w:rsid w:val="0084018C"/>
    <w:rsid w:val="00840749"/>
    <w:rsid w:val="008408CE"/>
    <w:rsid w:val="008413AD"/>
    <w:rsid w:val="00842FDC"/>
    <w:rsid w:val="00843152"/>
    <w:rsid w:val="00843C1E"/>
    <w:rsid w:val="00843FB3"/>
    <w:rsid w:val="00845029"/>
    <w:rsid w:val="008451FF"/>
    <w:rsid w:val="008457DC"/>
    <w:rsid w:val="00845B2F"/>
    <w:rsid w:val="0084608E"/>
    <w:rsid w:val="00847C8F"/>
    <w:rsid w:val="00847E59"/>
    <w:rsid w:val="0085018E"/>
    <w:rsid w:val="0085065A"/>
    <w:rsid w:val="00851E4A"/>
    <w:rsid w:val="00853BE2"/>
    <w:rsid w:val="0085518B"/>
    <w:rsid w:val="008556B1"/>
    <w:rsid w:val="00860DC9"/>
    <w:rsid w:val="00860E00"/>
    <w:rsid w:val="0086161D"/>
    <w:rsid w:val="00861647"/>
    <w:rsid w:val="00862840"/>
    <w:rsid w:val="008636E3"/>
    <w:rsid w:val="00863B32"/>
    <w:rsid w:val="0086566B"/>
    <w:rsid w:val="00867F09"/>
    <w:rsid w:val="00871B63"/>
    <w:rsid w:val="00872C02"/>
    <w:rsid w:val="00872CFC"/>
    <w:rsid w:val="0087338B"/>
    <w:rsid w:val="00873527"/>
    <w:rsid w:val="00873590"/>
    <w:rsid w:val="008747A6"/>
    <w:rsid w:val="00874ABC"/>
    <w:rsid w:val="008756EE"/>
    <w:rsid w:val="00875DEC"/>
    <w:rsid w:val="00875F68"/>
    <w:rsid w:val="008763C4"/>
    <w:rsid w:val="00876959"/>
    <w:rsid w:val="00877F67"/>
    <w:rsid w:val="008804E4"/>
    <w:rsid w:val="00880508"/>
    <w:rsid w:val="008805C0"/>
    <w:rsid w:val="008806AF"/>
    <w:rsid w:val="00881AD9"/>
    <w:rsid w:val="00882766"/>
    <w:rsid w:val="00883012"/>
    <w:rsid w:val="0088331A"/>
    <w:rsid w:val="00884723"/>
    <w:rsid w:val="00884815"/>
    <w:rsid w:val="00884981"/>
    <w:rsid w:val="0088594C"/>
    <w:rsid w:val="00886AF1"/>
    <w:rsid w:val="00887A65"/>
    <w:rsid w:val="00887E19"/>
    <w:rsid w:val="0089124A"/>
    <w:rsid w:val="00891B93"/>
    <w:rsid w:val="00891E53"/>
    <w:rsid w:val="008921A4"/>
    <w:rsid w:val="00892333"/>
    <w:rsid w:val="008928B0"/>
    <w:rsid w:val="008939B5"/>
    <w:rsid w:val="00893B3A"/>
    <w:rsid w:val="00895889"/>
    <w:rsid w:val="00895CCA"/>
    <w:rsid w:val="00897904"/>
    <w:rsid w:val="008A0E7F"/>
    <w:rsid w:val="008A1345"/>
    <w:rsid w:val="008A2DA1"/>
    <w:rsid w:val="008A35DA"/>
    <w:rsid w:val="008A371D"/>
    <w:rsid w:val="008A3B36"/>
    <w:rsid w:val="008A593A"/>
    <w:rsid w:val="008A5B3F"/>
    <w:rsid w:val="008A6883"/>
    <w:rsid w:val="008B0065"/>
    <w:rsid w:val="008B0717"/>
    <w:rsid w:val="008B46ED"/>
    <w:rsid w:val="008B4878"/>
    <w:rsid w:val="008B4FE0"/>
    <w:rsid w:val="008B56EA"/>
    <w:rsid w:val="008B5B45"/>
    <w:rsid w:val="008B5BDA"/>
    <w:rsid w:val="008B6669"/>
    <w:rsid w:val="008C0387"/>
    <w:rsid w:val="008C0557"/>
    <w:rsid w:val="008C06F6"/>
    <w:rsid w:val="008C08E6"/>
    <w:rsid w:val="008C0CA8"/>
    <w:rsid w:val="008C1492"/>
    <w:rsid w:val="008C19FD"/>
    <w:rsid w:val="008C373D"/>
    <w:rsid w:val="008C77CF"/>
    <w:rsid w:val="008C7893"/>
    <w:rsid w:val="008D2212"/>
    <w:rsid w:val="008D243B"/>
    <w:rsid w:val="008D38A4"/>
    <w:rsid w:val="008D5206"/>
    <w:rsid w:val="008D53AD"/>
    <w:rsid w:val="008D7107"/>
    <w:rsid w:val="008D716E"/>
    <w:rsid w:val="008D7646"/>
    <w:rsid w:val="008E06EB"/>
    <w:rsid w:val="008E146C"/>
    <w:rsid w:val="008E22E6"/>
    <w:rsid w:val="008E2844"/>
    <w:rsid w:val="008E3021"/>
    <w:rsid w:val="008E385C"/>
    <w:rsid w:val="008E3CB1"/>
    <w:rsid w:val="008E4F66"/>
    <w:rsid w:val="008E5000"/>
    <w:rsid w:val="008E5BD7"/>
    <w:rsid w:val="008E67A3"/>
    <w:rsid w:val="008E78AF"/>
    <w:rsid w:val="008F0316"/>
    <w:rsid w:val="008F05CE"/>
    <w:rsid w:val="008F1D55"/>
    <w:rsid w:val="008F2976"/>
    <w:rsid w:val="008F425B"/>
    <w:rsid w:val="008F430B"/>
    <w:rsid w:val="008F4483"/>
    <w:rsid w:val="008F4F7C"/>
    <w:rsid w:val="008F53F4"/>
    <w:rsid w:val="009002E2"/>
    <w:rsid w:val="00900E76"/>
    <w:rsid w:val="0090255C"/>
    <w:rsid w:val="00902B0D"/>
    <w:rsid w:val="00904C3C"/>
    <w:rsid w:val="00904FA5"/>
    <w:rsid w:val="009060CA"/>
    <w:rsid w:val="00906645"/>
    <w:rsid w:val="009077C4"/>
    <w:rsid w:val="00907B59"/>
    <w:rsid w:val="009101B4"/>
    <w:rsid w:val="009103DD"/>
    <w:rsid w:val="009105A8"/>
    <w:rsid w:val="009105AC"/>
    <w:rsid w:val="009112E8"/>
    <w:rsid w:val="009115DC"/>
    <w:rsid w:val="009123E6"/>
    <w:rsid w:val="00912780"/>
    <w:rsid w:val="00912A4C"/>
    <w:rsid w:val="00912CEB"/>
    <w:rsid w:val="00912E10"/>
    <w:rsid w:val="009154B8"/>
    <w:rsid w:val="00915FED"/>
    <w:rsid w:val="00917C8E"/>
    <w:rsid w:val="0092271B"/>
    <w:rsid w:val="00922AC8"/>
    <w:rsid w:val="00924337"/>
    <w:rsid w:val="00924B25"/>
    <w:rsid w:val="00926DD3"/>
    <w:rsid w:val="0093161E"/>
    <w:rsid w:val="00931ACE"/>
    <w:rsid w:val="009322E3"/>
    <w:rsid w:val="00933757"/>
    <w:rsid w:val="00933DD1"/>
    <w:rsid w:val="00934258"/>
    <w:rsid w:val="009342F5"/>
    <w:rsid w:val="00935582"/>
    <w:rsid w:val="0093692C"/>
    <w:rsid w:val="0093697F"/>
    <w:rsid w:val="00936E31"/>
    <w:rsid w:val="0093778F"/>
    <w:rsid w:val="00937A6E"/>
    <w:rsid w:val="00937C64"/>
    <w:rsid w:val="00940509"/>
    <w:rsid w:val="00940A24"/>
    <w:rsid w:val="00941697"/>
    <w:rsid w:val="009420F4"/>
    <w:rsid w:val="00943140"/>
    <w:rsid w:val="0094334B"/>
    <w:rsid w:val="00943A81"/>
    <w:rsid w:val="00944982"/>
    <w:rsid w:val="00945C89"/>
    <w:rsid w:val="00945D89"/>
    <w:rsid w:val="0094605C"/>
    <w:rsid w:val="00946ADC"/>
    <w:rsid w:val="0094706A"/>
    <w:rsid w:val="0094778D"/>
    <w:rsid w:val="00947D7A"/>
    <w:rsid w:val="009507C6"/>
    <w:rsid w:val="0095160B"/>
    <w:rsid w:val="009547A6"/>
    <w:rsid w:val="0095645F"/>
    <w:rsid w:val="00956B25"/>
    <w:rsid w:val="0095765E"/>
    <w:rsid w:val="00957666"/>
    <w:rsid w:val="009606F9"/>
    <w:rsid w:val="00961116"/>
    <w:rsid w:val="00961A63"/>
    <w:rsid w:val="00961E77"/>
    <w:rsid w:val="00962036"/>
    <w:rsid w:val="009627DA"/>
    <w:rsid w:val="00962E24"/>
    <w:rsid w:val="00963E52"/>
    <w:rsid w:val="00965406"/>
    <w:rsid w:val="00965DCB"/>
    <w:rsid w:val="00966425"/>
    <w:rsid w:val="009666E9"/>
    <w:rsid w:val="009676C1"/>
    <w:rsid w:val="00967B36"/>
    <w:rsid w:val="009700DD"/>
    <w:rsid w:val="00970677"/>
    <w:rsid w:val="009707C1"/>
    <w:rsid w:val="00970F94"/>
    <w:rsid w:val="00971490"/>
    <w:rsid w:val="00971BEC"/>
    <w:rsid w:val="00972CDF"/>
    <w:rsid w:val="00975130"/>
    <w:rsid w:val="00975719"/>
    <w:rsid w:val="009759BC"/>
    <w:rsid w:val="0097713E"/>
    <w:rsid w:val="009776A4"/>
    <w:rsid w:val="00981FDA"/>
    <w:rsid w:val="009854E2"/>
    <w:rsid w:val="0098655F"/>
    <w:rsid w:val="009867B8"/>
    <w:rsid w:val="00986E2A"/>
    <w:rsid w:val="0098797B"/>
    <w:rsid w:val="00990F5E"/>
    <w:rsid w:val="00991AC9"/>
    <w:rsid w:val="00991F23"/>
    <w:rsid w:val="009920D5"/>
    <w:rsid w:val="009922BA"/>
    <w:rsid w:val="0099255F"/>
    <w:rsid w:val="009935E3"/>
    <w:rsid w:val="0099415B"/>
    <w:rsid w:val="00994250"/>
    <w:rsid w:val="0099477A"/>
    <w:rsid w:val="009948F4"/>
    <w:rsid w:val="00994B69"/>
    <w:rsid w:val="009954EC"/>
    <w:rsid w:val="00997A7B"/>
    <w:rsid w:val="009A2F7B"/>
    <w:rsid w:val="009A2FF3"/>
    <w:rsid w:val="009A3329"/>
    <w:rsid w:val="009A4279"/>
    <w:rsid w:val="009A4700"/>
    <w:rsid w:val="009A55FB"/>
    <w:rsid w:val="009A5E82"/>
    <w:rsid w:val="009A621D"/>
    <w:rsid w:val="009A6940"/>
    <w:rsid w:val="009A6A47"/>
    <w:rsid w:val="009A7FDF"/>
    <w:rsid w:val="009B042C"/>
    <w:rsid w:val="009B04A4"/>
    <w:rsid w:val="009B1167"/>
    <w:rsid w:val="009B1D82"/>
    <w:rsid w:val="009B2191"/>
    <w:rsid w:val="009B21F3"/>
    <w:rsid w:val="009B2DCF"/>
    <w:rsid w:val="009B44D4"/>
    <w:rsid w:val="009B4953"/>
    <w:rsid w:val="009B4966"/>
    <w:rsid w:val="009B64A5"/>
    <w:rsid w:val="009B7270"/>
    <w:rsid w:val="009C0BDF"/>
    <w:rsid w:val="009C22E9"/>
    <w:rsid w:val="009C2474"/>
    <w:rsid w:val="009C3263"/>
    <w:rsid w:val="009C3E70"/>
    <w:rsid w:val="009C5D7A"/>
    <w:rsid w:val="009C64AE"/>
    <w:rsid w:val="009C7A19"/>
    <w:rsid w:val="009D0A1E"/>
    <w:rsid w:val="009D2AFE"/>
    <w:rsid w:val="009D4416"/>
    <w:rsid w:val="009D5611"/>
    <w:rsid w:val="009D6300"/>
    <w:rsid w:val="009D6600"/>
    <w:rsid w:val="009D6756"/>
    <w:rsid w:val="009D7A8B"/>
    <w:rsid w:val="009E19E0"/>
    <w:rsid w:val="009E1CF5"/>
    <w:rsid w:val="009E1F4C"/>
    <w:rsid w:val="009E25BC"/>
    <w:rsid w:val="009E2E8B"/>
    <w:rsid w:val="009E3104"/>
    <w:rsid w:val="009E4C23"/>
    <w:rsid w:val="009E58BD"/>
    <w:rsid w:val="009E6016"/>
    <w:rsid w:val="009E629E"/>
    <w:rsid w:val="009E7CD8"/>
    <w:rsid w:val="009F04F6"/>
    <w:rsid w:val="009F1337"/>
    <w:rsid w:val="009F2B6C"/>
    <w:rsid w:val="009F33DB"/>
    <w:rsid w:val="009F4429"/>
    <w:rsid w:val="009F4D60"/>
    <w:rsid w:val="009F5456"/>
    <w:rsid w:val="009F5B79"/>
    <w:rsid w:val="009F7311"/>
    <w:rsid w:val="00A0081B"/>
    <w:rsid w:val="00A01561"/>
    <w:rsid w:val="00A01AAB"/>
    <w:rsid w:val="00A0245B"/>
    <w:rsid w:val="00A02E07"/>
    <w:rsid w:val="00A03F73"/>
    <w:rsid w:val="00A05789"/>
    <w:rsid w:val="00A07CF2"/>
    <w:rsid w:val="00A101B2"/>
    <w:rsid w:val="00A10614"/>
    <w:rsid w:val="00A117C6"/>
    <w:rsid w:val="00A11CEE"/>
    <w:rsid w:val="00A12F17"/>
    <w:rsid w:val="00A1384F"/>
    <w:rsid w:val="00A16EAE"/>
    <w:rsid w:val="00A1718A"/>
    <w:rsid w:val="00A17A22"/>
    <w:rsid w:val="00A23E2D"/>
    <w:rsid w:val="00A256FC"/>
    <w:rsid w:val="00A25EA6"/>
    <w:rsid w:val="00A26564"/>
    <w:rsid w:val="00A31171"/>
    <w:rsid w:val="00A3141C"/>
    <w:rsid w:val="00A31908"/>
    <w:rsid w:val="00A32D7E"/>
    <w:rsid w:val="00A339DC"/>
    <w:rsid w:val="00A3414B"/>
    <w:rsid w:val="00A345D1"/>
    <w:rsid w:val="00A34682"/>
    <w:rsid w:val="00A3598C"/>
    <w:rsid w:val="00A35B4A"/>
    <w:rsid w:val="00A36270"/>
    <w:rsid w:val="00A37640"/>
    <w:rsid w:val="00A40E05"/>
    <w:rsid w:val="00A4254F"/>
    <w:rsid w:val="00A42686"/>
    <w:rsid w:val="00A426AB"/>
    <w:rsid w:val="00A42F4B"/>
    <w:rsid w:val="00A45482"/>
    <w:rsid w:val="00A4579E"/>
    <w:rsid w:val="00A46615"/>
    <w:rsid w:val="00A46AE1"/>
    <w:rsid w:val="00A479C3"/>
    <w:rsid w:val="00A504DC"/>
    <w:rsid w:val="00A516F1"/>
    <w:rsid w:val="00A51795"/>
    <w:rsid w:val="00A5256E"/>
    <w:rsid w:val="00A52D8F"/>
    <w:rsid w:val="00A52EAF"/>
    <w:rsid w:val="00A536D9"/>
    <w:rsid w:val="00A53911"/>
    <w:rsid w:val="00A54254"/>
    <w:rsid w:val="00A54C64"/>
    <w:rsid w:val="00A54C6C"/>
    <w:rsid w:val="00A55308"/>
    <w:rsid w:val="00A55AF1"/>
    <w:rsid w:val="00A5680D"/>
    <w:rsid w:val="00A56AE1"/>
    <w:rsid w:val="00A56CA8"/>
    <w:rsid w:val="00A56E41"/>
    <w:rsid w:val="00A615EE"/>
    <w:rsid w:val="00A620F1"/>
    <w:rsid w:val="00A637FE"/>
    <w:rsid w:val="00A663B6"/>
    <w:rsid w:val="00A6745B"/>
    <w:rsid w:val="00A67E20"/>
    <w:rsid w:val="00A702E8"/>
    <w:rsid w:val="00A70745"/>
    <w:rsid w:val="00A72B4C"/>
    <w:rsid w:val="00A73273"/>
    <w:rsid w:val="00A734DF"/>
    <w:rsid w:val="00A736FB"/>
    <w:rsid w:val="00A7409E"/>
    <w:rsid w:val="00A75017"/>
    <w:rsid w:val="00A75B51"/>
    <w:rsid w:val="00A775C7"/>
    <w:rsid w:val="00A80362"/>
    <w:rsid w:val="00A80459"/>
    <w:rsid w:val="00A80519"/>
    <w:rsid w:val="00A82F17"/>
    <w:rsid w:val="00A831BF"/>
    <w:rsid w:val="00A84607"/>
    <w:rsid w:val="00A84906"/>
    <w:rsid w:val="00A859CF"/>
    <w:rsid w:val="00A85A0F"/>
    <w:rsid w:val="00A879A4"/>
    <w:rsid w:val="00A87CE4"/>
    <w:rsid w:val="00A87D27"/>
    <w:rsid w:val="00A9017F"/>
    <w:rsid w:val="00A901AC"/>
    <w:rsid w:val="00A9026A"/>
    <w:rsid w:val="00A9328E"/>
    <w:rsid w:val="00A944F5"/>
    <w:rsid w:val="00A946DA"/>
    <w:rsid w:val="00A95255"/>
    <w:rsid w:val="00A97C13"/>
    <w:rsid w:val="00AA005B"/>
    <w:rsid w:val="00AA14A4"/>
    <w:rsid w:val="00AA1C15"/>
    <w:rsid w:val="00AA1C64"/>
    <w:rsid w:val="00AA1E91"/>
    <w:rsid w:val="00AA25B8"/>
    <w:rsid w:val="00AA2889"/>
    <w:rsid w:val="00AA2977"/>
    <w:rsid w:val="00AA40FA"/>
    <w:rsid w:val="00AA5935"/>
    <w:rsid w:val="00AA6156"/>
    <w:rsid w:val="00AA644F"/>
    <w:rsid w:val="00AA6C2C"/>
    <w:rsid w:val="00AA6F62"/>
    <w:rsid w:val="00AA7AE3"/>
    <w:rsid w:val="00AB08C4"/>
    <w:rsid w:val="00AB2682"/>
    <w:rsid w:val="00AB2BBA"/>
    <w:rsid w:val="00AB32A9"/>
    <w:rsid w:val="00AB3FA7"/>
    <w:rsid w:val="00AB544F"/>
    <w:rsid w:val="00AB581D"/>
    <w:rsid w:val="00AB6406"/>
    <w:rsid w:val="00AB69E5"/>
    <w:rsid w:val="00AC03F2"/>
    <w:rsid w:val="00AC14D4"/>
    <w:rsid w:val="00AC3566"/>
    <w:rsid w:val="00AC3B51"/>
    <w:rsid w:val="00AC4C7B"/>
    <w:rsid w:val="00AC4E67"/>
    <w:rsid w:val="00AC6701"/>
    <w:rsid w:val="00AC69AB"/>
    <w:rsid w:val="00AC7AAC"/>
    <w:rsid w:val="00AD0329"/>
    <w:rsid w:val="00AD0362"/>
    <w:rsid w:val="00AD0531"/>
    <w:rsid w:val="00AD082C"/>
    <w:rsid w:val="00AD08C4"/>
    <w:rsid w:val="00AD0F77"/>
    <w:rsid w:val="00AD1592"/>
    <w:rsid w:val="00AD1D68"/>
    <w:rsid w:val="00AD2B22"/>
    <w:rsid w:val="00AD39D6"/>
    <w:rsid w:val="00AD3FE8"/>
    <w:rsid w:val="00AD582C"/>
    <w:rsid w:val="00AD6ED6"/>
    <w:rsid w:val="00AD7145"/>
    <w:rsid w:val="00AE0790"/>
    <w:rsid w:val="00AE145D"/>
    <w:rsid w:val="00AE1751"/>
    <w:rsid w:val="00AE196D"/>
    <w:rsid w:val="00AE2E9E"/>
    <w:rsid w:val="00AE3401"/>
    <w:rsid w:val="00AE41F1"/>
    <w:rsid w:val="00AE44E6"/>
    <w:rsid w:val="00AE4E78"/>
    <w:rsid w:val="00AE5A7B"/>
    <w:rsid w:val="00AE7AF9"/>
    <w:rsid w:val="00AE7C95"/>
    <w:rsid w:val="00AF0FFF"/>
    <w:rsid w:val="00AF234E"/>
    <w:rsid w:val="00AF26C1"/>
    <w:rsid w:val="00AF26E1"/>
    <w:rsid w:val="00AF32BE"/>
    <w:rsid w:val="00AF56FF"/>
    <w:rsid w:val="00AF5A03"/>
    <w:rsid w:val="00AF5B94"/>
    <w:rsid w:val="00AF603D"/>
    <w:rsid w:val="00AF6985"/>
    <w:rsid w:val="00AF69EA"/>
    <w:rsid w:val="00B00476"/>
    <w:rsid w:val="00B02A04"/>
    <w:rsid w:val="00B03239"/>
    <w:rsid w:val="00B03C8F"/>
    <w:rsid w:val="00B04612"/>
    <w:rsid w:val="00B05A86"/>
    <w:rsid w:val="00B05B3F"/>
    <w:rsid w:val="00B0680D"/>
    <w:rsid w:val="00B10E2E"/>
    <w:rsid w:val="00B1129A"/>
    <w:rsid w:val="00B1138C"/>
    <w:rsid w:val="00B1294D"/>
    <w:rsid w:val="00B12F3E"/>
    <w:rsid w:val="00B1306D"/>
    <w:rsid w:val="00B14021"/>
    <w:rsid w:val="00B14863"/>
    <w:rsid w:val="00B21149"/>
    <w:rsid w:val="00B22793"/>
    <w:rsid w:val="00B23E22"/>
    <w:rsid w:val="00B247E9"/>
    <w:rsid w:val="00B25909"/>
    <w:rsid w:val="00B268C6"/>
    <w:rsid w:val="00B30480"/>
    <w:rsid w:val="00B32377"/>
    <w:rsid w:val="00B32878"/>
    <w:rsid w:val="00B34B64"/>
    <w:rsid w:val="00B35A45"/>
    <w:rsid w:val="00B365E1"/>
    <w:rsid w:val="00B378D3"/>
    <w:rsid w:val="00B37BDD"/>
    <w:rsid w:val="00B40FD5"/>
    <w:rsid w:val="00B42511"/>
    <w:rsid w:val="00B44B2D"/>
    <w:rsid w:val="00B46306"/>
    <w:rsid w:val="00B463C3"/>
    <w:rsid w:val="00B507D8"/>
    <w:rsid w:val="00B511E5"/>
    <w:rsid w:val="00B515FE"/>
    <w:rsid w:val="00B51A9B"/>
    <w:rsid w:val="00B53476"/>
    <w:rsid w:val="00B538EB"/>
    <w:rsid w:val="00B54171"/>
    <w:rsid w:val="00B562FF"/>
    <w:rsid w:val="00B564F8"/>
    <w:rsid w:val="00B56FE9"/>
    <w:rsid w:val="00B57B09"/>
    <w:rsid w:val="00B57D3B"/>
    <w:rsid w:val="00B6030C"/>
    <w:rsid w:val="00B6113F"/>
    <w:rsid w:val="00B61495"/>
    <w:rsid w:val="00B62A10"/>
    <w:rsid w:val="00B62EBB"/>
    <w:rsid w:val="00B657B9"/>
    <w:rsid w:val="00B65E5B"/>
    <w:rsid w:val="00B66394"/>
    <w:rsid w:val="00B677CA"/>
    <w:rsid w:val="00B67ACB"/>
    <w:rsid w:val="00B71121"/>
    <w:rsid w:val="00B71E5F"/>
    <w:rsid w:val="00B72376"/>
    <w:rsid w:val="00B7360A"/>
    <w:rsid w:val="00B73CE8"/>
    <w:rsid w:val="00B745E4"/>
    <w:rsid w:val="00B755D0"/>
    <w:rsid w:val="00B76DF3"/>
    <w:rsid w:val="00B772BE"/>
    <w:rsid w:val="00B80DEB"/>
    <w:rsid w:val="00B80EBE"/>
    <w:rsid w:val="00B81B47"/>
    <w:rsid w:val="00B81E41"/>
    <w:rsid w:val="00B82C94"/>
    <w:rsid w:val="00B8311F"/>
    <w:rsid w:val="00B8323B"/>
    <w:rsid w:val="00B83C29"/>
    <w:rsid w:val="00B83ED3"/>
    <w:rsid w:val="00B848C3"/>
    <w:rsid w:val="00B84A63"/>
    <w:rsid w:val="00B85158"/>
    <w:rsid w:val="00B85D00"/>
    <w:rsid w:val="00B86111"/>
    <w:rsid w:val="00B868A3"/>
    <w:rsid w:val="00B86CDA"/>
    <w:rsid w:val="00B90219"/>
    <w:rsid w:val="00B911D1"/>
    <w:rsid w:val="00B9270E"/>
    <w:rsid w:val="00B936B9"/>
    <w:rsid w:val="00B9513F"/>
    <w:rsid w:val="00B95CF0"/>
    <w:rsid w:val="00B960FF"/>
    <w:rsid w:val="00B96442"/>
    <w:rsid w:val="00B96BFF"/>
    <w:rsid w:val="00B9720C"/>
    <w:rsid w:val="00BA0D44"/>
    <w:rsid w:val="00BA142B"/>
    <w:rsid w:val="00BA1FC5"/>
    <w:rsid w:val="00BA37AE"/>
    <w:rsid w:val="00BA38CF"/>
    <w:rsid w:val="00BA447C"/>
    <w:rsid w:val="00BA5E5B"/>
    <w:rsid w:val="00BA746C"/>
    <w:rsid w:val="00BB1264"/>
    <w:rsid w:val="00BB1F88"/>
    <w:rsid w:val="00BB275A"/>
    <w:rsid w:val="00BB3EE6"/>
    <w:rsid w:val="00BB488D"/>
    <w:rsid w:val="00BB574A"/>
    <w:rsid w:val="00BB6DD6"/>
    <w:rsid w:val="00BB738F"/>
    <w:rsid w:val="00BB7444"/>
    <w:rsid w:val="00BB74C2"/>
    <w:rsid w:val="00BB7A79"/>
    <w:rsid w:val="00BC097A"/>
    <w:rsid w:val="00BC1A84"/>
    <w:rsid w:val="00BC1CFA"/>
    <w:rsid w:val="00BC2420"/>
    <w:rsid w:val="00BC2586"/>
    <w:rsid w:val="00BC2DB5"/>
    <w:rsid w:val="00BC2E5F"/>
    <w:rsid w:val="00BC45A9"/>
    <w:rsid w:val="00BC50CB"/>
    <w:rsid w:val="00BC734A"/>
    <w:rsid w:val="00BC7BF4"/>
    <w:rsid w:val="00BD06EA"/>
    <w:rsid w:val="00BD19EF"/>
    <w:rsid w:val="00BD2636"/>
    <w:rsid w:val="00BD291E"/>
    <w:rsid w:val="00BD2972"/>
    <w:rsid w:val="00BD39C6"/>
    <w:rsid w:val="00BD6123"/>
    <w:rsid w:val="00BD69E8"/>
    <w:rsid w:val="00BD6D05"/>
    <w:rsid w:val="00BD6E99"/>
    <w:rsid w:val="00BD7FA0"/>
    <w:rsid w:val="00BE074F"/>
    <w:rsid w:val="00BE1429"/>
    <w:rsid w:val="00BE2783"/>
    <w:rsid w:val="00BE2C7B"/>
    <w:rsid w:val="00BE2EAC"/>
    <w:rsid w:val="00BE54BD"/>
    <w:rsid w:val="00BE6529"/>
    <w:rsid w:val="00BE65C6"/>
    <w:rsid w:val="00BE6B25"/>
    <w:rsid w:val="00BF0951"/>
    <w:rsid w:val="00BF1F65"/>
    <w:rsid w:val="00BF3315"/>
    <w:rsid w:val="00BF3517"/>
    <w:rsid w:val="00BF3E50"/>
    <w:rsid w:val="00BF3F48"/>
    <w:rsid w:val="00BF3FB8"/>
    <w:rsid w:val="00BF46E6"/>
    <w:rsid w:val="00BF51F4"/>
    <w:rsid w:val="00BF6154"/>
    <w:rsid w:val="00BF67C7"/>
    <w:rsid w:val="00BF71A2"/>
    <w:rsid w:val="00BF7DEC"/>
    <w:rsid w:val="00C00442"/>
    <w:rsid w:val="00C00B6A"/>
    <w:rsid w:val="00C01F6C"/>
    <w:rsid w:val="00C0277C"/>
    <w:rsid w:val="00C02F6C"/>
    <w:rsid w:val="00C03CD1"/>
    <w:rsid w:val="00C04471"/>
    <w:rsid w:val="00C048CD"/>
    <w:rsid w:val="00C06A39"/>
    <w:rsid w:val="00C0733A"/>
    <w:rsid w:val="00C075EA"/>
    <w:rsid w:val="00C07AE9"/>
    <w:rsid w:val="00C124A4"/>
    <w:rsid w:val="00C139EA"/>
    <w:rsid w:val="00C20271"/>
    <w:rsid w:val="00C2111C"/>
    <w:rsid w:val="00C2140F"/>
    <w:rsid w:val="00C23738"/>
    <w:rsid w:val="00C23C85"/>
    <w:rsid w:val="00C24555"/>
    <w:rsid w:val="00C248E9"/>
    <w:rsid w:val="00C24F26"/>
    <w:rsid w:val="00C254D5"/>
    <w:rsid w:val="00C25B91"/>
    <w:rsid w:val="00C2791D"/>
    <w:rsid w:val="00C27BCB"/>
    <w:rsid w:val="00C304A0"/>
    <w:rsid w:val="00C31592"/>
    <w:rsid w:val="00C31EBE"/>
    <w:rsid w:val="00C31F02"/>
    <w:rsid w:val="00C32D56"/>
    <w:rsid w:val="00C33B47"/>
    <w:rsid w:val="00C33FDD"/>
    <w:rsid w:val="00C3514B"/>
    <w:rsid w:val="00C355BC"/>
    <w:rsid w:val="00C36BB7"/>
    <w:rsid w:val="00C401FD"/>
    <w:rsid w:val="00C40737"/>
    <w:rsid w:val="00C40E6F"/>
    <w:rsid w:val="00C41A2C"/>
    <w:rsid w:val="00C4251B"/>
    <w:rsid w:val="00C42B04"/>
    <w:rsid w:val="00C441D1"/>
    <w:rsid w:val="00C44311"/>
    <w:rsid w:val="00C44B53"/>
    <w:rsid w:val="00C44B75"/>
    <w:rsid w:val="00C451AE"/>
    <w:rsid w:val="00C45FAE"/>
    <w:rsid w:val="00C477ED"/>
    <w:rsid w:val="00C50DB8"/>
    <w:rsid w:val="00C51412"/>
    <w:rsid w:val="00C51878"/>
    <w:rsid w:val="00C52E7D"/>
    <w:rsid w:val="00C52F2C"/>
    <w:rsid w:val="00C55129"/>
    <w:rsid w:val="00C55D6D"/>
    <w:rsid w:val="00C56307"/>
    <w:rsid w:val="00C56CE2"/>
    <w:rsid w:val="00C60607"/>
    <w:rsid w:val="00C60974"/>
    <w:rsid w:val="00C616E3"/>
    <w:rsid w:val="00C62768"/>
    <w:rsid w:val="00C62C28"/>
    <w:rsid w:val="00C62E67"/>
    <w:rsid w:val="00C63126"/>
    <w:rsid w:val="00C63347"/>
    <w:rsid w:val="00C63B97"/>
    <w:rsid w:val="00C63E6C"/>
    <w:rsid w:val="00C649BD"/>
    <w:rsid w:val="00C655E9"/>
    <w:rsid w:val="00C66283"/>
    <w:rsid w:val="00C66C43"/>
    <w:rsid w:val="00C678A2"/>
    <w:rsid w:val="00C67980"/>
    <w:rsid w:val="00C70BBB"/>
    <w:rsid w:val="00C7232D"/>
    <w:rsid w:val="00C74584"/>
    <w:rsid w:val="00C74CDC"/>
    <w:rsid w:val="00C7557B"/>
    <w:rsid w:val="00C756D7"/>
    <w:rsid w:val="00C75C49"/>
    <w:rsid w:val="00C76199"/>
    <w:rsid w:val="00C76329"/>
    <w:rsid w:val="00C76F59"/>
    <w:rsid w:val="00C80B78"/>
    <w:rsid w:val="00C812DA"/>
    <w:rsid w:val="00C826B4"/>
    <w:rsid w:val="00C83DD5"/>
    <w:rsid w:val="00C849B2"/>
    <w:rsid w:val="00C85655"/>
    <w:rsid w:val="00C866B9"/>
    <w:rsid w:val="00C919CE"/>
    <w:rsid w:val="00C935E0"/>
    <w:rsid w:val="00C939AD"/>
    <w:rsid w:val="00C93B04"/>
    <w:rsid w:val="00C94944"/>
    <w:rsid w:val="00C94954"/>
    <w:rsid w:val="00C94E9F"/>
    <w:rsid w:val="00C9520C"/>
    <w:rsid w:val="00C96D79"/>
    <w:rsid w:val="00C96FC5"/>
    <w:rsid w:val="00C976F5"/>
    <w:rsid w:val="00C97DAC"/>
    <w:rsid w:val="00CA08E7"/>
    <w:rsid w:val="00CA0A84"/>
    <w:rsid w:val="00CA2208"/>
    <w:rsid w:val="00CA2784"/>
    <w:rsid w:val="00CA2BC4"/>
    <w:rsid w:val="00CA2E09"/>
    <w:rsid w:val="00CA316B"/>
    <w:rsid w:val="00CA4277"/>
    <w:rsid w:val="00CA4BBA"/>
    <w:rsid w:val="00CA4E56"/>
    <w:rsid w:val="00CA4F8E"/>
    <w:rsid w:val="00CA5534"/>
    <w:rsid w:val="00CB1F07"/>
    <w:rsid w:val="00CB279F"/>
    <w:rsid w:val="00CB28A8"/>
    <w:rsid w:val="00CB2A34"/>
    <w:rsid w:val="00CB3F18"/>
    <w:rsid w:val="00CB43A0"/>
    <w:rsid w:val="00CB5A46"/>
    <w:rsid w:val="00CB5FEA"/>
    <w:rsid w:val="00CB6C2F"/>
    <w:rsid w:val="00CB6CF8"/>
    <w:rsid w:val="00CB72F6"/>
    <w:rsid w:val="00CC15D2"/>
    <w:rsid w:val="00CC1CA2"/>
    <w:rsid w:val="00CC323E"/>
    <w:rsid w:val="00CC3490"/>
    <w:rsid w:val="00CC65F0"/>
    <w:rsid w:val="00CC6C5E"/>
    <w:rsid w:val="00CC72D4"/>
    <w:rsid w:val="00CD08A2"/>
    <w:rsid w:val="00CD0F09"/>
    <w:rsid w:val="00CD42F5"/>
    <w:rsid w:val="00CD456E"/>
    <w:rsid w:val="00CD47F1"/>
    <w:rsid w:val="00CE027B"/>
    <w:rsid w:val="00CE29FD"/>
    <w:rsid w:val="00CE6AD4"/>
    <w:rsid w:val="00CF00FB"/>
    <w:rsid w:val="00CF19B9"/>
    <w:rsid w:val="00CF1EB7"/>
    <w:rsid w:val="00CF2054"/>
    <w:rsid w:val="00CF2616"/>
    <w:rsid w:val="00CF37DD"/>
    <w:rsid w:val="00CF3BD3"/>
    <w:rsid w:val="00CF3C07"/>
    <w:rsid w:val="00CF48DA"/>
    <w:rsid w:val="00CF4E91"/>
    <w:rsid w:val="00CF5930"/>
    <w:rsid w:val="00CF6203"/>
    <w:rsid w:val="00CF63E3"/>
    <w:rsid w:val="00CF7D24"/>
    <w:rsid w:val="00CF7DF7"/>
    <w:rsid w:val="00D00146"/>
    <w:rsid w:val="00D00596"/>
    <w:rsid w:val="00D02716"/>
    <w:rsid w:val="00D03B40"/>
    <w:rsid w:val="00D0406B"/>
    <w:rsid w:val="00D0444C"/>
    <w:rsid w:val="00D044A0"/>
    <w:rsid w:val="00D04706"/>
    <w:rsid w:val="00D048B2"/>
    <w:rsid w:val="00D04CEB"/>
    <w:rsid w:val="00D06243"/>
    <w:rsid w:val="00D06B17"/>
    <w:rsid w:val="00D102F5"/>
    <w:rsid w:val="00D10429"/>
    <w:rsid w:val="00D105B0"/>
    <w:rsid w:val="00D114FE"/>
    <w:rsid w:val="00D115BE"/>
    <w:rsid w:val="00D1175F"/>
    <w:rsid w:val="00D11F06"/>
    <w:rsid w:val="00D14DFB"/>
    <w:rsid w:val="00D15990"/>
    <w:rsid w:val="00D16A81"/>
    <w:rsid w:val="00D17175"/>
    <w:rsid w:val="00D22297"/>
    <w:rsid w:val="00D22C30"/>
    <w:rsid w:val="00D22E8B"/>
    <w:rsid w:val="00D240BE"/>
    <w:rsid w:val="00D240C1"/>
    <w:rsid w:val="00D250BD"/>
    <w:rsid w:val="00D26D8C"/>
    <w:rsid w:val="00D26E85"/>
    <w:rsid w:val="00D31AC2"/>
    <w:rsid w:val="00D31FE4"/>
    <w:rsid w:val="00D33CC0"/>
    <w:rsid w:val="00D3603B"/>
    <w:rsid w:val="00D362F9"/>
    <w:rsid w:val="00D36832"/>
    <w:rsid w:val="00D36986"/>
    <w:rsid w:val="00D36BCC"/>
    <w:rsid w:val="00D36FDC"/>
    <w:rsid w:val="00D3728B"/>
    <w:rsid w:val="00D41027"/>
    <w:rsid w:val="00D42301"/>
    <w:rsid w:val="00D4277B"/>
    <w:rsid w:val="00D42C5C"/>
    <w:rsid w:val="00D43486"/>
    <w:rsid w:val="00D436D2"/>
    <w:rsid w:val="00D4479F"/>
    <w:rsid w:val="00D450E8"/>
    <w:rsid w:val="00D46FCE"/>
    <w:rsid w:val="00D47531"/>
    <w:rsid w:val="00D47AAE"/>
    <w:rsid w:val="00D515AE"/>
    <w:rsid w:val="00D5199B"/>
    <w:rsid w:val="00D611EC"/>
    <w:rsid w:val="00D61399"/>
    <w:rsid w:val="00D63887"/>
    <w:rsid w:val="00D63CCA"/>
    <w:rsid w:val="00D64EF0"/>
    <w:rsid w:val="00D6623F"/>
    <w:rsid w:val="00D7213F"/>
    <w:rsid w:val="00D72279"/>
    <w:rsid w:val="00D7262E"/>
    <w:rsid w:val="00D72677"/>
    <w:rsid w:val="00D7287F"/>
    <w:rsid w:val="00D7646D"/>
    <w:rsid w:val="00D7695F"/>
    <w:rsid w:val="00D7704F"/>
    <w:rsid w:val="00D77315"/>
    <w:rsid w:val="00D77768"/>
    <w:rsid w:val="00D80296"/>
    <w:rsid w:val="00D806B5"/>
    <w:rsid w:val="00D80D97"/>
    <w:rsid w:val="00D80E82"/>
    <w:rsid w:val="00D82598"/>
    <w:rsid w:val="00D83967"/>
    <w:rsid w:val="00D844DA"/>
    <w:rsid w:val="00D84683"/>
    <w:rsid w:val="00D8544C"/>
    <w:rsid w:val="00D87DDC"/>
    <w:rsid w:val="00D90017"/>
    <w:rsid w:val="00D912C3"/>
    <w:rsid w:val="00D91559"/>
    <w:rsid w:val="00D91B5E"/>
    <w:rsid w:val="00D925EE"/>
    <w:rsid w:val="00D92C24"/>
    <w:rsid w:val="00D92F29"/>
    <w:rsid w:val="00D9420B"/>
    <w:rsid w:val="00D94725"/>
    <w:rsid w:val="00D94766"/>
    <w:rsid w:val="00D96042"/>
    <w:rsid w:val="00D96738"/>
    <w:rsid w:val="00DA0288"/>
    <w:rsid w:val="00DA055A"/>
    <w:rsid w:val="00DA1372"/>
    <w:rsid w:val="00DA2516"/>
    <w:rsid w:val="00DA3DE7"/>
    <w:rsid w:val="00DA3F76"/>
    <w:rsid w:val="00DA4069"/>
    <w:rsid w:val="00DA4812"/>
    <w:rsid w:val="00DA4AD2"/>
    <w:rsid w:val="00DA5213"/>
    <w:rsid w:val="00DA6577"/>
    <w:rsid w:val="00DA756C"/>
    <w:rsid w:val="00DB00DB"/>
    <w:rsid w:val="00DB031A"/>
    <w:rsid w:val="00DB0A6E"/>
    <w:rsid w:val="00DB15BA"/>
    <w:rsid w:val="00DB1FE0"/>
    <w:rsid w:val="00DB3AE8"/>
    <w:rsid w:val="00DB40AE"/>
    <w:rsid w:val="00DB4867"/>
    <w:rsid w:val="00DB5D26"/>
    <w:rsid w:val="00DC0F49"/>
    <w:rsid w:val="00DC2616"/>
    <w:rsid w:val="00DC2E43"/>
    <w:rsid w:val="00DC3C5C"/>
    <w:rsid w:val="00DC4EA6"/>
    <w:rsid w:val="00DC4F3C"/>
    <w:rsid w:val="00DC5252"/>
    <w:rsid w:val="00DC57C5"/>
    <w:rsid w:val="00DC6F7B"/>
    <w:rsid w:val="00DD04FC"/>
    <w:rsid w:val="00DD36D5"/>
    <w:rsid w:val="00DD456A"/>
    <w:rsid w:val="00DD5EC4"/>
    <w:rsid w:val="00DE106C"/>
    <w:rsid w:val="00DE1177"/>
    <w:rsid w:val="00DE11DF"/>
    <w:rsid w:val="00DE343D"/>
    <w:rsid w:val="00DE3BC9"/>
    <w:rsid w:val="00DE4102"/>
    <w:rsid w:val="00DE45E9"/>
    <w:rsid w:val="00DE5F6D"/>
    <w:rsid w:val="00DE67E8"/>
    <w:rsid w:val="00DE7266"/>
    <w:rsid w:val="00DE77CB"/>
    <w:rsid w:val="00DF0043"/>
    <w:rsid w:val="00DF1243"/>
    <w:rsid w:val="00DF16F4"/>
    <w:rsid w:val="00DF18ED"/>
    <w:rsid w:val="00DF1ED5"/>
    <w:rsid w:val="00DF20AB"/>
    <w:rsid w:val="00DF27FF"/>
    <w:rsid w:val="00DF2C26"/>
    <w:rsid w:val="00DF330E"/>
    <w:rsid w:val="00DF386F"/>
    <w:rsid w:val="00DF3E87"/>
    <w:rsid w:val="00DF45E6"/>
    <w:rsid w:val="00DF59D3"/>
    <w:rsid w:val="00DF6248"/>
    <w:rsid w:val="00E0044D"/>
    <w:rsid w:val="00E00A87"/>
    <w:rsid w:val="00E01875"/>
    <w:rsid w:val="00E019B1"/>
    <w:rsid w:val="00E03126"/>
    <w:rsid w:val="00E03FDC"/>
    <w:rsid w:val="00E05383"/>
    <w:rsid w:val="00E05ABC"/>
    <w:rsid w:val="00E05E88"/>
    <w:rsid w:val="00E068E4"/>
    <w:rsid w:val="00E11E45"/>
    <w:rsid w:val="00E123EC"/>
    <w:rsid w:val="00E1286F"/>
    <w:rsid w:val="00E1321A"/>
    <w:rsid w:val="00E13ECC"/>
    <w:rsid w:val="00E14EFB"/>
    <w:rsid w:val="00E1533B"/>
    <w:rsid w:val="00E159CC"/>
    <w:rsid w:val="00E16078"/>
    <w:rsid w:val="00E166CA"/>
    <w:rsid w:val="00E17A72"/>
    <w:rsid w:val="00E20547"/>
    <w:rsid w:val="00E2069A"/>
    <w:rsid w:val="00E21321"/>
    <w:rsid w:val="00E2178A"/>
    <w:rsid w:val="00E2321F"/>
    <w:rsid w:val="00E245A2"/>
    <w:rsid w:val="00E24B6B"/>
    <w:rsid w:val="00E250A0"/>
    <w:rsid w:val="00E25D77"/>
    <w:rsid w:val="00E2608A"/>
    <w:rsid w:val="00E26CCC"/>
    <w:rsid w:val="00E2734C"/>
    <w:rsid w:val="00E2755B"/>
    <w:rsid w:val="00E309B5"/>
    <w:rsid w:val="00E30A28"/>
    <w:rsid w:val="00E31129"/>
    <w:rsid w:val="00E311D7"/>
    <w:rsid w:val="00E323A7"/>
    <w:rsid w:val="00E32B25"/>
    <w:rsid w:val="00E32DB1"/>
    <w:rsid w:val="00E32F22"/>
    <w:rsid w:val="00E3399C"/>
    <w:rsid w:val="00E34E1B"/>
    <w:rsid w:val="00E369BA"/>
    <w:rsid w:val="00E36DAE"/>
    <w:rsid w:val="00E37167"/>
    <w:rsid w:val="00E37691"/>
    <w:rsid w:val="00E37A1B"/>
    <w:rsid w:val="00E37BBD"/>
    <w:rsid w:val="00E37E0F"/>
    <w:rsid w:val="00E40465"/>
    <w:rsid w:val="00E4413A"/>
    <w:rsid w:val="00E44F14"/>
    <w:rsid w:val="00E454FA"/>
    <w:rsid w:val="00E464CD"/>
    <w:rsid w:val="00E46B43"/>
    <w:rsid w:val="00E46B5E"/>
    <w:rsid w:val="00E47A7B"/>
    <w:rsid w:val="00E511E6"/>
    <w:rsid w:val="00E51D1C"/>
    <w:rsid w:val="00E5310C"/>
    <w:rsid w:val="00E542E7"/>
    <w:rsid w:val="00E5552F"/>
    <w:rsid w:val="00E55A83"/>
    <w:rsid w:val="00E56758"/>
    <w:rsid w:val="00E578DA"/>
    <w:rsid w:val="00E60EEE"/>
    <w:rsid w:val="00E611E8"/>
    <w:rsid w:val="00E6150B"/>
    <w:rsid w:val="00E6172A"/>
    <w:rsid w:val="00E62C8A"/>
    <w:rsid w:val="00E639E7"/>
    <w:rsid w:val="00E67D7F"/>
    <w:rsid w:val="00E67F96"/>
    <w:rsid w:val="00E703B1"/>
    <w:rsid w:val="00E717D3"/>
    <w:rsid w:val="00E72BDB"/>
    <w:rsid w:val="00E75673"/>
    <w:rsid w:val="00E75830"/>
    <w:rsid w:val="00E76AF7"/>
    <w:rsid w:val="00E76D0A"/>
    <w:rsid w:val="00E77281"/>
    <w:rsid w:val="00E8042B"/>
    <w:rsid w:val="00E80E6A"/>
    <w:rsid w:val="00E81811"/>
    <w:rsid w:val="00E82A68"/>
    <w:rsid w:val="00E8387F"/>
    <w:rsid w:val="00E842AA"/>
    <w:rsid w:val="00E84925"/>
    <w:rsid w:val="00E8535B"/>
    <w:rsid w:val="00E859D1"/>
    <w:rsid w:val="00E873AE"/>
    <w:rsid w:val="00E87B4A"/>
    <w:rsid w:val="00E87D91"/>
    <w:rsid w:val="00E90028"/>
    <w:rsid w:val="00E90961"/>
    <w:rsid w:val="00E90CED"/>
    <w:rsid w:val="00E90D6D"/>
    <w:rsid w:val="00E9156A"/>
    <w:rsid w:val="00E918CC"/>
    <w:rsid w:val="00E92291"/>
    <w:rsid w:val="00E92440"/>
    <w:rsid w:val="00E92CD5"/>
    <w:rsid w:val="00E9443E"/>
    <w:rsid w:val="00E94675"/>
    <w:rsid w:val="00E95899"/>
    <w:rsid w:val="00E960A3"/>
    <w:rsid w:val="00E96F8D"/>
    <w:rsid w:val="00E9768F"/>
    <w:rsid w:val="00EA0A64"/>
    <w:rsid w:val="00EA0D52"/>
    <w:rsid w:val="00EA130B"/>
    <w:rsid w:val="00EA1990"/>
    <w:rsid w:val="00EA212C"/>
    <w:rsid w:val="00EA5B97"/>
    <w:rsid w:val="00EA5DE5"/>
    <w:rsid w:val="00EA6BBF"/>
    <w:rsid w:val="00EA6CFA"/>
    <w:rsid w:val="00EB0224"/>
    <w:rsid w:val="00EB0E8F"/>
    <w:rsid w:val="00EB12E7"/>
    <w:rsid w:val="00EB25D4"/>
    <w:rsid w:val="00EB26B7"/>
    <w:rsid w:val="00EB479B"/>
    <w:rsid w:val="00EB4916"/>
    <w:rsid w:val="00EB4A78"/>
    <w:rsid w:val="00EB680F"/>
    <w:rsid w:val="00EB71E9"/>
    <w:rsid w:val="00EB7AF3"/>
    <w:rsid w:val="00EC00C7"/>
    <w:rsid w:val="00EC10F4"/>
    <w:rsid w:val="00EC1941"/>
    <w:rsid w:val="00EC2802"/>
    <w:rsid w:val="00EC2AD1"/>
    <w:rsid w:val="00EC2C0C"/>
    <w:rsid w:val="00EC36C6"/>
    <w:rsid w:val="00EC36F1"/>
    <w:rsid w:val="00EC43F1"/>
    <w:rsid w:val="00EC5B88"/>
    <w:rsid w:val="00EC5DAA"/>
    <w:rsid w:val="00EC5DB2"/>
    <w:rsid w:val="00EC661F"/>
    <w:rsid w:val="00EC6851"/>
    <w:rsid w:val="00EC7373"/>
    <w:rsid w:val="00EC79AE"/>
    <w:rsid w:val="00ED12AE"/>
    <w:rsid w:val="00ED1694"/>
    <w:rsid w:val="00ED2F54"/>
    <w:rsid w:val="00ED3570"/>
    <w:rsid w:val="00ED39FB"/>
    <w:rsid w:val="00ED3E5D"/>
    <w:rsid w:val="00ED4B2C"/>
    <w:rsid w:val="00ED6826"/>
    <w:rsid w:val="00ED744F"/>
    <w:rsid w:val="00EE059F"/>
    <w:rsid w:val="00EE43B2"/>
    <w:rsid w:val="00EE44F8"/>
    <w:rsid w:val="00EE4B0F"/>
    <w:rsid w:val="00EE506F"/>
    <w:rsid w:val="00EE6ABE"/>
    <w:rsid w:val="00EE6EA3"/>
    <w:rsid w:val="00EE7B03"/>
    <w:rsid w:val="00EF06EC"/>
    <w:rsid w:val="00EF0BB8"/>
    <w:rsid w:val="00EF0C55"/>
    <w:rsid w:val="00EF0F19"/>
    <w:rsid w:val="00EF1373"/>
    <w:rsid w:val="00EF22C5"/>
    <w:rsid w:val="00EF2909"/>
    <w:rsid w:val="00EF3957"/>
    <w:rsid w:val="00EF3B84"/>
    <w:rsid w:val="00EF4285"/>
    <w:rsid w:val="00EF6507"/>
    <w:rsid w:val="00EF6750"/>
    <w:rsid w:val="00F00F19"/>
    <w:rsid w:val="00F014C0"/>
    <w:rsid w:val="00F01511"/>
    <w:rsid w:val="00F01DB5"/>
    <w:rsid w:val="00F020B5"/>
    <w:rsid w:val="00F020CC"/>
    <w:rsid w:val="00F0731A"/>
    <w:rsid w:val="00F1280D"/>
    <w:rsid w:val="00F1501D"/>
    <w:rsid w:val="00F15081"/>
    <w:rsid w:val="00F16350"/>
    <w:rsid w:val="00F1750C"/>
    <w:rsid w:val="00F20490"/>
    <w:rsid w:val="00F2646D"/>
    <w:rsid w:val="00F26866"/>
    <w:rsid w:val="00F30A13"/>
    <w:rsid w:val="00F32049"/>
    <w:rsid w:val="00F327CA"/>
    <w:rsid w:val="00F34421"/>
    <w:rsid w:val="00F34E3E"/>
    <w:rsid w:val="00F34EA2"/>
    <w:rsid w:val="00F354C7"/>
    <w:rsid w:val="00F40830"/>
    <w:rsid w:val="00F40D17"/>
    <w:rsid w:val="00F415A0"/>
    <w:rsid w:val="00F4166A"/>
    <w:rsid w:val="00F4275A"/>
    <w:rsid w:val="00F44C05"/>
    <w:rsid w:val="00F460AB"/>
    <w:rsid w:val="00F4680E"/>
    <w:rsid w:val="00F471B8"/>
    <w:rsid w:val="00F47B99"/>
    <w:rsid w:val="00F47CFC"/>
    <w:rsid w:val="00F5028C"/>
    <w:rsid w:val="00F503E6"/>
    <w:rsid w:val="00F50486"/>
    <w:rsid w:val="00F507DF"/>
    <w:rsid w:val="00F510D1"/>
    <w:rsid w:val="00F510F2"/>
    <w:rsid w:val="00F52BA1"/>
    <w:rsid w:val="00F545AB"/>
    <w:rsid w:val="00F54BB3"/>
    <w:rsid w:val="00F54DEB"/>
    <w:rsid w:val="00F564A2"/>
    <w:rsid w:val="00F569F9"/>
    <w:rsid w:val="00F614F0"/>
    <w:rsid w:val="00F64B47"/>
    <w:rsid w:val="00F65F44"/>
    <w:rsid w:val="00F66FE4"/>
    <w:rsid w:val="00F67E59"/>
    <w:rsid w:val="00F7096F"/>
    <w:rsid w:val="00F71638"/>
    <w:rsid w:val="00F7186F"/>
    <w:rsid w:val="00F72799"/>
    <w:rsid w:val="00F72E23"/>
    <w:rsid w:val="00F72F4B"/>
    <w:rsid w:val="00F738B0"/>
    <w:rsid w:val="00F74721"/>
    <w:rsid w:val="00F75EEF"/>
    <w:rsid w:val="00F80D72"/>
    <w:rsid w:val="00F817F2"/>
    <w:rsid w:val="00F81809"/>
    <w:rsid w:val="00F8187F"/>
    <w:rsid w:val="00F818D0"/>
    <w:rsid w:val="00F81D3A"/>
    <w:rsid w:val="00F82049"/>
    <w:rsid w:val="00F82B4B"/>
    <w:rsid w:val="00F8335C"/>
    <w:rsid w:val="00F84664"/>
    <w:rsid w:val="00F8518E"/>
    <w:rsid w:val="00F85545"/>
    <w:rsid w:val="00F85B08"/>
    <w:rsid w:val="00F85D7E"/>
    <w:rsid w:val="00F907BF"/>
    <w:rsid w:val="00F90E0B"/>
    <w:rsid w:val="00F927E3"/>
    <w:rsid w:val="00F93B04"/>
    <w:rsid w:val="00F93C5F"/>
    <w:rsid w:val="00F94B6D"/>
    <w:rsid w:val="00F9532D"/>
    <w:rsid w:val="00F953E5"/>
    <w:rsid w:val="00F964DB"/>
    <w:rsid w:val="00F974B5"/>
    <w:rsid w:val="00FA0A0B"/>
    <w:rsid w:val="00FA1B97"/>
    <w:rsid w:val="00FA1EE6"/>
    <w:rsid w:val="00FA2F65"/>
    <w:rsid w:val="00FA3869"/>
    <w:rsid w:val="00FA4BF0"/>
    <w:rsid w:val="00FA57E5"/>
    <w:rsid w:val="00FA62AA"/>
    <w:rsid w:val="00FA6847"/>
    <w:rsid w:val="00FA6942"/>
    <w:rsid w:val="00FB007B"/>
    <w:rsid w:val="00FB0A25"/>
    <w:rsid w:val="00FB17CD"/>
    <w:rsid w:val="00FB186C"/>
    <w:rsid w:val="00FB19D6"/>
    <w:rsid w:val="00FB1A40"/>
    <w:rsid w:val="00FB32F5"/>
    <w:rsid w:val="00FB6777"/>
    <w:rsid w:val="00FB67B2"/>
    <w:rsid w:val="00FB773C"/>
    <w:rsid w:val="00FB7974"/>
    <w:rsid w:val="00FC0143"/>
    <w:rsid w:val="00FC0242"/>
    <w:rsid w:val="00FC2D06"/>
    <w:rsid w:val="00FC4580"/>
    <w:rsid w:val="00FC52B3"/>
    <w:rsid w:val="00FC5355"/>
    <w:rsid w:val="00FC5599"/>
    <w:rsid w:val="00FC5ACA"/>
    <w:rsid w:val="00FC5D95"/>
    <w:rsid w:val="00FC6D0E"/>
    <w:rsid w:val="00FD0573"/>
    <w:rsid w:val="00FD0595"/>
    <w:rsid w:val="00FD071F"/>
    <w:rsid w:val="00FD23CF"/>
    <w:rsid w:val="00FD2DDD"/>
    <w:rsid w:val="00FD3000"/>
    <w:rsid w:val="00FD31A7"/>
    <w:rsid w:val="00FD330B"/>
    <w:rsid w:val="00FD4744"/>
    <w:rsid w:val="00FD5A92"/>
    <w:rsid w:val="00FD5B06"/>
    <w:rsid w:val="00FE08AD"/>
    <w:rsid w:val="00FE1CF1"/>
    <w:rsid w:val="00FE1E06"/>
    <w:rsid w:val="00FE22AC"/>
    <w:rsid w:val="00FE2ECC"/>
    <w:rsid w:val="00FE322B"/>
    <w:rsid w:val="00FE4245"/>
    <w:rsid w:val="00FE4F27"/>
    <w:rsid w:val="00FE598A"/>
    <w:rsid w:val="00FE5A81"/>
    <w:rsid w:val="00FE7FB3"/>
    <w:rsid w:val="00FF2AC4"/>
    <w:rsid w:val="00FF3FFA"/>
    <w:rsid w:val="00FF5205"/>
    <w:rsid w:val="00FF612F"/>
    <w:rsid w:val="00FF698A"/>
    <w:rsid w:val="00FF74E6"/>
    <w:rsid w:val="1F909FD5"/>
    <w:rsid w:val="328108D2"/>
    <w:rsid w:val="4171FFFB"/>
    <w:rsid w:val="6E18D493"/>
    <w:rsid w:val="75E7D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DE4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97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C323E"/>
    <w:pPr>
      <w:keepNext/>
      <w:tabs>
        <w:tab w:val="center" w:pos="2552"/>
      </w:tabs>
      <w:outlineLvl w:val="0"/>
    </w:pPr>
    <w:rPr>
      <w:b/>
      <w:bCs/>
      <w:position w:val="-16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C323E"/>
    <w:pPr>
      <w:keepNext/>
      <w:jc w:val="center"/>
      <w:outlineLvl w:val="1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C323E"/>
    <w:pPr>
      <w:keepNext/>
      <w:tabs>
        <w:tab w:val="left" w:pos="4536"/>
      </w:tabs>
      <w:ind w:left="4536"/>
      <w:outlineLvl w:val="7"/>
    </w:pPr>
    <w:rPr>
      <w:rFonts w:ascii="Tahoma" w:hAnsi="Tahoma" w:cs="Tahom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5FB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5FB1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wasny">
    <w:name w:val="własny"/>
    <w:basedOn w:val="Normalny"/>
    <w:autoRedefine/>
    <w:rsid w:val="007E125E"/>
    <w:pPr>
      <w:jc w:val="both"/>
    </w:pPr>
    <w:rPr>
      <w:spacing w:val="-4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CC32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FB1"/>
    <w:rPr>
      <w:sz w:val="0"/>
      <w:szCs w:val="0"/>
    </w:rPr>
  </w:style>
  <w:style w:type="paragraph" w:styleId="Stopka">
    <w:name w:val="footer"/>
    <w:basedOn w:val="Normalny"/>
    <w:link w:val="StopkaZnak"/>
    <w:rsid w:val="00CC32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65FB1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CC323E"/>
  </w:style>
  <w:style w:type="paragraph" w:styleId="Tekstpodstawowy2">
    <w:name w:val="Body Text 2"/>
    <w:basedOn w:val="Normalny"/>
    <w:link w:val="Tekstpodstawowy2Znak"/>
    <w:uiPriority w:val="99"/>
    <w:rsid w:val="00CC323E"/>
    <w:pPr>
      <w:shd w:val="clear" w:color="auto" w:fill="FFFFFF"/>
      <w:tabs>
        <w:tab w:val="left" w:pos="180"/>
      </w:tabs>
      <w:spacing w:line="360" w:lineRule="auto"/>
      <w:jc w:val="both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65FB1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CC323E"/>
    <w:pPr>
      <w:spacing w:after="120"/>
      <w:jc w:val="both"/>
    </w:pPr>
    <w:rPr>
      <w:rFonts w:ascii="Myriad Condensed Web" w:hAnsi="Myriad Condensed Web" w:cs="Myriad Condensed Web"/>
    </w:rPr>
  </w:style>
  <w:style w:type="character" w:customStyle="1" w:styleId="TekstpodstawowyZnak">
    <w:name w:val="Tekst podstawowy Znak"/>
    <w:basedOn w:val="Domylnaczcionkaakapitu"/>
    <w:link w:val="Tekstpodstawowy"/>
    <w:rsid w:val="00765FB1"/>
    <w:rPr>
      <w:sz w:val="24"/>
      <w:szCs w:val="24"/>
    </w:rPr>
  </w:style>
  <w:style w:type="character" w:customStyle="1" w:styleId="style1">
    <w:name w:val="style1"/>
    <w:basedOn w:val="Domylnaczcionkaakapitu"/>
    <w:uiPriority w:val="99"/>
    <w:rsid w:val="00CC323E"/>
  </w:style>
  <w:style w:type="paragraph" w:styleId="Tekstpodstawowywcity2">
    <w:name w:val="Body Text Indent 2"/>
    <w:basedOn w:val="Normalny"/>
    <w:link w:val="Tekstpodstawowywcity2Znak"/>
    <w:uiPriority w:val="99"/>
    <w:rsid w:val="00CC323E"/>
    <w:pPr>
      <w:tabs>
        <w:tab w:val="left" w:pos="709"/>
        <w:tab w:val="left" w:pos="1080"/>
      </w:tabs>
      <w:spacing w:line="360" w:lineRule="auto"/>
      <w:ind w:left="1080" w:hanging="1080"/>
      <w:jc w:val="both"/>
    </w:pPr>
    <w:rPr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65FB1"/>
    <w:rPr>
      <w:sz w:val="24"/>
      <w:szCs w:val="24"/>
    </w:rPr>
  </w:style>
  <w:style w:type="paragraph" w:customStyle="1" w:styleId="Zawartotabeli">
    <w:name w:val="Zawarto?? tabeli"/>
    <w:basedOn w:val="Normalny"/>
    <w:uiPriority w:val="99"/>
    <w:rsid w:val="00CC323E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</w:style>
  <w:style w:type="paragraph" w:styleId="Nagwek">
    <w:name w:val="header"/>
    <w:basedOn w:val="Normalny"/>
    <w:link w:val="NagwekZnak"/>
    <w:uiPriority w:val="99"/>
    <w:rsid w:val="00CC32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5FB1"/>
    <w:rPr>
      <w:sz w:val="24"/>
      <w:szCs w:val="24"/>
    </w:rPr>
  </w:style>
  <w:style w:type="paragraph" w:customStyle="1" w:styleId="ust">
    <w:name w:val="ust"/>
    <w:uiPriority w:val="99"/>
    <w:rsid w:val="00CC323E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CharChar">
    <w:name w:val="Char Char"/>
    <w:basedOn w:val="Normalny"/>
    <w:uiPriority w:val="99"/>
    <w:rsid w:val="00CC323E"/>
  </w:style>
  <w:style w:type="paragraph" w:styleId="Tekstpodstawowywcity">
    <w:name w:val="Body Text Indent"/>
    <w:basedOn w:val="Normalny"/>
    <w:link w:val="TekstpodstawowywcityZnak"/>
    <w:rsid w:val="00CC32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65FB1"/>
    <w:rPr>
      <w:sz w:val="24"/>
      <w:szCs w:val="24"/>
    </w:rPr>
  </w:style>
  <w:style w:type="character" w:customStyle="1" w:styleId="ZnakZnak2">
    <w:name w:val="Znak Znak2"/>
    <w:uiPriority w:val="99"/>
    <w:rsid w:val="00CC323E"/>
    <w:rPr>
      <w:sz w:val="24"/>
      <w:szCs w:val="24"/>
    </w:rPr>
  </w:style>
  <w:style w:type="paragraph" w:customStyle="1" w:styleId="Znak1">
    <w:name w:val="Znak1"/>
    <w:basedOn w:val="Normalny"/>
    <w:uiPriority w:val="99"/>
    <w:rsid w:val="00CC323E"/>
  </w:style>
  <w:style w:type="paragraph" w:customStyle="1" w:styleId="Style7">
    <w:name w:val="Style7"/>
    <w:basedOn w:val="Normalny"/>
    <w:uiPriority w:val="99"/>
    <w:rsid w:val="00CC323E"/>
    <w:pPr>
      <w:widowControl w:val="0"/>
      <w:autoSpaceDE w:val="0"/>
      <w:autoSpaceDN w:val="0"/>
      <w:adjustRightInd w:val="0"/>
      <w:spacing w:line="227" w:lineRule="exact"/>
    </w:pPr>
  </w:style>
  <w:style w:type="paragraph" w:customStyle="1" w:styleId="Style8">
    <w:name w:val="Style8"/>
    <w:basedOn w:val="Normalny"/>
    <w:uiPriority w:val="99"/>
    <w:rsid w:val="00CC323E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styleId="NormalnyWeb">
    <w:name w:val="Normal (Web)"/>
    <w:basedOn w:val="Normalny"/>
    <w:uiPriority w:val="99"/>
    <w:rsid w:val="00CC323E"/>
    <w:pPr>
      <w:spacing w:before="100" w:beforeAutospacing="1" w:after="100" w:afterAutospacing="1"/>
    </w:pPr>
    <w:rPr>
      <w:color w:val="FFFFFF"/>
    </w:rPr>
  </w:style>
  <w:style w:type="paragraph" w:styleId="Akapitzlist">
    <w:name w:val="List Paragraph"/>
    <w:aliases w:val="Dot pt,F5 List Paragraph,Kolorowa lista — akcent 11,L1,List Paragraph11,Numerowanie,Recommendation,List Paragraph"/>
    <w:basedOn w:val="Normalny"/>
    <w:link w:val="AkapitzlistZnak"/>
    <w:uiPriority w:val="34"/>
    <w:qFormat/>
    <w:rsid w:val="00CC323E"/>
    <w:pPr>
      <w:ind w:left="708"/>
    </w:pPr>
  </w:style>
  <w:style w:type="character" w:customStyle="1" w:styleId="ZnakZnak7">
    <w:name w:val="Znak Znak7"/>
    <w:uiPriority w:val="99"/>
    <w:rsid w:val="00CC323E"/>
    <w:rPr>
      <w:rFonts w:ascii="Tahoma" w:hAnsi="Tahoma" w:cs="Tahoma"/>
      <w:b/>
      <w:bCs/>
      <w:i/>
      <w:iCs/>
      <w:sz w:val="28"/>
      <w:szCs w:val="28"/>
    </w:rPr>
  </w:style>
  <w:style w:type="character" w:customStyle="1" w:styleId="ZnakZnak8">
    <w:name w:val="Znak Znak8"/>
    <w:uiPriority w:val="99"/>
    <w:rsid w:val="00CC323E"/>
    <w:rPr>
      <w:b/>
      <w:bCs/>
      <w:position w:val="-16"/>
    </w:rPr>
  </w:style>
  <w:style w:type="character" w:customStyle="1" w:styleId="ZnakZnak6">
    <w:name w:val="Znak Znak6"/>
    <w:uiPriority w:val="99"/>
    <w:semiHidden/>
    <w:rsid w:val="00CC32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CC32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65FB1"/>
    <w:rPr>
      <w:sz w:val="20"/>
      <w:szCs w:val="20"/>
    </w:rPr>
  </w:style>
  <w:style w:type="character" w:customStyle="1" w:styleId="ZnakZnak1">
    <w:name w:val="Znak Znak1"/>
    <w:basedOn w:val="Domylnaczcionkaakapitu"/>
    <w:uiPriority w:val="99"/>
    <w:rsid w:val="00CC323E"/>
  </w:style>
  <w:style w:type="character" w:styleId="Odwoanieprzypisukocowego">
    <w:name w:val="endnote reference"/>
    <w:basedOn w:val="Domylnaczcionkaakapitu"/>
    <w:uiPriority w:val="99"/>
    <w:semiHidden/>
    <w:rsid w:val="00CC323E"/>
    <w:rPr>
      <w:vertAlign w:val="superscript"/>
    </w:rPr>
  </w:style>
  <w:style w:type="character" w:customStyle="1" w:styleId="ZnakZnak3">
    <w:name w:val="Znak Znak3"/>
    <w:uiPriority w:val="99"/>
    <w:rsid w:val="00CC323E"/>
    <w:rPr>
      <w:sz w:val="24"/>
      <w:szCs w:val="24"/>
    </w:rPr>
  </w:style>
  <w:style w:type="character" w:customStyle="1" w:styleId="ZnakZnak5">
    <w:name w:val="Znak Znak5"/>
    <w:uiPriority w:val="99"/>
    <w:rsid w:val="00CC323E"/>
    <w:rPr>
      <w:sz w:val="24"/>
      <w:szCs w:val="24"/>
    </w:rPr>
  </w:style>
  <w:style w:type="character" w:styleId="Hipercze">
    <w:name w:val="Hyperlink"/>
    <w:basedOn w:val="Domylnaczcionkaakapitu"/>
    <w:uiPriority w:val="99"/>
    <w:rsid w:val="00CC323E"/>
    <w:rPr>
      <w:color w:val="0000FF"/>
      <w:u w:val="single"/>
    </w:rPr>
  </w:style>
  <w:style w:type="character" w:customStyle="1" w:styleId="ZnakZnak4">
    <w:name w:val="Znak Znak4"/>
    <w:uiPriority w:val="99"/>
    <w:rsid w:val="00CC323E"/>
    <w:rPr>
      <w:sz w:val="24"/>
      <w:szCs w:val="24"/>
      <w:shd w:val="clear" w:color="auto" w:fill="FFFFFF"/>
    </w:rPr>
  </w:style>
  <w:style w:type="paragraph" w:styleId="Podtytu">
    <w:name w:val="Subtitle"/>
    <w:basedOn w:val="Normalny"/>
    <w:link w:val="PodtytuZnak"/>
    <w:uiPriority w:val="99"/>
    <w:qFormat/>
    <w:rsid w:val="00CC323E"/>
    <w:pPr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65FB1"/>
    <w:rPr>
      <w:rFonts w:ascii="Cambria" w:eastAsia="Times New Roman" w:hAnsi="Cambria" w:cs="Times New Roman"/>
      <w:sz w:val="24"/>
      <w:szCs w:val="24"/>
    </w:rPr>
  </w:style>
  <w:style w:type="character" w:customStyle="1" w:styleId="ZnakZnak">
    <w:name w:val="Znak Znak"/>
    <w:uiPriority w:val="99"/>
    <w:rsid w:val="00CC323E"/>
    <w:rPr>
      <w:rFonts w:ascii="Tahoma" w:hAnsi="Tahoma" w:cs="Tahoma"/>
      <w:b/>
      <w:bCs/>
      <w:sz w:val="22"/>
      <w:szCs w:val="22"/>
    </w:rPr>
  </w:style>
  <w:style w:type="paragraph" w:styleId="Bezodstpw">
    <w:name w:val="No Spacing"/>
    <w:uiPriority w:val="99"/>
    <w:qFormat/>
    <w:rsid w:val="00CC323E"/>
    <w:rPr>
      <w:rFonts w:ascii="Calibri" w:hAnsi="Calibri" w:cs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CC32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65FB1"/>
    <w:rPr>
      <w:sz w:val="16"/>
      <w:szCs w:val="16"/>
    </w:rPr>
  </w:style>
  <w:style w:type="character" w:customStyle="1" w:styleId="Znakiprzypiswdolnych">
    <w:name w:val="Znaki przypisów dolnych"/>
    <w:uiPriority w:val="99"/>
    <w:rsid w:val="00CC323E"/>
  </w:style>
  <w:style w:type="character" w:styleId="Odwoanieprzypisudolnego">
    <w:name w:val="footnote reference"/>
    <w:basedOn w:val="Domylnaczcionkaakapitu"/>
    <w:uiPriority w:val="99"/>
    <w:semiHidden/>
    <w:rsid w:val="00CC32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C323E"/>
    <w:pPr>
      <w:suppressLineNumbers/>
      <w:suppressAutoHyphens/>
      <w:ind w:left="283" w:hanging="283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5FB1"/>
    <w:rPr>
      <w:sz w:val="20"/>
      <w:szCs w:val="20"/>
    </w:rPr>
  </w:style>
  <w:style w:type="paragraph" w:customStyle="1" w:styleId="ust1art">
    <w:name w:val="ust1 art"/>
    <w:uiPriority w:val="99"/>
    <w:rsid w:val="00CC323E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sz w:val="24"/>
      <w:szCs w:val="24"/>
      <w:lang w:eastAsia="ar-SA"/>
    </w:rPr>
  </w:style>
  <w:style w:type="paragraph" w:customStyle="1" w:styleId="pkt1art">
    <w:name w:val="pkt1 art"/>
    <w:uiPriority w:val="99"/>
    <w:rsid w:val="00CC323E"/>
    <w:pPr>
      <w:suppressAutoHyphens/>
      <w:overflowPunct w:val="0"/>
      <w:autoSpaceDE w:val="0"/>
      <w:spacing w:before="60" w:after="60"/>
      <w:ind w:left="2269" w:hanging="284"/>
      <w:jc w:val="both"/>
      <w:textAlignment w:val="baseline"/>
    </w:pPr>
    <w:rPr>
      <w:sz w:val="24"/>
      <w:szCs w:val="24"/>
      <w:lang w:eastAsia="ar-SA"/>
    </w:rPr>
  </w:style>
  <w:style w:type="paragraph" w:customStyle="1" w:styleId="Default">
    <w:name w:val="Default"/>
    <w:rsid w:val="00CC32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CC323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65FB1"/>
    <w:rPr>
      <w:sz w:val="0"/>
      <w:szCs w:val="0"/>
    </w:rPr>
  </w:style>
  <w:style w:type="paragraph" w:customStyle="1" w:styleId="default0">
    <w:name w:val="default"/>
    <w:basedOn w:val="Normalny"/>
    <w:uiPriority w:val="99"/>
    <w:rsid w:val="00CC323E"/>
    <w:pPr>
      <w:autoSpaceDE w:val="0"/>
      <w:autoSpaceDN w:val="0"/>
    </w:pPr>
    <w:rPr>
      <w:color w:val="000000"/>
    </w:rPr>
  </w:style>
  <w:style w:type="paragraph" w:customStyle="1" w:styleId="ZnakZnakZnakZnak">
    <w:name w:val="Znak Znak Znak Znak"/>
    <w:basedOn w:val="Normalny"/>
    <w:uiPriority w:val="99"/>
    <w:rsid w:val="00CC323E"/>
  </w:style>
  <w:style w:type="paragraph" w:customStyle="1" w:styleId="a">
    <w:name w:val="Знак Знак Знак"/>
    <w:basedOn w:val="Normalny"/>
    <w:uiPriority w:val="99"/>
    <w:rsid w:val="00CC323E"/>
    <w:rPr>
      <w:rFonts w:ascii="Verdana" w:hAnsi="Verdana" w:cs="Verdana"/>
      <w:sz w:val="20"/>
      <w:szCs w:val="20"/>
      <w:lang w:val="en-US" w:eastAsia="en-US"/>
    </w:rPr>
  </w:style>
  <w:style w:type="paragraph" w:customStyle="1" w:styleId="ListParagraph1">
    <w:name w:val="List Paragraph1"/>
    <w:basedOn w:val="Normalny"/>
    <w:uiPriority w:val="99"/>
    <w:rsid w:val="00CC323E"/>
    <w:pPr>
      <w:spacing w:line="360" w:lineRule="auto"/>
      <w:ind w:left="720"/>
    </w:pPr>
    <w:rPr>
      <w:lang w:eastAsia="en-US"/>
    </w:rPr>
  </w:style>
  <w:style w:type="paragraph" w:customStyle="1" w:styleId="Akapitzlist11">
    <w:name w:val="Akapit z listą11"/>
    <w:basedOn w:val="Normalny"/>
    <w:uiPriority w:val="99"/>
    <w:rsid w:val="00CC323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Pogrubienie">
    <w:name w:val="Strong"/>
    <w:aliases w:val="Tekst treści + 11,5 pt4"/>
    <w:basedOn w:val="Domylnaczcionkaakapitu"/>
    <w:uiPriority w:val="22"/>
    <w:qFormat/>
    <w:rsid w:val="00CC323E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luchili">
    <w:name w:val="luc_hili"/>
    <w:basedOn w:val="Domylnaczcionkaakapitu"/>
    <w:uiPriority w:val="99"/>
    <w:rsid w:val="00CC323E"/>
  </w:style>
  <w:style w:type="character" w:styleId="UyteHipercze">
    <w:name w:val="FollowedHyperlink"/>
    <w:basedOn w:val="Domylnaczcionkaakapitu"/>
    <w:uiPriority w:val="99"/>
    <w:rsid w:val="00CC323E"/>
    <w:rPr>
      <w:color w:val="800080"/>
      <w:u w:val="single"/>
    </w:rPr>
  </w:style>
  <w:style w:type="table" w:styleId="Tabela-Siatka">
    <w:name w:val="Table Grid"/>
    <w:basedOn w:val="Standardowy"/>
    <w:rsid w:val="00CF0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"/>
    <w:basedOn w:val="Normalny"/>
    <w:rsid w:val="00E20547"/>
    <w:pPr>
      <w:widowControl w:val="0"/>
      <w:suppressAutoHyphens/>
    </w:pPr>
    <w:rPr>
      <w:rFonts w:ascii="Georgia" w:hAnsi="Georgia" w:cs="Georgia"/>
      <w:kern w:val="2"/>
    </w:rPr>
  </w:style>
  <w:style w:type="character" w:customStyle="1" w:styleId="FontStyle15">
    <w:name w:val="Font Style15"/>
    <w:rsid w:val="00E20547"/>
    <w:rPr>
      <w:rFonts w:ascii="Georgia" w:hAnsi="Georgia" w:cs="Georgia" w:hint="default"/>
      <w:b/>
      <w:bCs/>
      <w:sz w:val="20"/>
      <w:szCs w:val="20"/>
    </w:rPr>
  </w:style>
  <w:style w:type="character" w:customStyle="1" w:styleId="FontStyle14">
    <w:name w:val="Font Style14"/>
    <w:rsid w:val="00E20547"/>
    <w:rPr>
      <w:rFonts w:ascii="Georgia" w:hAnsi="Georgia" w:cs="Georgia" w:hint="default"/>
      <w:sz w:val="20"/>
      <w:szCs w:val="20"/>
    </w:rPr>
  </w:style>
  <w:style w:type="paragraph" w:styleId="Poprawka">
    <w:name w:val="Revision"/>
    <w:hidden/>
    <w:uiPriority w:val="99"/>
    <w:semiHidden/>
    <w:rsid w:val="00FC0242"/>
    <w:rPr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basedOn w:val="Normalny"/>
    <w:link w:val="TYTUAKTUprzedmiotregulacjiustawylubrozporzdzeniaZnak"/>
    <w:uiPriority w:val="6"/>
    <w:qFormat/>
    <w:rsid w:val="00120A05"/>
    <w:pPr>
      <w:keepNext/>
      <w:spacing w:before="120" w:after="360" w:line="360" w:lineRule="auto"/>
      <w:jc w:val="center"/>
    </w:pPr>
    <w:rPr>
      <w:rFonts w:ascii="Times" w:eastAsiaTheme="minorHAnsi" w:hAnsi="Times" w:cs="Times"/>
      <w:b/>
      <w:bCs/>
    </w:rPr>
  </w:style>
  <w:style w:type="paragraph" w:customStyle="1" w:styleId="OZNRODZAKTUtznustawalubrozporzdzenieiorganwydajcy">
    <w:name w:val="OZN_RODZ_AKTU – tzn. ustawa lub rozporządzenie i organ wydający"/>
    <w:basedOn w:val="Normalny"/>
    <w:uiPriority w:val="5"/>
    <w:qFormat/>
    <w:rsid w:val="00156039"/>
    <w:pPr>
      <w:keepNext/>
      <w:spacing w:after="120" w:line="360" w:lineRule="auto"/>
      <w:jc w:val="center"/>
    </w:pPr>
    <w:rPr>
      <w:rFonts w:ascii="Times" w:eastAsiaTheme="minorHAnsi" w:hAnsi="Times" w:cs="Times"/>
      <w:b/>
      <w:bCs/>
      <w:caps/>
      <w:spacing w:val="54"/>
    </w:rPr>
  </w:style>
  <w:style w:type="paragraph" w:customStyle="1" w:styleId="ODNONIKtreodnonika">
    <w:name w:val="ODNOŚNIK – treść odnośnika"/>
    <w:basedOn w:val="Normalny"/>
    <w:uiPriority w:val="19"/>
    <w:qFormat/>
    <w:rsid w:val="00156039"/>
    <w:pPr>
      <w:ind w:left="284" w:hanging="284"/>
      <w:jc w:val="both"/>
    </w:pPr>
    <w:rPr>
      <w:rFonts w:eastAsiaTheme="minorHAnsi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156039"/>
    <w:rPr>
      <w:b w:val="0"/>
      <w:bCs w:val="0"/>
      <w:i w:val="0"/>
      <w:iCs w:val="0"/>
      <w:spacing w:val="0"/>
      <w:vertAlign w:val="superscript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6"/>
    <w:rsid w:val="003649FD"/>
    <w:rPr>
      <w:rFonts w:ascii="Times" w:eastAsiaTheme="minorHAnsi" w:hAnsi="Times" w:cs="Times"/>
      <w:b/>
      <w:bCs/>
      <w:sz w:val="24"/>
      <w:szCs w:val="24"/>
    </w:rPr>
  </w:style>
  <w:style w:type="character" w:customStyle="1" w:styleId="apple-converted-space">
    <w:name w:val="apple-converted-space"/>
    <w:basedOn w:val="Domylnaczcionkaakapitu"/>
    <w:rsid w:val="007F6CC5"/>
  </w:style>
  <w:style w:type="character" w:customStyle="1" w:styleId="h11">
    <w:name w:val="h11"/>
    <w:basedOn w:val="Domylnaczcionkaakapitu"/>
    <w:rsid w:val="005033D1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Ppogrubienie">
    <w:name w:val="_P_ – pogrubienie"/>
    <w:uiPriority w:val="1"/>
    <w:qFormat/>
    <w:rsid w:val="009948F4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99"/>
    <w:qFormat/>
    <w:rsid w:val="0040598E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ROZDZODDZPRZEDMprzedmiotregulacjirozdziauluboddziau">
    <w:name w:val="ROZDZ(ODDZ)_PRZEDM – przedmiot regulacji rozdziału lub oddziału"/>
    <w:next w:val="Normalny"/>
    <w:uiPriority w:val="10"/>
    <w:qFormat/>
    <w:rsid w:val="00C93B04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2D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D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2D4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D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D45"/>
    <w:rPr>
      <w:b/>
      <w:bCs/>
    </w:rPr>
  </w:style>
  <w:style w:type="character" w:customStyle="1" w:styleId="AkapitzlistZnak">
    <w:name w:val="Akapit z listą Znak"/>
    <w:aliases w:val="Dot pt Znak,F5 List Paragraph Znak,Kolorowa lista — akcent 11 Znak,L1 Znak,List Paragraph11 Znak,Numerowanie Znak,Recommendation Znak,List Paragraph Znak"/>
    <w:link w:val="Akapitzlist"/>
    <w:uiPriority w:val="34"/>
    <w:locked/>
    <w:rsid w:val="00A87D27"/>
    <w:rPr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75719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75719"/>
    <w:rPr>
      <w:b/>
      <w:bCs w:val="0"/>
      <w:vanish w:val="0"/>
      <w:webHidden w:val="0"/>
      <w:spacing w:val="0"/>
      <w:vertAlign w:val="superscript"/>
      <w:specVanish w:val="0"/>
    </w:rPr>
  </w:style>
  <w:style w:type="character" w:customStyle="1" w:styleId="Kkursywa">
    <w:name w:val="_K_ – kursywa"/>
    <w:basedOn w:val="Domylnaczcionkaakapitu"/>
    <w:uiPriority w:val="1"/>
    <w:qFormat/>
    <w:rsid w:val="00DF386F"/>
    <w:rPr>
      <w:i/>
    </w:rPr>
  </w:style>
  <w:style w:type="paragraph" w:customStyle="1" w:styleId="ARTartustawynprozporzdzenia">
    <w:name w:val="ART(§) – art. ustawy (§ np. rozporządzenia)"/>
    <w:uiPriority w:val="11"/>
    <w:qFormat/>
    <w:rsid w:val="005C5FC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trescpisma">
    <w:name w:val="tresc.pisma"/>
    <w:basedOn w:val="Normalny"/>
    <w:qFormat/>
    <w:rsid w:val="00382BFC"/>
    <w:pPr>
      <w:spacing w:after="60" w:line="360" w:lineRule="auto"/>
      <w:jc w:val="both"/>
    </w:pPr>
    <w:rPr>
      <w:rFonts w:ascii="Arial" w:eastAsia="Calibri" w:hAnsi="Arial"/>
      <w:sz w:val="20"/>
    </w:rPr>
  </w:style>
  <w:style w:type="paragraph" w:customStyle="1" w:styleId="h1maintyt">
    <w:name w:val="h1.maintyt"/>
    <w:uiPriority w:val="99"/>
    <w:rsid w:val="004E5EF6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8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2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4558">
          <w:marLeft w:val="0"/>
          <w:marRight w:val="0"/>
          <w:marTop w:val="0"/>
          <w:marBottom w:val="0"/>
          <w:divBdr>
            <w:top w:val="single" w:sz="6" w:space="0" w:color="BCBCBC"/>
            <w:left w:val="single" w:sz="6" w:space="0" w:color="BCBCBC"/>
            <w:bottom w:val="single" w:sz="6" w:space="0" w:color="BCBCBC"/>
            <w:right w:val="single" w:sz="6" w:space="0" w:color="BCBCBC"/>
          </w:divBdr>
          <w:divsChild>
            <w:div w:id="17928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7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9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9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6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2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cja.gov.pl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aktywa-panstwowe/wykaz-prac-legislacyjnych" TargetMode="External"/><Relationship Id="rId12" Type="http://schemas.openxmlformats.org/officeDocument/2006/relationships/hyperlink" Target="mailto:SekretariatDAS@map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ekretariatDGA@map.go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ekretariatDGA@ma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DGA@map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713EE-5973-4920-B972-696187B65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7130</Words>
  <Characters>42785</Characters>
  <Application>Microsoft Office Word</Application>
  <DocSecurity>0</DocSecurity>
  <Lines>356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2025-04-02T10:35:00Z</dcterms:created>
  <dcterms:modified xsi:type="dcterms:W3CDTF">2025-04-04T08:11:00Z</dcterms:modified>
</cp:coreProperties>
</file>