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4FFE8C9F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5C6551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</w:t>
      </w:r>
      <w:r w:rsidR="00A960EA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="007321D8">
        <w:rPr>
          <w:rFonts w:ascii="Abadi" w:hAnsi="Abadi"/>
          <w:b/>
          <w:bCs/>
          <w:color w:val="00B0F0"/>
          <w:sz w:val="36"/>
          <w:szCs w:val="36"/>
          <w:u w:val="single"/>
        </w:rPr>
        <w:t>5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</w:t>
      </w:r>
      <w:r w:rsidR="007321D8">
        <w:rPr>
          <w:rFonts w:ascii="Abadi" w:hAnsi="Abadi"/>
          <w:b/>
          <w:bCs/>
          <w:color w:val="00B0F0"/>
          <w:sz w:val="36"/>
          <w:szCs w:val="36"/>
          <w:u w:val="single"/>
        </w:rPr>
        <w:t>WRZE</w:t>
      </w:r>
      <w:r w:rsidR="007321D8">
        <w:rPr>
          <w:rFonts w:cs="Calibri"/>
          <w:b/>
          <w:bCs/>
          <w:color w:val="00B0F0"/>
          <w:sz w:val="36"/>
          <w:szCs w:val="36"/>
          <w:u w:val="single"/>
        </w:rPr>
        <w:t>ŚNIA</w:t>
      </w:r>
      <w:r w:rsidR="00FB2364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>202</w:t>
      </w:r>
      <w:r w:rsidR="0064487F">
        <w:rPr>
          <w:rFonts w:ascii="Abadi" w:hAnsi="Abadi"/>
          <w:b/>
          <w:bCs/>
          <w:color w:val="00B0F0"/>
          <w:sz w:val="36"/>
          <w:szCs w:val="36"/>
          <w:u w:val="single"/>
        </w:rPr>
        <w:t>2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r.)</w:t>
      </w:r>
    </w:p>
    <w:p w14:paraId="407689B5" w14:textId="3576B441" w:rsidR="008C0E92" w:rsidRDefault="008C0E92" w:rsidP="008C0E92">
      <w:pPr>
        <w:spacing w:before="360"/>
        <w:jc w:val="center"/>
      </w:pPr>
      <w:bookmarkStart w:id="0" w:name="_Hlk90283803"/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bookmarkEnd w:id="0"/>
    <w:p w14:paraId="6212A871" w14:textId="7DC8396D" w:rsidR="0048011A" w:rsidRPr="00E1348A" w:rsidRDefault="0048011A" w:rsidP="0048011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Obwieszczenie refundacyjne obowiązujące od </w:t>
      </w:r>
      <w:r w:rsidR="007321D8">
        <w:rPr>
          <w:rFonts w:asciiTheme="majorHAnsi" w:hAnsiTheme="majorHAnsi"/>
          <w:color w:val="000000" w:themeColor="text1"/>
          <w:sz w:val="24"/>
          <w:szCs w:val="24"/>
        </w:rPr>
        <w:t>września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 2022 r. (nr 6</w:t>
      </w:r>
      <w:r w:rsidR="007321D8">
        <w:rPr>
          <w:rFonts w:asciiTheme="majorHAnsi" w:hAnsiTheme="majorHAnsi"/>
          <w:color w:val="000000" w:themeColor="text1"/>
          <w:sz w:val="24"/>
          <w:szCs w:val="24"/>
        </w:rPr>
        <w:t>5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>), w porównaniu do obwieszczenia 6</w:t>
      </w:r>
      <w:r w:rsidR="007321D8">
        <w:rPr>
          <w:rFonts w:asciiTheme="majorHAnsi" w:hAnsiTheme="majorHAnsi"/>
          <w:color w:val="000000" w:themeColor="text1"/>
          <w:sz w:val="24"/>
          <w:szCs w:val="24"/>
        </w:rPr>
        <w:t>4</w:t>
      </w:r>
      <w:r w:rsidRPr="00E1348A">
        <w:rPr>
          <w:rFonts w:asciiTheme="majorHAnsi" w:hAnsiTheme="majorHAnsi"/>
          <w:color w:val="000000" w:themeColor="text1"/>
          <w:sz w:val="24"/>
          <w:szCs w:val="24"/>
        </w:rPr>
        <w:t xml:space="preserve"> zawiera następujące zmiany:</w:t>
      </w:r>
    </w:p>
    <w:p w14:paraId="00D4E161" w14:textId="4D0B6F21" w:rsidR="0048011A" w:rsidRPr="0066418A" w:rsidRDefault="0048011A" w:rsidP="00B31928">
      <w:pPr>
        <w:numPr>
          <w:ilvl w:val="0"/>
          <w:numId w:val="4"/>
        </w:numPr>
        <w:suppressAutoHyphens w:val="0"/>
        <w:ind w:left="567"/>
        <w:jc w:val="both"/>
        <w:rPr>
          <w:rFonts w:asciiTheme="majorHAnsi" w:hAnsiTheme="majorHAnsi"/>
          <w:sz w:val="24"/>
          <w:szCs w:val="24"/>
        </w:rPr>
      </w:pPr>
      <w:r w:rsidRPr="0066418A">
        <w:rPr>
          <w:rFonts w:asciiTheme="majorHAnsi" w:hAnsiTheme="majorHAnsi"/>
          <w:sz w:val="24"/>
          <w:szCs w:val="24"/>
        </w:rPr>
        <w:t xml:space="preserve">W związku z wydaniem pozytywnych decyzji o objęciu refundacją ogółem do </w:t>
      </w:r>
      <w:r w:rsidR="00B31928" w:rsidRPr="0066418A">
        <w:rPr>
          <w:rFonts w:asciiTheme="majorHAnsi" w:hAnsiTheme="majorHAnsi"/>
          <w:sz w:val="24"/>
          <w:szCs w:val="24"/>
        </w:rPr>
        <w:t>wykazu</w:t>
      </w:r>
      <w:r w:rsidRPr="0066418A">
        <w:rPr>
          <w:rFonts w:asciiTheme="majorHAnsi" w:hAnsiTheme="majorHAnsi"/>
          <w:sz w:val="24"/>
          <w:szCs w:val="24"/>
        </w:rPr>
        <w:t xml:space="preserve"> zosta</w:t>
      </w:r>
      <w:r w:rsidR="00B31928" w:rsidRPr="0066418A">
        <w:rPr>
          <w:rFonts w:asciiTheme="majorHAnsi" w:hAnsiTheme="majorHAnsi"/>
          <w:sz w:val="24"/>
          <w:szCs w:val="24"/>
        </w:rPr>
        <w:t>ł</w:t>
      </w:r>
      <w:r w:rsidR="0066418A" w:rsidRPr="0066418A">
        <w:rPr>
          <w:rFonts w:asciiTheme="majorHAnsi" w:hAnsiTheme="majorHAnsi"/>
          <w:sz w:val="24"/>
          <w:szCs w:val="24"/>
        </w:rPr>
        <w:t>o</w:t>
      </w:r>
      <w:r w:rsidRPr="0066418A">
        <w:rPr>
          <w:rFonts w:asciiTheme="majorHAnsi" w:hAnsiTheme="majorHAnsi"/>
          <w:sz w:val="24"/>
          <w:szCs w:val="24"/>
        </w:rPr>
        <w:t xml:space="preserve"> dodan</w:t>
      </w:r>
      <w:r w:rsidR="0066418A" w:rsidRPr="0066418A">
        <w:rPr>
          <w:rFonts w:asciiTheme="majorHAnsi" w:hAnsiTheme="majorHAnsi"/>
          <w:sz w:val="24"/>
          <w:szCs w:val="24"/>
        </w:rPr>
        <w:t>ych</w:t>
      </w:r>
      <w:r w:rsidRPr="0066418A">
        <w:rPr>
          <w:rFonts w:asciiTheme="majorHAnsi" w:hAnsiTheme="majorHAnsi"/>
          <w:sz w:val="24"/>
          <w:szCs w:val="24"/>
        </w:rPr>
        <w:t xml:space="preserve"> </w:t>
      </w:r>
      <w:r w:rsidR="0066418A" w:rsidRPr="0066418A">
        <w:rPr>
          <w:rFonts w:asciiTheme="majorHAnsi" w:hAnsiTheme="majorHAnsi"/>
          <w:sz w:val="24"/>
          <w:szCs w:val="24"/>
        </w:rPr>
        <w:t>147</w:t>
      </w:r>
      <w:r w:rsidRPr="0066418A">
        <w:rPr>
          <w:rFonts w:asciiTheme="majorHAnsi" w:hAnsiTheme="majorHAnsi"/>
          <w:sz w:val="24"/>
          <w:szCs w:val="24"/>
        </w:rPr>
        <w:t xml:space="preserve"> produkt</w:t>
      </w:r>
      <w:r w:rsidR="0066418A" w:rsidRPr="0066418A">
        <w:rPr>
          <w:rFonts w:asciiTheme="majorHAnsi" w:hAnsiTheme="majorHAnsi"/>
          <w:sz w:val="24"/>
          <w:szCs w:val="24"/>
        </w:rPr>
        <w:t>ów</w:t>
      </w:r>
      <w:r w:rsidRPr="0066418A">
        <w:rPr>
          <w:rFonts w:asciiTheme="majorHAnsi" w:hAnsiTheme="majorHAnsi"/>
          <w:sz w:val="24"/>
          <w:szCs w:val="24"/>
        </w:rPr>
        <w:t xml:space="preserve"> bądź now</w:t>
      </w:r>
      <w:r w:rsidR="0066418A" w:rsidRPr="0066418A">
        <w:rPr>
          <w:rFonts w:asciiTheme="majorHAnsi" w:hAnsiTheme="majorHAnsi"/>
          <w:sz w:val="24"/>
          <w:szCs w:val="24"/>
        </w:rPr>
        <w:t>ych</w:t>
      </w:r>
      <w:r w:rsidRPr="0066418A">
        <w:rPr>
          <w:rFonts w:asciiTheme="majorHAnsi" w:hAnsiTheme="majorHAnsi"/>
          <w:sz w:val="24"/>
          <w:szCs w:val="24"/>
        </w:rPr>
        <w:t xml:space="preserve"> wskaza</w:t>
      </w:r>
      <w:r w:rsidR="0066418A" w:rsidRPr="0066418A">
        <w:rPr>
          <w:rFonts w:asciiTheme="majorHAnsi" w:hAnsiTheme="majorHAnsi"/>
          <w:sz w:val="24"/>
          <w:szCs w:val="24"/>
        </w:rPr>
        <w:t>ń</w:t>
      </w:r>
      <w:r w:rsidRPr="0066418A">
        <w:rPr>
          <w:rFonts w:asciiTheme="majorHAnsi" w:hAnsiTheme="majorHAnsi"/>
          <w:sz w:val="24"/>
          <w:szCs w:val="24"/>
        </w:rPr>
        <w:t>.</w:t>
      </w:r>
    </w:p>
    <w:p w14:paraId="01D6F00D" w14:textId="4EA77F23" w:rsidR="0048011A" w:rsidRPr="0066418A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66418A">
        <w:rPr>
          <w:rFonts w:asciiTheme="majorHAnsi" w:hAnsiTheme="majorHAnsi"/>
          <w:sz w:val="24"/>
          <w:szCs w:val="24"/>
        </w:rPr>
        <w:t xml:space="preserve">Dla </w:t>
      </w:r>
      <w:r w:rsidR="0066418A" w:rsidRPr="0066418A">
        <w:rPr>
          <w:rFonts w:asciiTheme="majorHAnsi" w:hAnsiTheme="majorHAnsi"/>
          <w:sz w:val="24"/>
          <w:szCs w:val="24"/>
        </w:rPr>
        <w:t>123</w:t>
      </w:r>
      <w:r w:rsidRPr="0066418A">
        <w:rPr>
          <w:rFonts w:asciiTheme="majorHAnsi" w:hAnsiTheme="majorHAnsi"/>
          <w:sz w:val="24"/>
          <w:szCs w:val="24"/>
        </w:rPr>
        <w:t xml:space="preserve"> produktów wprowadzono obniżki urzędowych cen zbytu (od 0,01 zł do </w:t>
      </w:r>
      <w:r w:rsidR="0066418A" w:rsidRPr="0066418A">
        <w:rPr>
          <w:rFonts w:asciiTheme="majorHAnsi" w:hAnsiTheme="majorHAnsi"/>
          <w:sz w:val="24"/>
          <w:szCs w:val="24"/>
        </w:rPr>
        <w:t>5 808,51</w:t>
      </w:r>
      <w:r w:rsidR="00B9538B" w:rsidRPr="0066418A">
        <w:rPr>
          <w:rFonts w:asciiTheme="majorHAnsi" w:hAnsiTheme="majorHAnsi"/>
          <w:sz w:val="24"/>
          <w:szCs w:val="24"/>
        </w:rPr>
        <w:t xml:space="preserve"> </w:t>
      </w:r>
      <w:r w:rsidRPr="0066418A">
        <w:rPr>
          <w:rFonts w:asciiTheme="majorHAnsi" w:hAnsiTheme="majorHAnsi"/>
          <w:sz w:val="24"/>
          <w:szCs w:val="24"/>
        </w:rPr>
        <w:t>zł).</w:t>
      </w:r>
    </w:p>
    <w:p w14:paraId="2DC3E3D7" w14:textId="6D714661" w:rsidR="0048011A" w:rsidRPr="0066418A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66418A">
        <w:rPr>
          <w:rFonts w:asciiTheme="majorHAnsi" w:hAnsiTheme="majorHAnsi"/>
          <w:sz w:val="24"/>
          <w:szCs w:val="24"/>
        </w:rPr>
        <w:t>Dla 3</w:t>
      </w:r>
      <w:r w:rsidR="0066418A" w:rsidRPr="0066418A">
        <w:rPr>
          <w:rFonts w:asciiTheme="majorHAnsi" w:hAnsiTheme="majorHAnsi"/>
          <w:sz w:val="24"/>
          <w:szCs w:val="24"/>
        </w:rPr>
        <w:t>0</w:t>
      </w:r>
      <w:r w:rsidRPr="0066418A">
        <w:rPr>
          <w:rFonts w:asciiTheme="majorHAnsi" w:hAnsiTheme="majorHAnsi"/>
          <w:sz w:val="24"/>
          <w:szCs w:val="24"/>
        </w:rPr>
        <w:t xml:space="preserve"> produktów podwyższono urzędowe ceny zbytu (od 0,</w:t>
      </w:r>
      <w:r w:rsidR="0066418A" w:rsidRPr="0066418A">
        <w:rPr>
          <w:rFonts w:asciiTheme="majorHAnsi" w:hAnsiTheme="majorHAnsi"/>
          <w:sz w:val="24"/>
          <w:szCs w:val="24"/>
        </w:rPr>
        <w:t>08</w:t>
      </w:r>
      <w:r w:rsidRPr="0066418A">
        <w:rPr>
          <w:rFonts w:asciiTheme="majorHAnsi" w:hAnsiTheme="majorHAnsi"/>
          <w:sz w:val="24"/>
          <w:szCs w:val="24"/>
        </w:rPr>
        <w:t xml:space="preserve"> zł do </w:t>
      </w:r>
      <w:r w:rsidR="0066418A" w:rsidRPr="0066418A">
        <w:rPr>
          <w:rFonts w:asciiTheme="majorHAnsi" w:hAnsiTheme="majorHAnsi"/>
          <w:sz w:val="24"/>
          <w:szCs w:val="24"/>
        </w:rPr>
        <w:t>799,20</w:t>
      </w:r>
      <w:r w:rsidRPr="0066418A">
        <w:rPr>
          <w:rFonts w:asciiTheme="majorHAnsi" w:hAnsiTheme="majorHAnsi"/>
          <w:sz w:val="24"/>
          <w:szCs w:val="24"/>
        </w:rPr>
        <w:t xml:space="preserve"> zł).</w:t>
      </w:r>
    </w:p>
    <w:p w14:paraId="4F086829" w14:textId="2A7DA49B" w:rsidR="0048011A" w:rsidRPr="001E30F9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1E30F9">
        <w:rPr>
          <w:rFonts w:asciiTheme="majorHAnsi" w:hAnsiTheme="majorHAnsi"/>
          <w:sz w:val="24"/>
          <w:szCs w:val="24"/>
        </w:rPr>
        <w:t xml:space="preserve">Dla </w:t>
      </w:r>
      <w:r w:rsidR="001E30F9" w:rsidRPr="001E30F9">
        <w:rPr>
          <w:rFonts w:asciiTheme="majorHAnsi" w:hAnsiTheme="majorHAnsi"/>
          <w:sz w:val="24"/>
          <w:szCs w:val="24"/>
        </w:rPr>
        <w:t>270</w:t>
      </w:r>
      <w:r w:rsidRPr="001E30F9">
        <w:rPr>
          <w:rFonts w:asciiTheme="majorHAnsi" w:hAnsiTheme="majorHAnsi"/>
          <w:sz w:val="24"/>
          <w:szCs w:val="24"/>
        </w:rPr>
        <w:t xml:space="preserve"> pozycji w obwieszczeniu spadnie dopłata pacjenta (od 0,01 zł do </w:t>
      </w:r>
      <w:r w:rsidR="001E30F9" w:rsidRPr="001E30F9">
        <w:rPr>
          <w:rFonts w:asciiTheme="majorHAnsi" w:hAnsiTheme="majorHAnsi"/>
          <w:sz w:val="24"/>
          <w:szCs w:val="24"/>
        </w:rPr>
        <w:t>20,79</w:t>
      </w:r>
      <w:r w:rsidR="00A9374D" w:rsidRPr="001E30F9">
        <w:rPr>
          <w:rFonts w:asciiTheme="majorHAnsi" w:hAnsiTheme="majorHAnsi"/>
          <w:sz w:val="24"/>
          <w:szCs w:val="24"/>
        </w:rPr>
        <w:t xml:space="preserve"> </w:t>
      </w:r>
      <w:r w:rsidRPr="001E30F9">
        <w:rPr>
          <w:rFonts w:asciiTheme="majorHAnsi" w:hAnsiTheme="majorHAnsi"/>
          <w:sz w:val="24"/>
          <w:szCs w:val="24"/>
        </w:rPr>
        <w:t>zł).</w:t>
      </w:r>
    </w:p>
    <w:p w14:paraId="1090CF2B" w14:textId="57206498" w:rsidR="0048011A" w:rsidRPr="001E30F9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1E30F9">
        <w:rPr>
          <w:rFonts w:asciiTheme="majorHAnsi" w:hAnsiTheme="majorHAnsi"/>
          <w:sz w:val="24"/>
          <w:szCs w:val="24"/>
        </w:rPr>
        <w:t xml:space="preserve">Dla </w:t>
      </w:r>
      <w:r w:rsidR="001E30F9" w:rsidRPr="001E30F9">
        <w:rPr>
          <w:rFonts w:asciiTheme="majorHAnsi" w:hAnsiTheme="majorHAnsi"/>
          <w:sz w:val="24"/>
          <w:szCs w:val="24"/>
        </w:rPr>
        <w:t>188</w:t>
      </w:r>
      <w:r w:rsidRPr="001E30F9">
        <w:rPr>
          <w:rFonts w:asciiTheme="majorHAnsi" w:hAnsiTheme="majorHAnsi"/>
          <w:sz w:val="24"/>
          <w:szCs w:val="24"/>
        </w:rPr>
        <w:t xml:space="preserve"> pozycji w obwieszczeniu wzrośnie dopłata pacjenta (od 0,01 zł do </w:t>
      </w:r>
      <w:r w:rsidR="001E30F9" w:rsidRPr="001E30F9">
        <w:rPr>
          <w:rFonts w:asciiTheme="majorHAnsi" w:hAnsiTheme="majorHAnsi"/>
          <w:sz w:val="24"/>
          <w:szCs w:val="24"/>
        </w:rPr>
        <w:t>452,70</w:t>
      </w:r>
      <w:r w:rsidRPr="001E30F9">
        <w:rPr>
          <w:rFonts w:asciiTheme="majorHAnsi" w:hAnsiTheme="majorHAnsi"/>
          <w:sz w:val="24"/>
          <w:szCs w:val="24"/>
        </w:rPr>
        <w:t xml:space="preserve"> zł).</w:t>
      </w:r>
    </w:p>
    <w:p w14:paraId="1E684D62" w14:textId="0F31B50E" w:rsidR="0048011A" w:rsidRPr="001E30F9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1E30F9">
        <w:rPr>
          <w:rFonts w:asciiTheme="majorHAnsi" w:hAnsiTheme="majorHAnsi"/>
          <w:sz w:val="24"/>
          <w:szCs w:val="24"/>
        </w:rPr>
        <w:t xml:space="preserve">Dla </w:t>
      </w:r>
      <w:r w:rsidR="001E30F9" w:rsidRPr="001E30F9">
        <w:rPr>
          <w:rFonts w:asciiTheme="majorHAnsi" w:hAnsiTheme="majorHAnsi"/>
          <w:sz w:val="24"/>
          <w:szCs w:val="24"/>
        </w:rPr>
        <w:t>235</w:t>
      </w:r>
      <w:r w:rsidRPr="001E30F9">
        <w:rPr>
          <w:rFonts w:asciiTheme="majorHAnsi" w:hAnsiTheme="majorHAnsi"/>
          <w:sz w:val="24"/>
          <w:szCs w:val="24"/>
        </w:rPr>
        <w:t xml:space="preserve"> produktów ulegną obniżeniu ceny detaliczne brutto (od 0,01 zł do </w:t>
      </w:r>
      <w:r w:rsidR="001E30F9" w:rsidRPr="001E30F9">
        <w:rPr>
          <w:rFonts w:asciiTheme="majorHAnsi" w:hAnsiTheme="majorHAnsi"/>
          <w:sz w:val="24"/>
          <w:szCs w:val="24"/>
        </w:rPr>
        <w:t>37,47</w:t>
      </w:r>
      <w:r w:rsidR="00A9374D" w:rsidRPr="001E30F9">
        <w:rPr>
          <w:rFonts w:asciiTheme="majorHAnsi" w:hAnsiTheme="majorHAnsi"/>
          <w:sz w:val="24"/>
          <w:szCs w:val="24"/>
        </w:rPr>
        <w:t xml:space="preserve"> </w:t>
      </w:r>
      <w:r w:rsidRPr="001E30F9">
        <w:rPr>
          <w:rFonts w:asciiTheme="majorHAnsi" w:hAnsiTheme="majorHAnsi"/>
          <w:sz w:val="24"/>
          <w:szCs w:val="24"/>
        </w:rPr>
        <w:t>zł).</w:t>
      </w:r>
    </w:p>
    <w:p w14:paraId="226D7B40" w14:textId="3C73EDE9" w:rsidR="0048011A" w:rsidRPr="001E30F9" w:rsidRDefault="0048011A" w:rsidP="00B31928">
      <w:pPr>
        <w:numPr>
          <w:ilvl w:val="0"/>
          <w:numId w:val="4"/>
        </w:numPr>
        <w:suppressAutoHyphens w:val="0"/>
        <w:ind w:left="567"/>
        <w:rPr>
          <w:rFonts w:asciiTheme="majorHAnsi" w:hAnsiTheme="majorHAnsi"/>
          <w:sz w:val="24"/>
          <w:szCs w:val="24"/>
        </w:rPr>
      </w:pPr>
      <w:r w:rsidRPr="001E30F9">
        <w:rPr>
          <w:rFonts w:asciiTheme="majorHAnsi" w:hAnsiTheme="majorHAnsi"/>
          <w:sz w:val="24"/>
          <w:szCs w:val="24"/>
        </w:rPr>
        <w:t xml:space="preserve">Dla </w:t>
      </w:r>
      <w:r w:rsidR="001E30F9" w:rsidRPr="001E30F9">
        <w:rPr>
          <w:rFonts w:asciiTheme="majorHAnsi" w:hAnsiTheme="majorHAnsi"/>
          <w:sz w:val="24"/>
          <w:szCs w:val="24"/>
        </w:rPr>
        <w:t>87</w:t>
      </w:r>
      <w:r w:rsidRPr="001E30F9">
        <w:rPr>
          <w:rFonts w:asciiTheme="majorHAnsi" w:hAnsiTheme="majorHAnsi"/>
          <w:sz w:val="24"/>
          <w:szCs w:val="24"/>
        </w:rPr>
        <w:t xml:space="preserve"> produktów wzrosną ceny detaliczne brutto (od 0,0</w:t>
      </w:r>
      <w:r w:rsidR="001E30F9" w:rsidRPr="001E30F9">
        <w:rPr>
          <w:rFonts w:asciiTheme="majorHAnsi" w:hAnsiTheme="majorHAnsi"/>
          <w:sz w:val="24"/>
          <w:szCs w:val="24"/>
        </w:rPr>
        <w:t>2</w:t>
      </w:r>
      <w:r w:rsidRPr="001E30F9">
        <w:rPr>
          <w:rFonts w:asciiTheme="majorHAnsi" w:hAnsiTheme="majorHAnsi"/>
          <w:sz w:val="24"/>
          <w:szCs w:val="24"/>
        </w:rPr>
        <w:t xml:space="preserve"> zł do </w:t>
      </w:r>
      <w:r w:rsidR="001E30F9" w:rsidRPr="001E30F9">
        <w:rPr>
          <w:rFonts w:asciiTheme="majorHAnsi" w:hAnsiTheme="majorHAnsi"/>
          <w:sz w:val="24"/>
          <w:szCs w:val="24"/>
        </w:rPr>
        <w:t>17,45</w:t>
      </w:r>
      <w:r w:rsidRPr="001E30F9">
        <w:rPr>
          <w:rFonts w:asciiTheme="majorHAnsi" w:hAnsiTheme="majorHAnsi"/>
          <w:sz w:val="24"/>
          <w:szCs w:val="24"/>
        </w:rPr>
        <w:t xml:space="preserve"> zł).</w:t>
      </w:r>
    </w:p>
    <w:p w14:paraId="5D1E0723" w14:textId="53A54810" w:rsidR="0048011A" w:rsidRPr="00FE5480" w:rsidRDefault="0048011A" w:rsidP="00B31928">
      <w:pPr>
        <w:numPr>
          <w:ilvl w:val="0"/>
          <w:numId w:val="4"/>
        </w:numPr>
        <w:suppressAutoHyphens w:val="0"/>
        <w:ind w:left="567"/>
        <w:jc w:val="both"/>
        <w:rPr>
          <w:rFonts w:asciiTheme="majorHAnsi" w:hAnsiTheme="majorHAnsi"/>
          <w:sz w:val="24"/>
          <w:szCs w:val="24"/>
        </w:rPr>
      </w:pPr>
      <w:r w:rsidRPr="00FE5480">
        <w:rPr>
          <w:rFonts w:asciiTheme="majorHAnsi" w:hAnsiTheme="majorHAnsi"/>
          <w:sz w:val="24"/>
          <w:szCs w:val="24"/>
        </w:rPr>
        <w:t>W związku z wpłynięciem wniosków o skrócenie terminu obowiązywania decyzji refundacyjnych lub upłynięciem terminu obowiązywania decyzji refundacyjnych</w:t>
      </w:r>
      <w:r w:rsidR="00D91880">
        <w:rPr>
          <w:rFonts w:asciiTheme="majorHAnsi" w:hAnsiTheme="majorHAnsi"/>
          <w:sz w:val="24"/>
          <w:szCs w:val="24"/>
        </w:rPr>
        <w:t>,</w:t>
      </w:r>
      <w:r w:rsidRPr="00FE5480">
        <w:rPr>
          <w:rFonts w:asciiTheme="majorHAnsi" w:hAnsiTheme="majorHAnsi"/>
          <w:sz w:val="24"/>
          <w:szCs w:val="24"/>
        </w:rPr>
        <w:t xml:space="preserve"> lub odmową refundacji na kolejny okres w obwieszczeniu nie znajd</w:t>
      </w:r>
      <w:r w:rsidR="00FE5480" w:rsidRPr="00FE5480">
        <w:rPr>
          <w:rFonts w:asciiTheme="majorHAnsi" w:hAnsiTheme="majorHAnsi"/>
          <w:sz w:val="24"/>
          <w:szCs w:val="24"/>
        </w:rPr>
        <w:t>ą</w:t>
      </w:r>
      <w:r w:rsidRPr="00FE5480">
        <w:rPr>
          <w:rFonts w:asciiTheme="majorHAnsi" w:hAnsiTheme="majorHAnsi"/>
          <w:sz w:val="24"/>
          <w:szCs w:val="24"/>
        </w:rPr>
        <w:t xml:space="preserve"> się </w:t>
      </w:r>
      <w:r w:rsidR="00FE5480" w:rsidRPr="00FE5480">
        <w:rPr>
          <w:rFonts w:asciiTheme="majorHAnsi" w:hAnsiTheme="majorHAnsi"/>
          <w:sz w:val="24"/>
          <w:szCs w:val="24"/>
        </w:rPr>
        <w:t>92</w:t>
      </w:r>
      <w:r w:rsidRPr="00FE5480">
        <w:rPr>
          <w:rFonts w:asciiTheme="majorHAnsi" w:hAnsiTheme="majorHAnsi"/>
          <w:sz w:val="24"/>
          <w:szCs w:val="24"/>
        </w:rPr>
        <w:t xml:space="preserve"> produkt</w:t>
      </w:r>
      <w:r w:rsidR="00FE5480" w:rsidRPr="00FE5480">
        <w:rPr>
          <w:rFonts w:asciiTheme="majorHAnsi" w:hAnsiTheme="majorHAnsi"/>
          <w:sz w:val="24"/>
          <w:szCs w:val="24"/>
        </w:rPr>
        <w:t>y</w:t>
      </w:r>
      <w:r w:rsidRPr="00FE5480">
        <w:rPr>
          <w:rFonts w:asciiTheme="majorHAnsi" w:hAnsiTheme="majorHAnsi"/>
          <w:sz w:val="24"/>
          <w:szCs w:val="24"/>
        </w:rPr>
        <w:t xml:space="preserve"> bądź wskaza</w:t>
      </w:r>
      <w:r w:rsidR="00FE5480" w:rsidRPr="00FE5480">
        <w:rPr>
          <w:rFonts w:asciiTheme="majorHAnsi" w:hAnsiTheme="majorHAnsi"/>
          <w:sz w:val="24"/>
          <w:szCs w:val="24"/>
        </w:rPr>
        <w:t>nia</w:t>
      </w:r>
      <w:r w:rsidRPr="00FE5480">
        <w:rPr>
          <w:rFonts w:asciiTheme="majorHAnsi" w:hAnsiTheme="majorHAnsi"/>
          <w:sz w:val="24"/>
          <w:szCs w:val="24"/>
        </w:rPr>
        <w:t xml:space="preserve"> figurując</w:t>
      </w:r>
      <w:r w:rsidR="00FE5480" w:rsidRPr="00FE5480">
        <w:rPr>
          <w:rFonts w:asciiTheme="majorHAnsi" w:hAnsiTheme="majorHAnsi"/>
          <w:sz w:val="24"/>
          <w:szCs w:val="24"/>
        </w:rPr>
        <w:t>e</w:t>
      </w:r>
      <w:r w:rsidRPr="00FE5480">
        <w:rPr>
          <w:rFonts w:asciiTheme="majorHAnsi" w:hAnsiTheme="majorHAnsi"/>
          <w:sz w:val="24"/>
          <w:szCs w:val="24"/>
        </w:rPr>
        <w:t xml:space="preserve"> </w:t>
      </w:r>
      <w:r w:rsidR="00D91880">
        <w:rPr>
          <w:rFonts w:asciiTheme="majorHAnsi" w:hAnsiTheme="majorHAnsi"/>
          <w:sz w:val="24"/>
          <w:szCs w:val="24"/>
        </w:rPr>
        <w:br/>
      </w:r>
      <w:r w:rsidRPr="00FE5480">
        <w:rPr>
          <w:rFonts w:asciiTheme="majorHAnsi" w:hAnsiTheme="majorHAnsi"/>
          <w:sz w:val="24"/>
          <w:szCs w:val="24"/>
        </w:rPr>
        <w:t>w poprzednim obwieszczeniu.</w:t>
      </w:r>
    </w:p>
    <w:p w14:paraId="514C942E" w14:textId="25E2DFDA" w:rsidR="005058F2" w:rsidRDefault="005058F2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0BB263D9" w14:textId="55AD3168" w:rsidR="0048011A" w:rsidRDefault="0048011A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704D37BF" w14:textId="77777777" w:rsidR="0048011A" w:rsidRDefault="0048011A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>
        <w:rPr>
          <w:rFonts w:ascii="Abadi" w:hAnsi="Abadi"/>
          <w:b/>
          <w:bCs/>
          <w:color w:val="00B0F0"/>
          <w:sz w:val="28"/>
          <w:szCs w:val="28"/>
        </w:rPr>
        <w:t>M</w:t>
      </w:r>
      <w:bookmarkEnd w:id="1"/>
      <w:r>
        <w:rPr>
          <w:rFonts w:ascii="Abadi" w:hAnsi="Abadi"/>
          <w:b/>
          <w:bCs/>
          <w:color w:val="00B0F0"/>
          <w:sz w:val="28"/>
          <w:szCs w:val="28"/>
        </w:rPr>
        <w:t>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70" w:type="dxa"/>
          <w:left w:w="10" w:type="dxa"/>
          <w:bottom w:w="17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1872"/>
        <w:gridCol w:w="2904"/>
        <w:gridCol w:w="4423"/>
      </w:tblGrid>
      <w:tr w:rsidR="005058F2" w:rsidRPr="005058F2" w14:paraId="7E2E9B6A" w14:textId="77777777" w:rsidTr="007E1D17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5058F2" w14:paraId="1C096482" w14:textId="77777777" w:rsidTr="007E1D17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7A4FB5" w:rsidRPr="005058F2" w14:paraId="60CDF2D4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57246D" w:rsidRPr="005058F2" w14:paraId="6EA3834F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B10A" w14:textId="6ADFC279" w:rsidR="0057246D" w:rsidRPr="005058F2" w:rsidRDefault="00916475" w:rsidP="0057246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A8A5" w14:textId="408A4D85" w:rsidR="0057246D" w:rsidRPr="005058F2" w:rsidRDefault="0057246D" w:rsidP="0057246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Keytruda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9DE1" w14:textId="14CCCC66" w:rsidR="0057246D" w:rsidRPr="005058F2" w:rsidRDefault="0057246D" w:rsidP="0057246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pembrolizumab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95B4" w14:textId="0FCA19CF" w:rsidR="0057246D" w:rsidRPr="005058F2" w:rsidRDefault="0057246D" w:rsidP="0057246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 52. 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19D8" w14:textId="33907E5F" w:rsidR="0057246D" w:rsidRPr="00A46F1F" w:rsidRDefault="00A46F1F" w:rsidP="00A46F1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4C30" w14:textId="018440D8" w:rsidR="0057246D" w:rsidRPr="005058F2" w:rsidRDefault="0057246D" w:rsidP="007E1D17">
            <w:pPr>
              <w:spacing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Objęcie refundacją w pierwszej linii terapii </w:t>
            </w:r>
            <w:r w:rsidRPr="00812EC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płaskonabłonkowego raka jamy ustnej, gardła </w:t>
            </w:r>
            <w:r w:rsid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812EC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lub krtani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substancji czynnej </w:t>
            </w:r>
            <w:proofErr w:type="spellStart"/>
            <w:r w:rsidRPr="00392B9E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pembrolizumab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monoterapii lub terapii łączonej z chemioterapią u pacjentów z </w:t>
            </w:r>
            <w:r w:rsidRPr="00812EC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ekspresj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ą</w:t>
            </w:r>
            <w:r w:rsidRPr="00812EC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CPS ≥ 1</w:t>
            </w:r>
          </w:p>
        </w:tc>
      </w:tr>
      <w:tr w:rsidR="00916475" w:rsidRPr="005058F2" w14:paraId="1F4280B1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3394830B" w:rsidR="00916475" w:rsidRPr="005058F2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bookmarkStart w:id="2" w:name="_Hlk112067190"/>
            <w:r w:rsidRPr="005058F2">
              <w:rPr>
                <w:rFonts w:asciiTheme="majorHAnsi" w:hAnsiTheme="majorHAnsi" w:cstheme="majorHAnsi"/>
                <w:color w:val="000000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1799AEF6" w:rsidR="00916475" w:rsidRPr="00356E75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Mylotarg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7DD9DE38" w:rsidR="00916475" w:rsidRPr="00F63AA8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gemtuzumab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ozogamycyny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2A2EF5CB" w:rsidR="00916475" w:rsidRPr="0029403F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0A504720" w:rsidR="00916475" w:rsidRPr="0029403F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620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OSTRĄ BIAŁACZKĘ SZPIKOWĄ </w:t>
            </w:r>
            <w:r w:rsidR="007E1D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D620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(ICD-10: C92.0)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675F" w14:textId="39DA1A32" w:rsidR="005B070E" w:rsidRPr="00D91880" w:rsidRDefault="00916475" w:rsidP="007E1D1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gemtuzumabem</w:t>
            </w:r>
            <w:proofErr w:type="spellEnd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ozogamycyny</w:t>
            </w:r>
            <w:proofErr w:type="spellEnd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D91880"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skojarzeniu z </w:t>
            </w:r>
            <w:proofErr w:type="spellStart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daunorubicyną</w:t>
            </w:r>
            <w:proofErr w:type="spellEnd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cytarabiną</w:t>
            </w:r>
            <w:proofErr w:type="spellEnd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chorych w wieku 15 lat i powyżej na nowo rozpoznaną ostrą białaczkę szpikową występującą </w:t>
            </w:r>
            <w:r w:rsidRPr="00D9188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D9188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novo</w:t>
            </w:r>
            <w:proofErr w:type="spellEnd"/>
            <w:r w:rsidRPr="00D9188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kwalifikujących się do intensywnej chemioterapii indukującej </w:t>
            </w:r>
          </w:p>
          <w:p w14:paraId="384CC36C" w14:textId="744809C9" w:rsidR="00916475" w:rsidRPr="00D91880" w:rsidRDefault="00916475" w:rsidP="007E1D17">
            <w:pPr>
              <w:spacing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916475" w:rsidRPr="005058F2" w14:paraId="33804527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790" w14:textId="6373FEB5" w:rsidR="00916475" w:rsidRPr="005058F2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12B" w14:textId="646DB236" w:rsidR="00916475" w:rsidRPr="00356E75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Venclyxto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00" w14:textId="5F5AB4B5" w:rsidR="00916475" w:rsidRPr="00F63AA8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wenetoklaks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F9E0" w14:textId="35D35D98" w:rsidR="00916475" w:rsidRPr="003D2AE2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6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B700" w14:textId="44C550EB" w:rsidR="00916475" w:rsidRPr="003D2AE2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620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OSTRĄ BIAŁACZKĘ SZPIKOWĄ </w:t>
            </w:r>
            <w:r w:rsidR="007E1D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D620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(ICD-10: C92.0)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91E7" w14:textId="7F2BBC96" w:rsidR="005B070E" w:rsidRPr="00D91880" w:rsidRDefault="00916475" w:rsidP="007E1D1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wenetoklaksem</w:t>
            </w:r>
            <w:proofErr w:type="spellEnd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</w:t>
            </w:r>
            <w:r w:rsidR="00D91880"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azacytydyną</w:t>
            </w:r>
            <w:proofErr w:type="spellEnd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dorosłych chorych na nowo rozpoznaną ostrą białaczkę szpikową występującą </w:t>
            </w:r>
            <w:r w:rsidRPr="00D9188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D9188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novo</w:t>
            </w:r>
            <w:proofErr w:type="spellEnd"/>
            <w:r w:rsidRPr="00D9188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lub wtórną, niekwalifikujących się do intensywnej chemioterapii</w:t>
            </w:r>
          </w:p>
          <w:p w14:paraId="28A476C9" w14:textId="799E4B1E" w:rsidR="00916475" w:rsidRPr="00D91880" w:rsidRDefault="00916475" w:rsidP="007E1D17">
            <w:pPr>
              <w:spacing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916475" w:rsidRPr="005058F2" w14:paraId="5A345E23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1B5BDC3B" w:rsidR="00916475" w:rsidRPr="005058F2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20153ABA" w:rsidR="00916475" w:rsidRPr="00356E75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Xospata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697AAC16" w:rsidR="00916475" w:rsidRPr="00F63AA8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gilterytynib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2228C2E0" w:rsidR="00916475" w:rsidRPr="003D2AE2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E67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60BE2D59" w:rsidR="00916475" w:rsidRPr="003D2AE2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620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OSTRĄ BIAŁACZKĘ SZPIKOWĄ </w:t>
            </w:r>
            <w:r w:rsidR="007E1D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D620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(ICD-10: C92.0)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4B28" w14:textId="7737C398" w:rsidR="005B070E" w:rsidRPr="00D91880" w:rsidRDefault="00916475" w:rsidP="007E1D17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gilterytynibem</w:t>
            </w:r>
            <w:proofErr w:type="spellEnd"/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dorosłych chorych </w:t>
            </w:r>
            <w:r w:rsidR="00D91880"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na oporną lub nawrotową ostrą białaczkę szpikową </w:t>
            </w:r>
            <w:r w:rsidRPr="00D9188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FLT3+</w:t>
            </w:r>
            <w:r w:rsidR="00BC2C6A" w:rsidRPr="00D91880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09834F5" w14:textId="48B4B602" w:rsidR="00916475" w:rsidRPr="00D91880" w:rsidRDefault="00916475" w:rsidP="007E1D17">
            <w:pPr>
              <w:spacing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bookmarkEnd w:id="2"/>
      <w:tr w:rsidR="00916475" w:rsidRPr="005058F2" w14:paraId="2F304C7B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0862FA77" w:rsidR="00916475" w:rsidRPr="0048011A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Pr="0048011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1FC174F0" w:rsidR="00916475" w:rsidRPr="00356E75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Vyxeos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liposomal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5BAFEA29" w:rsidR="00916475" w:rsidRPr="00F63AA8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daunorubicyna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cytarabina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06B711F9" w:rsidR="00916475" w:rsidRPr="0048011A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C.83. 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38392039" w:rsidR="00916475" w:rsidRPr="0048011A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6204E">
              <w:rPr>
                <w:rFonts w:asciiTheme="majorHAnsi" w:hAnsiTheme="majorHAnsi" w:cstheme="majorHAnsi"/>
                <w:sz w:val="20"/>
                <w:szCs w:val="20"/>
              </w:rPr>
              <w:t>DAUNORUBICINUM + CYTARABINUM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D619" w14:textId="05A1F3BE" w:rsidR="005B070E" w:rsidRDefault="00844BEC" w:rsidP="007E1D17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="00916475" w:rsidRPr="005B07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eczenie dorosłych chorych na nowo rozpoznaną ostrą białaczkę szpikową zależną od terapii (t-AML) lub ostrą białaczkę szpikową z cechami zależnymi od </w:t>
            </w:r>
            <w:proofErr w:type="spellStart"/>
            <w:r w:rsidR="00916475" w:rsidRPr="005B07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mielodysplazji</w:t>
            </w:r>
            <w:proofErr w:type="spellEnd"/>
            <w:r w:rsidR="00916475" w:rsidRPr="005B07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(AML-MRC) </w:t>
            </w:r>
          </w:p>
          <w:p w14:paraId="7B0CA559" w14:textId="2DCB34F8" w:rsidR="00916475" w:rsidRPr="00D91880" w:rsidRDefault="00916475" w:rsidP="007E1D17">
            <w:pPr>
              <w:spacing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9188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916475" w:rsidRPr="005058F2" w14:paraId="4C9C4901" w14:textId="77777777" w:rsidTr="007E1D17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916475" w:rsidRPr="005058F2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916475" w:rsidRPr="005058F2" w14:paraId="1394CD71" w14:textId="77777777" w:rsidTr="007E1D17">
        <w:trPr>
          <w:cantSplit/>
          <w:trHeight w:val="628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916475" w:rsidRPr="00A22A7B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916475" w:rsidRPr="00A22A7B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916475" w:rsidRPr="00A22A7B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916475" w:rsidRPr="00A22A7B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916475" w:rsidRPr="00A22A7B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916475" w:rsidRPr="00A22A7B" w:rsidRDefault="00916475" w:rsidP="0091647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A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1B31FF" w:rsidRPr="005058F2" w14:paraId="7B347F62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152" w14:textId="2E7544A8" w:rsidR="001B31FF" w:rsidRPr="00E074B4" w:rsidRDefault="00BB1F1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="001B31FF" w:rsidRPr="00E074B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7F8B" w14:textId="48B40500" w:rsidR="001B31FF" w:rsidRPr="00E074B4" w:rsidRDefault="001B31FF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74B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Evrysdi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DFA6" w14:textId="1C1FB63A" w:rsidR="001B31FF" w:rsidRPr="00E074B4" w:rsidRDefault="005B070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074B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</w:t>
            </w:r>
            <w:r w:rsidR="001B31FF" w:rsidRPr="00E074B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isdiplam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A936" w14:textId="107E1B9D" w:rsidR="001B31FF" w:rsidRPr="00E074B4" w:rsidRDefault="001B31FF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B.102.FM.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6883" w14:textId="7ADE9156" w:rsidR="001B31FF" w:rsidRPr="00E074B4" w:rsidRDefault="001B31FF" w:rsidP="001B31F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LECZENIE CHORYCH NA RDZENIOWY ZANIK MIĘŚNI </w:t>
            </w:r>
            <w:r w:rsid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(ICD-10: G12.0, G12.1)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A88D" w14:textId="59004A22" w:rsidR="005B070E" w:rsidRPr="00E074B4" w:rsidRDefault="001B31FF" w:rsidP="00D9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nowej terapii w leczeniu pacjentów z SMA u których stwierdzone zostały przeciwwskazania </w:t>
            </w:r>
            <w:r w:rsidR="00D9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 leczenia 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nusinersenem</w:t>
            </w:r>
            <w:proofErr w:type="spellEnd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Do terapii kwalifikowani zostaną pacjenci w wieku 2 miesięcy i starsi: </w:t>
            </w:r>
            <w:r w:rsidR="00D9188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 klinicznym rozpoznaniem SMA typu 1, typu 2 lub typu 3 lub posiadający od jednej do czterech kopii genu SMN2.</w:t>
            </w:r>
            <w:r w:rsidR="0062134B"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F055902" w14:textId="5B6D79EA" w:rsidR="0062134B" w:rsidRPr="007E1D17" w:rsidRDefault="001B31FF" w:rsidP="00D9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</w:tc>
      </w:tr>
      <w:tr w:rsidR="001B31FF" w:rsidRPr="005058F2" w14:paraId="7876F164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65C3" w14:textId="65C43335" w:rsidR="001B31FF" w:rsidRPr="00E074B4" w:rsidRDefault="00BB1F1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</w:rPr>
              <w:t>2</w:t>
            </w:r>
            <w:r w:rsidR="001B31FF" w:rsidRPr="00E074B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A867" w14:textId="4FF0AD5A" w:rsidR="001B31FF" w:rsidRPr="00E074B4" w:rsidRDefault="001B31FF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074B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Zolgensma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6AF5" w14:textId="7986EBF4" w:rsidR="001B31FF" w:rsidRPr="00E074B4" w:rsidRDefault="00844BEC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074B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Pr="00E074B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74B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abeparwowek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2D4C" w14:textId="64CDF96E" w:rsidR="001B31FF" w:rsidRPr="00E074B4" w:rsidRDefault="001B31FF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B.102.FM.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6C7E" w14:textId="477A808F" w:rsidR="001B31FF" w:rsidRPr="00E074B4" w:rsidRDefault="001B31FF" w:rsidP="001B31FF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LECZENIE CHORYCH NA RDZENIOWY ZANIK MIĘŚNI </w:t>
            </w:r>
            <w:r w:rsid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(ICD-10: G12.0, G12.1)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9800" w14:textId="7AA46B55" w:rsidR="005B070E" w:rsidRPr="00E074B4" w:rsidRDefault="001B31FF" w:rsidP="007E1D17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nowej terapii </w:t>
            </w:r>
            <w:r w:rsidR="00844BEC"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genowej </w:t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w leczeniu pacjentów z SMA u których uprzednio nie zostało zastosowane jakiekolwiek leczenie. Do terapii kwalifikowani zostaną pacjenci 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przedobjawowi</w:t>
            </w:r>
            <w:proofErr w:type="spellEnd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i objawowi z rozpoznaniem rdzeniowego zaniku mięśni (SMA) 5q z 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bialleliczną</w:t>
            </w:r>
            <w:proofErr w:type="spellEnd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mutacją genu SMN1 </w:t>
            </w:r>
            <w:r w:rsid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i z nie więcej niż 3 kopiami genu SMN2 badani </w:t>
            </w:r>
            <w:r w:rsid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 ramach Narodowego Programu Badań Przesiewowych Noworodków w Polsce.</w:t>
            </w:r>
            <w:r w:rsidR="0062134B"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E02A9E8" w14:textId="7715EB02" w:rsidR="001B31FF" w:rsidRPr="00E074B4" w:rsidRDefault="001B31FF" w:rsidP="0062134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  <w:p w14:paraId="45B2D3DF" w14:textId="10B697E3" w:rsidR="0062134B" w:rsidRPr="007E1D17" w:rsidRDefault="00844BEC" w:rsidP="0062134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7E1D1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2134B" w:rsidRPr="007E1D1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echnologia lekowa o wysokim poziomie innowacyjności (technologia finansowana </w:t>
            </w:r>
            <w:r w:rsidR="007E1D1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62134B" w:rsidRPr="007E1D1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z Funduszu Medycznego)</w:t>
            </w:r>
          </w:p>
        </w:tc>
      </w:tr>
      <w:tr w:rsidR="00791B0D" w:rsidRPr="005058F2" w14:paraId="5CBAF64C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C548" w14:textId="59C022DC" w:rsidR="00791B0D" w:rsidRPr="007321D8" w:rsidRDefault="00BB1F1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  <w:r w:rsidR="00791B0D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5A77" w14:textId="280AC7C8" w:rsidR="00791B0D" w:rsidRPr="00356E75" w:rsidRDefault="00791B0D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1B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Sirturo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2BA6" w14:textId="2E6B4A45" w:rsidR="00791B0D" w:rsidRPr="00AE069A" w:rsidRDefault="005B070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</w:t>
            </w:r>
            <w:r w:rsidR="00791B0D" w:rsidRPr="00791B0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edakilina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3D6C" w14:textId="2A928E8C" w:rsidR="00791B0D" w:rsidRPr="00A22A7B" w:rsidRDefault="00791B0D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B.136</w:t>
            </w:r>
            <w:r w:rsidR="00987F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7E1D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FM.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21F7" w14:textId="264732D5" w:rsidR="00791B0D" w:rsidRPr="00A22A7B" w:rsidRDefault="00791B0D" w:rsidP="00791B0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GRUŹLICĘ LEKOOPORNĄ (MDR/XDR) (ICD-10: A15)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B46D" w14:textId="77777777" w:rsidR="00791B0D" w:rsidRDefault="00791B0D" w:rsidP="007E1D17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Terapia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bedakiliną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gruźlicy płuc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wielolekoopornej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(MDR-TB).</w:t>
            </w:r>
          </w:p>
          <w:p w14:paraId="1D04D062" w14:textId="151A62BA" w:rsidR="00987F47" w:rsidRDefault="00987F47" w:rsidP="00987F4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07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791B0D" w:rsidRPr="005058F2" w14:paraId="527A44A0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4509" w14:textId="75E693BA" w:rsidR="00791B0D" w:rsidRPr="007321D8" w:rsidRDefault="00BB1F1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</w:t>
            </w:r>
            <w:r w:rsidR="00791B0D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3D24" w14:textId="07AF93D4" w:rsidR="00791B0D" w:rsidRPr="00356E75" w:rsidRDefault="00791B0D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1B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Dovprela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63DF" w14:textId="3FC0D54B" w:rsidR="00791B0D" w:rsidRPr="00AE069A" w:rsidRDefault="005B070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</w:t>
            </w:r>
            <w:r w:rsidR="00791B0D" w:rsidRPr="00791B0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retomanid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3B07" w14:textId="25E37A05" w:rsidR="00791B0D" w:rsidRPr="00A22A7B" w:rsidRDefault="00791B0D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B.136</w:t>
            </w:r>
            <w:r w:rsidR="00987F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7E1D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FM.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4D4A" w14:textId="78E5AC5A" w:rsidR="00791B0D" w:rsidRPr="00A22A7B" w:rsidRDefault="00791B0D" w:rsidP="00791B0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GRUŹLICĘ LEKOOPORNĄ (MDR/XDR) (ICD-10: A15)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C87A" w14:textId="77777777" w:rsidR="00791B0D" w:rsidRDefault="00791B0D" w:rsidP="00791B0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Terapia gruźlicy płuc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wielolekoopornej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(MDR-TB) lub gruźlicy płuc o rozszerzonej oporności (XDR-TB)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pretomanidem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bedakiliną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linezolidem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7F4DE7C" w14:textId="77777777" w:rsidR="00987F47" w:rsidRDefault="00987F47" w:rsidP="00987F4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07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  <w:p w14:paraId="3051F03E" w14:textId="48080A9F" w:rsidR="007E1D17" w:rsidRDefault="007E1D17" w:rsidP="00987F4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E1D1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Technologia lekowa o wysokim poziomie innowacyjności (technologia finansowana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E1D1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z Funduszu Medycznego)</w:t>
            </w:r>
          </w:p>
        </w:tc>
      </w:tr>
      <w:tr w:rsidR="00791B0D" w:rsidRPr="005058F2" w14:paraId="1BA7C42C" w14:textId="77777777" w:rsidTr="007E1D1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00A8AE8B" w:rsidR="00791B0D" w:rsidRPr="007321D8" w:rsidRDefault="00BB1F1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  <w:r w:rsidR="00791B0D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556918E5" w:rsidR="00791B0D" w:rsidRPr="00356E75" w:rsidRDefault="00791B0D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1B0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defirix</w:t>
            </w:r>
            <w:proofErr w:type="spellEnd"/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5B3C28AC" w:rsidR="00791B0D" w:rsidRPr="00AE069A" w:rsidRDefault="005B070E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</w:t>
            </w:r>
            <w:r w:rsidR="00791B0D" w:rsidRPr="00791B0D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mlifidaza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07F38120" w:rsidR="00791B0D" w:rsidRPr="00A22A7B" w:rsidRDefault="00791B0D" w:rsidP="005B070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B.137</w:t>
            </w:r>
            <w:r w:rsidR="00987F4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7E1D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FM.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837" w14:textId="41A2D294" w:rsidR="00791B0D" w:rsidRPr="00A22A7B" w:rsidRDefault="00791B0D" w:rsidP="00791B0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ODCZULANIE WYSOKO IMMUNIZOWANYCH DOROSŁYCH BIORCÓW PRZESZCZEPU NERKI </w:t>
            </w:r>
            <w:r w:rsidR="007E1D17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(ICD-10</w:t>
            </w:r>
            <w:r w:rsidR="007E1D17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N18)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0EE6" w14:textId="7EB1C654" w:rsidR="00791B0D" w:rsidRDefault="00791B0D" w:rsidP="007E1D17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Leczenie </w:t>
            </w:r>
            <w:proofErr w:type="spellStart"/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desensytyzacyjne</w:t>
            </w:r>
            <w:proofErr w:type="spellEnd"/>
            <w:r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(odczulanie) u wysoko immunizowanych biorców przeszczepu nerki.</w:t>
            </w:r>
          </w:p>
          <w:p w14:paraId="3415662C" w14:textId="77777777" w:rsidR="00987F47" w:rsidRPr="005B070E" w:rsidRDefault="00987F47" w:rsidP="00987F4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07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  <w:p w14:paraId="55DD0C8E" w14:textId="1E754F6F" w:rsidR="005B070E" w:rsidRPr="007E1D17" w:rsidRDefault="000D4ADE" w:rsidP="00791B0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7E1D1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</w:t>
            </w:r>
            <w:r w:rsidR="005B070E" w:rsidRPr="007E1D1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echnologia lekowa o wysokim poziomie innowacyjności (technologia finansowana </w:t>
            </w:r>
            <w:r w:rsidR="007E1D1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="005B070E" w:rsidRPr="007E1D1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 Funduszu Medycznego)</w:t>
            </w:r>
          </w:p>
        </w:tc>
      </w:tr>
    </w:tbl>
    <w:p w14:paraId="17160E61" w14:textId="77777777" w:rsidR="001A7E82" w:rsidRDefault="001A7E82"/>
    <w:tbl>
      <w:tblPr>
        <w:tblW w:w="4984" w:type="pct"/>
        <w:tblCellMar>
          <w:top w:w="170" w:type="dxa"/>
          <w:left w:w="10" w:type="dxa"/>
          <w:bottom w:w="17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1640"/>
        <w:gridCol w:w="3246"/>
        <w:gridCol w:w="8422"/>
      </w:tblGrid>
      <w:tr w:rsidR="00A434EB" w:rsidRPr="005058F2" w14:paraId="0B833808" w14:textId="77777777" w:rsidTr="007E1D17">
        <w:trPr>
          <w:trHeight w:val="2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Zmiany w programach lekowych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i chemioterapii</w:t>
            </w:r>
          </w:p>
        </w:tc>
      </w:tr>
      <w:tr w:rsidR="00A434EB" w:rsidRPr="005058F2" w14:paraId="2BCC5E80" w14:textId="77777777" w:rsidTr="007E1D17">
        <w:trPr>
          <w:trHeight w:val="22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nu</w:t>
            </w:r>
            <w:r w:rsidRPr="00A118F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eru załącznika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lub załącznika che</w:t>
            </w: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ioterapii</w:t>
            </w:r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5058F2" w:rsidRDefault="00A434EB" w:rsidP="00A434E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/ załącznika chemioterapii</w:t>
            </w:r>
          </w:p>
        </w:tc>
      </w:tr>
      <w:tr w:rsidR="008A22B5" w:rsidRPr="005058F2" w14:paraId="50DA02B0" w14:textId="77777777" w:rsidTr="007E1D17">
        <w:trPr>
          <w:trHeight w:val="1061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4F0E62BB" w:rsidR="008A22B5" w:rsidRPr="00E074B4" w:rsidRDefault="008A22B5" w:rsidP="008A22B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6D3CA340" w:rsidR="008A22B5" w:rsidRPr="00E074B4" w:rsidRDefault="008A22B5" w:rsidP="005B070E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B.44.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1610B52C" w:rsidR="008A22B5" w:rsidRPr="00E074B4" w:rsidRDefault="008A22B5" w:rsidP="005B070E">
            <w:pPr>
              <w:autoSpaceDE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15751CBC" w:rsidR="008A22B5" w:rsidRPr="00E074B4" w:rsidRDefault="008A22B5" w:rsidP="005B070E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Rozszerzenia wskazania dla 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dupilumabu</w:t>
            </w:r>
            <w:proofErr w:type="spellEnd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u osób powyżej 18. roku życia z ciężką, oporną na leczenie astmą z zapaleniem typu 2 o liczbę eozynofilii we krwi obwodowej od ≥ 150 do &lt; 350 komórek/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μl</w:t>
            </w:r>
            <w:proofErr w:type="spellEnd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stosujący 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glikokortykosteroidy</w:t>
            </w:r>
            <w:proofErr w:type="spellEnd"/>
          </w:p>
        </w:tc>
      </w:tr>
      <w:tr w:rsidR="008A22B5" w:rsidRPr="005058F2" w14:paraId="45B4474C" w14:textId="77777777" w:rsidTr="007E1D17">
        <w:trPr>
          <w:trHeight w:val="692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082E" w14:textId="763F2449" w:rsidR="008A22B5" w:rsidRPr="00E074B4" w:rsidRDefault="00A062E6" w:rsidP="008A22B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BBAD" w14:textId="3719BC92" w:rsidR="008A22B5" w:rsidRPr="00E074B4" w:rsidRDefault="008A22B5" w:rsidP="005B070E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 52.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DC80" w14:textId="7163F26C" w:rsidR="008A22B5" w:rsidRPr="00E074B4" w:rsidRDefault="008A22B5" w:rsidP="005B070E">
            <w:pPr>
              <w:autoSpaceDE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EFB2" w14:textId="2257FAB8" w:rsidR="008A22B5" w:rsidRPr="00E074B4" w:rsidRDefault="008A22B5" w:rsidP="005B070E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nowego schematu chemioterapii w przypadku terapii łączonej z </w:t>
            </w:r>
            <w:proofErr w:type="spellStart"/>
            <w:r w:rsidRPr="00E074B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cetuksymabem</w:t>
            </w:r>
            <w:proofErr w:type="spellEnd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TPEx</w:t>
            </w:r>
            <w:proofErr w:type="spellEnd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8A22B5" w:rsidRPr="005058F2" w14:paraId="10839E27" w14:textId="77777777" w:rsidTr="007E1D17">
        <w:trPr>
          <w:trHeight w:val="844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CEF4" w14:textId="4E99E1DF" w:rsidR="008A22B5" w:rsidRPr="00E074B4" w:rsidRDefault="00A062E6" w:rsidP="008A22B5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</w:rPr>
              <w:t>3</w:t>
            </w:r>
            <w:r w:rsidR="008A22B5" w:rsidRPr="00E074B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4F51" w14:textId="0F3F9FCF" w:rsidR="008A22B5" w:rsidRPr="00E074B4" w:rsidRDefault="008A22B5" w:rsidP="005B070E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B.59.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A6BF" w14:textId="16E28678" w:rsidR="008A22B5" w:rsidRPr="00E074B4" w:rsidRDefault="008A22B5" w:rsidP="005B070E">
            <w:pPr>
              <w:autoSpaceDE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pacjentów z czerniakiem skóry lub błon śluzowych</w:t>
            </w:r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2E2CD" w14:textId="48DC0FBE" w:rsidR="008A22B5" w:rsidRPr="00E074B4" w:rsidRDefault="008A22B5" w:rsidP="005B070E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Zmiana częstotliwości badań obrazowych wykonywanych w trakcie monitorowania terapii </w:t>
            </w:r>
            <w:r w:rsid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w przypadku pacjentów leczonych przez co najmniej 24 miesiące w programie</w:t>
            </w:r>
          </w:p>
        </w:tc>
      </w:tr>
      <w:tr w:rsidR="00BD1C6E" w:rsidRPr="005058F2" w14:paraId="571B0832" w14:textId="77777777" w:rsidTr="007E1D17">
        <w:trPr>
          <w:trHeight w:val="1118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3F7720A9" w:rsidR="00BD1C6E" w:rsidRPr="00E074B4" w:rsidRDefault="00BB1F1E" w:rsidP="00BD1C6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</w:rPr>
              <w:t>4</w:t>
            </w:r>
            <w:r w:rsidR="00BD1C6E" w:rsidRPr="00E074B4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10AA6825" w:rsidR="00BD1C6E" w:rsidRPr="00E074B4" w:rsidRDefault="00BD1C6E" w:rsidP="005B070E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B.82.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235ADD7E" w:rsidR="00BD1C6E" w:rsidRPr="00E074B4" w:rsidRDefault="00BD1C6E" w:rsidP="005B070E">
            <w:pPr>
              <w:pStyle w:val="Style2"/>
              <w:widowControl/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  <w:r w:rsidRPr="00E074B4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eastAsia="en-US"/>
              </w:rPr>
              <w:t xml:space="preserve">Leczenie pacjentów z aktywną postacią </w:t>
            </w:r>
            <w:proofErr w:type="spellStart"/>
            <w:r w:rsidRPr="00E074B4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eastAsia="en-US"/>
              </w:rPr>
              <w:t>spondyloartropatii</w:t>
            </w:r>
            <w:proofErr w:type="spellEnd"/>
            <w:r w:rsidRPr="00E074B4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074B4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eastAsia="en-US"/>
              </w:rPr>
              <w:t>SpA</w:t>
            </w:r>
            <w:proofErr w:type="spellEnd"/>
            <w:r w:rsidRPr="00E074B4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eastAsia="en-US"/>
              </w:rPr>
              <w:t>) bez zmian radiograficznych charakterystycznych dla ZZSK (ICD-10: M46.8)</w:t>
            </w:r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3D54D5BF" w:rsidR="00BD1C6E" w:rsidRPr="00E074B4" w:rsidRDefault="00BD1C6E" w:rsidP="005B070E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Refundacja leków zawierających substancję czynną 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etanercept</w:t>
            </w:r>
            <w:proofErr w:type="spellEnd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w zakresie wskazań do odmiennych </w:t>
            </w:r>
            <w:r w:rsidR="007E1D1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niż określone w Charakterystyce Produktu Leczniczego, tj. leczenie obwodowej postaci </w:t>
            </w:r>
            <w:proofErr w:type="spellStart"/>
            <w:r w:rsidRPr="00E074B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SpA</w:t>
            </w:r>
            <w:proofErr w:type="spellEnd"/>
          </w:p>
        </w:tc>
      </w:tr>
      <w:tr w:rsidR="00BD1C6E" w:rsidRPr="005058F2" w14:paraId="66D571B6" w14:textId="77777777" w:rsidTr="007E1D17">
        <w:trPr>
          <w:trHeight w:val="978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4976EC38" w:rsidR="00BD1C6E" w:rsidRPr="005058F2" w:rsidRDefault="00BB1F1E" w:rsidP="00BD1C6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  <w:r w:rsidR="00BD1C6E"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58824C07" w:rsidR="00BD1C6E" w:rsidRPr="005D269A" w:rsidRDefault="00BD1C6E" w:rsidP="005B070E">
            <w:pPr>
              <w:pStyle w:val="Style2"/>
              <w:widowControl/>
              <w:spacing w:before="100" w:beforeAutospacing="1" w:after="100" w:afterAutospacing="1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B.107.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472AB161" w:rsidR="00BD1C6E" w:rsidRPr="005D269A" w:rsidRDefault="00BD1C6E" w:rsidP="005B070E">
            <w:pPr>
              <w:pStyle w:val="Style2"/>
              <w:widowControl/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093807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Leczenie </w:t>
            </w: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chorych z </w:t>
            </w:r>
            <w:r w:rsidRPr="00093807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przewlekł</w:t>
            </w: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ą</w:t>
            </w:r>
            <w:r w:rsidRPr="00093807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 pokrzywk</w:t>
            </w: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ą</w:t>
            </w:r>
            <w:r w:rsidRPr="00093807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 spontaniczn</w:t>
            </w: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ą</w:t>
            </w:r>
            <w:r w:rsidRPr="00093807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 (ICD-10: L50.1)</w:t>
            </w:r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6FC32BFA" w:rsidR="00BD1C6E" w:rsidRPr="00FE6EDA" w:rsidRDefault="00BD1C6E" w:rsidP="005B070E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0938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miany mają głównie charakter administracyjny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r w:rsidRPr="0009380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będą ułatwieniem dla pacjentów oraz realizatorów programu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Przykładem zmiany jest </w:t>
            </w:r>
            <w:r w:rsidRPr="00CF2A7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 </w:t>
            </w:r>
            <w:r w:rsidRPr="00CF2A7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wymogu co najmniej sześciomiesięcznego </w:t>
            </w:r>
            <w:r w:rsidR="007E1D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CF2A7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udokumentowania historii przewlekłej pokrzywki spontanicznej</w:t>
            </w:r>
          </w:p>
        </w:tc>
      </w:tr>
      <w:tr w:rsidR="00BD1C6E" w:rsidRPr="005058F2" w14:paraId="1EC37EE4" w14:textId="77777777" w:rsidTr="007E1D17">
        <w:trPr>
          <w:trHeight w:val="978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283307E5" w:rsidR="00BD1C6E" w:rsidRPr="005058F2" w:rsidRDefault="00BB1F1E" w:rsidP="00BD1C6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BD1C6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2601BFF1" w:rsidR="00BD1C6E" w:rsidRPr="007D6A3A" w:rsidRDefault="00BD1C6E" w:rsidP="005B070E">
            <w:pPr>
              <w:pStyle w:val="Style2"/>
              <w:widowControl/>
              <w:spacing w:before="100" w:beforeAutospacing="1" w:after="100" w:afterAutospacing="1"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B.110.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7A98E589" w:rsidR="00BD1C6E" w:rsidRPr="007D6A3A" w:rsidRDefault="00BD1C6E" w:rsidP="005B070E">
            <w:pPr>
              <w:pStyle w:val="Style2"/>
              <w:widowControl/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</w:pPr>
            <w:r w:rsidRPr="00400E7C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Leczenie </w:t>
            </w:r>
            <w:proofErr w:type="spellStart"/>
            <w:r w:rsidRPr="00400E7C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dinutuksymabem</w:t>
            </w:r>
            <w:proofErr w:type="spellEnd"/>
            <w:r w:rsidRPr="00400E7C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 beta pacjentów z nerwiakiem zarodkowym współczulnym (ICD-10</w:t>
            </w:r>
            <w:r w:rsidR="007E1D17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>:</w:t>
            </w:r>
            <w:r w:rsidRPr="00400E7C"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en-US"/>
              </w:rPr>
              <w:t xml:space="preserve"> C47)</w:t>
            </w:r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56AAC137" w:rsidR="00BD1C6E" w:rsidRPr="00FE6EDA" w:rsidRDefault="00BD1C6E" w:rsidP="005B070E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</w:t>
            </w:r>
            <w:r w:rsidRPr="00400E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miany mają charakter porządkujący oraz dostosowują zapisy programu lekowego do aktualnych </w:t>
            </w:r>
            <w:r w:rsidR="007E1D1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400E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wytycznych klinicznych.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Główna zmiana to </w:t>
            </w:r>
            <w:r w:rsidRPr="00400E7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rezygnacja z części badań kontrolnych wymaganych w związku ze stosowaniem interleukiny 2 (IL-2).</w:t>
            </w:r>
          </w:p>
        </w:tc>
      </w:tr>
    </w:tbl>
    <w:p w14:paraId="452A616A" w14:textId="6B3F4735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p w14:paraId="08AE375A" w14:textId="77777777" w:rsidR="0056748F" w:rsidRDefault="0056748F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br w:type="page"/>
      </w:r>
    </w:p>
    <w:p w14:paraId="703841AA" w14:textId="45026A20" w:rsidR="0056748F" w:rsidRDefault="0056748F" w:rsidP="0056748F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bookmarkStart w:id="3" w:name="_Hlk90283710"/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4963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2185"/>
        <w:gridCol w:w="2202"/>
        <w:gridCol w:w="4790"/>
        <w:gridCol w:w="4110"/>
      </w:tblGrid>
      <w:tr w:rsidR="00AD08C5" w:rsidRPr="005058F2" w14:paraId="2CD1B9F9" w14:textId="77777777" w:rsidTr="00177179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3"/>
          <w:p w14:paraId="05E7E891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5058F2" w14:paraId="7C1774EA" w14:textId="77777777" w:rsidTr="00177179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E55CFC" w:rsidRPr="005058F2" w14:paraId="7D53B9E1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5058F2" w:rsidRDefault="00A118F0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środka spożywczego specjalnego przeznaczenia lub wyrobu </w:t>
            </w:r>
            <w:r w:rsidRPr="00051701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57246D" w:rsidRPr="005058F2" w14:paraId="3E62A70D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7777777" w:rsidR="0057246D" w:rsidRPr="005058F2" w:rsidRDefault="0057246D" w:rsidP="0057246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E6ED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Pr="005058F2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5D605984" w:rsidR="0057246D" w:rsidRPr="00356E75" w:rsidRDefault="0057246D" w:rsidP="0057246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119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Forxiga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369599C5" w:rsidR="0057246D" w:rsidRPr="00F63AA8" w:rsidRDefault="00CC6586" w:rsidP="0057246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</w:t>
            </w:r>
            <w:r w:rsidR="0057246D" w:rsidRPr="007D119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apaglifloz</w:t>
            </w:r>
            <w:r w:rsidR="00976539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yna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2D7AFD39" w:rsidR="0057246D" w:rsidRPr="00FE6EDA" w:rsidRDefault="0057246D" w:rsidP="0057246D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leczonych co najmniej dwoma lekami hipoglikemizującymi, z HbA1c ≥ 7,5% oraz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bardzo wysokim ryzykiem sercowo-naczyniowym rozumianym jako: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1)</w:t>
            </w:r>
            <w:r w:rsidR="00E55C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potwierdzona choroba sercowo-naczyniowa, lub 2)</w:t>
            </w:r>
            <w:r w:rsidR="00E55C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uszkodzenie innych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narządów objawiające się poprzez: białkomocz lub przerost lewej komory lub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retinopatię, lub 3)</w:t>
            </w:r>
            <w:r w:rsidR="00E55CF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obecność 3 lub więcej głównych czynników ryzyka spośród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wymienionych poniżej: -wiek ≥ 55 lat dla mężczyzn, ≥60 lat dla kobiet, -</w:t>
            </w:r>
            <w:proofErr w:type="spellStart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-nadciśnienie tętnicze, -palenie tytoniu, -otyłość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199C" w14:textId="77777777" w:rsidR="00976539" w:rsidRPr="00976539" w:rsidRDefault="00976539" w:rsidP="00976539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5FDF49D1" w14:textId="3A76307B" w:rsidR="00976539" w:rsidRPr="00976539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 w:hanging="28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zmniejszenie wymogu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HbA1c ≥ 8,0% na HbA1c ≥ 7,5%</w:t>
            </w:r>
          </w:p>
          <w:p w14:paraId="1EB3420B" w14:textId="39E5BB53" w:rsidR="00976539" w:rsidRPr="00976539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 w:hanging="28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ograniczenia w zakresie braku stosowania insuliny przez pacjenta przed zastosowaniem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leków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flozynowych</w:t>
            </w:r>
            <w:proofErr w:type="spellEnd"/>
          </w:p>
          <w:p w14:paraId="45CC0182" w14:textId="1734ADFC" w:rsidR="0057246D" w:rsidRPr="00BB1F1E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 w:hanging="28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</w:t>
            </w:r>
            <w:r w:rsidR="00844B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ę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cie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konieczności 6 miesięcznego okresu stosowania dwóch leków przed włączeniem do leczenia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lekami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flozynowymi</w:t>
            </w:r>
            <w:proofErr w:type="spellEnd"/>
          </w:p>
        </w:tc>
      </w:tr>
      <w:tr w:rsidR="00B82FA0" w:rsidRPr="005058F2" w14:paraId="47BE02C4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47E9" w14:textId="294ABF5D" w:rsidR="00B82FA0" w:rsidRPr="00FE6EDA" w:rsidRDefault="00916475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7269" w14:textId="7EB8FC03" w:rsidR="00B82FA0" w:rsidRPr="007D1194" w:rsidRDefault="00B82FA0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526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Galvus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0BE7" w14:textId="7D4FFBFD" w:rsidR="00B82FA0" w:rsidRPr="007D1194" w:rsidRDefault="00976539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widagliptyna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43A8" w14:textId="3E2D85FD" w:rsidR="00B82FA0" w:rsidRPr="007D1194" w:rsidRDefault="00B82FA0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526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doustnej terapii, w skojarzeniu z </w:t>
            </w:r>
            <w:proofErr w:type="spellStart"/>
            <w:r w:rsidRPr="00A526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metforminą</w:t>
            </w:r>
            <w:proofErr w:type="spellEnd"/>
            <w:r w:rsidRPr="00A526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cukrzyca typu 2 u pacjentów u których zastosowanie </w:t>
            </w:r>
            <w:proofErr w:type="spellStart"/>
            <w:r w:rsidRPr="00A526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metforminy</w:t>
            </w:r>
            <w:proofErr w:type="spellEnd"/>
            <w:r w:rsidRPr="00A526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maksymalnie tolerowanej dawce w monoterapii nie pozwala osiągnąć dobrej kontroli glikemii, wartość HbA1c&gt;7% (przez co najmniej </w:t>
            </w:r>
            <w:r w:rsidR="001771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A526E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 miesiące)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5A59" w14:textId="0BB30857" w:rsidR="00B82FA0" w:rsidRPr="0012004C" w:rsidRDefault="00976539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B82FA0" w:rsidRPr="005058F2" w14:paraId="5C8ABE69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B363" w14:textId="04C2BD57" w:rsidR="00B82FA0" w:rsidRPr="00FE6EDA" w:rsidRDefault="00916475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959D" w14:textId="6D2416D0" w:rsidR="00B82FA0" w:rsidRPr="00A526EC" w:rsidRDefault="00B82FA0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Ikervis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67CC" w14:textId="0548A5D0" w:rsidR="00B82FA0" w:rsidRPr="00A526EC" w:rsidRDefault="00CC6586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</w:t>
            </w:r>
            <w:r w:rsidR="00B7385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yklosporyna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ED0E" w14:textId="3354F0D0" w:rsidR="00B82FA0" w:rsidRPr="00A526EC" w:rsidRDefault="00987F47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40E4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Ciężkie zapalenie rogówki u dorosłych pacjentów z zespołem suchego oka, u których nie nastąpiła poprawa pomimo stosowania preparatów sztucznych łez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F3CD" w14:textId="708586ED" w:rsidR="00B82FA0" w:rsidRDefault="00A46F1F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Krople do oczu 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cyklosporyną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we wskazaniu leczenia zapalenia rogówki</w:t>
            </w:r>
          </w:p>
        </w:tc>
      </w:tr>
      <w:tr w:rsidR="00B82FA0" w:rsidRPr="005058F2" w14:paraId="0E8BCB4B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E9A2" w14:textId="4D8D66C8" w:rsidR="00B82FA0" w:rsidRPr="00FE6EDA" w:rsidRDefault="00916475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D115" w14:textId="091A99F1" w:rsidR="00B82FA0" w:rsidRPr="007D1194" w:rsidRDefault="00B82FA0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D119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Invokana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D551" w14:textId="1205A2BB" w:rsidR="00B82FA0" w:rsidRPr="007D1194" w:rsidRDefault="00B73852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kanagliflozyna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513B" w14:textId="737A0EE7" w:rsidR="00B82FA0" w:rsidRPr="007D1194" w:rsidRDefault="00B82FA0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Cukrzyca typu 2 u pacjentów leczonych co najmniej dwoma lekami hipoglikemizującymi, z HbA1c ≥ 7,5% oraz bardzo wysokim ryzykiem sercowo-naczyniowym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rozumianym jako: 1)potwierdzona choroba sercowo-naczyniowa, lub 2)uszkodzenie innych narządów objawiające się poprzez: białkomocz lub przerost lewej komory lub retinopatię, lub 3)obecność 3 lub więcej głównych czynników ryzyka spośród wymienionych poniżej: -wiek ≥ 55 lat dla mężczyzn, ≥60 lat dla kobiet, -</w:t>
            </w:r>
            <w:proofErr w:type="spellStart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-nadciśnienie tętnicze, -palenie tytoniu, -otyłość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E337" w14:textId="77777777" w:rsidR="00976539" w:rsidRPr="00976539" w:rsidRDefault="00976539" w:rsidP="00976539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Rozszerzenie aktualnego wskazania refundacyjnego, tj.:</w:t>
            </w:r>
          </w:p>
          <w:p w14:paraId="30D573C6" w14:textId="1A5E2EE4" w:rsidR="00976539" w:rsidRPr="00976539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 w:hanging="28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zmniejszenie wymogu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HbA1c ≥ 8,0% na HbA1c ≥ 7,5%</w:t>
            </w:r>
          </w:p>
          <w:p w14:paraId="07C72EA7" w14:textId="29686BDD" w:rsidR="00976539" w:rsidRPr="00976539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 w:hanging="28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ograniczenia w zakresie braku stosowania insuliny przez pacjenta przed zastosowaniem leków </w:t>
            </w:r>
            <w:proofErr w:type="spellStart"/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flozynowych</w:t>
            </w:r>
            <w:proofErr w:type="spellEnd"/>
          </w:p>
          <w:p w14:paraId="73B1FEE0" w14:textId="16B3A921" w:rsidR="00B82FA0" w:rsidRPr="00BB1F1E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 w:hanging="283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konieczności 6 miesięcznego okresu stosowania dwóch leków przed włączeniem do leczenia lekami </w:t>
            </w:r>
            <w:proofErr w:type="spellStart"/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flozynowymi</w:t>
            </w:r>
            <w:proofErr w:type="spellEnd"/>
          </w:p>
        </w:tc>
      </w:tr>
      <w:tr w:rsidR="00B73852" w:rsidRPr="005058F2" w14:paraId="0F68DD90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A437" w14:textId="351691DD" w:rsidR="00B73852" w:rsidRPr="00FE6EDA" w:rsidRDefault="00B73852" w:rsidP="00B73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9D4A" w14:textId="3088DA2E" w:rsidR="00B73852" w:rsidRPr="007D1194" w:rsidRDefault="00B73852" w:rsidP="00B73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526E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Januvia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C20D" w14:textId="2D475C2D" w:rsidR="00B73852" w:rsidRPr="007D1194" w:rsidRDefault="00B73852" w:rsidP="00B73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Pr="00BB3D4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itaglipt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yna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3FF9" w14:textId="43CC5427" w:rsidR="00B73852" w:rsidRPr="007D1194" w:rsidRDefault="00B73852" w:rsidP="00B73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B3D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doustnej terapii, w skojarzeniu z </w:t>
            </w:r>
            <w:proofErr w:type="spellStart"/>
            <w:r w:rsidRPr="00BB3D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metforminą</w:t>
            </w:r>
            <w:proofErr w:type="spellEnd"/>
            <w:r w:rsidRPr="00BB3D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cukrzyca typu 2 u pacjentów u których zastosowanie </w:t>
            </w:r>
            <w:proofErr w:type="spellStart"/>
            <w:r w:rsidRPr="00BB3D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metforminy</w:t>
            </w:r>
            <w:proofErr w:type="spellEnd"/>
            <w:r w:rsidRPr="00BB3D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maksymalnie tolerowanej dawce w monoterapii nie pozwala osiągnąć dobrej kontroli glikemii, wartość HbA1c&gt;7% (przez co najmniej </w:t>
            </w:r>
            <w:r w:rsidR="001771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BB3D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 miesiące)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DF5D" w14:textId="090987E4" w:rsidR="00B73852" w:rsidRPr="0012004C" w:rsidRDefault="00B73852" w:rsidP="0017717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17F7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B73852" w:rsidRPr="005058F2" w14:paraId="0770F110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B69C" w14:textId="0FFDBE07" w:rsidR="00B73852" w:rsidRPr="00844BEC" w:rsidRDefault="00B73852" w:rsidP="00B73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44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4A6C" w14:textId="4001194A" w:rsidR="00B73852" w:rsidRPr="00844BEC" w:rsidRDefault="00B73852" w:rsidP="00B73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44BEC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Janumet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0393" w14:textId="23FCE9FE" w:rsidR="00B73852" w:rsidRPr="00844BEC" w:rsidRDefault="00B73852" w:rsidP="00B73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44BEC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sitagliptyna+metformina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FF6F" w14:textId="37F5C80E" w:rsidR="00B73852" w:rsidRPr="00844BEC" w:rsidRDefault="00B73852" w:rsidP="00B73852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44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W doustnej terapii, w skojarzeniu z </w:t>
            </w:r>
            <w:proofErr w:type="spellStart"/>
            <w:r w:rsidRPr="00844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metforminą</w:t>
            </w:r>
            <w:proofErr w:type="spellEnd"/>
            <w:r w:rsidRPr="00844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: cukrzyca typu 2 u pacjentów u których zastosowanie </w:t>
            </w:r>
            <w:proofErr w:type="spellStart"/>
            <w:r w:rsidRPr="00844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metforminy</w:t>
            </w:r>
            <w:proofErr w:type="spellEnd"/>
            <w:r w:rsidRPr="00844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w maksymalnie tolerowanej dawce w monoterapii nie pozwala osiągnąć dobrej kontroli glikemii, wartość HbA1c&gt;7% (przez co najmniej </w:t>
            </w:r>
            <w:r w:rsidR="0017717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</w:r>
            <w:r w:rsidRPr="00844BE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 miesiące)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27C7" w14:textId="4BEE135A" w:rsidR="00B73852" w:rsidRPr="000D4ADE" w:rsidRDefault="00B73852" w:rsidP="0017717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  <w:r w:rsidRPr="00017F7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0D4ADE" w:rsidRPr="005058F2" w14:paraId="0E4D0882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381A" w14:textId="146FCD37" w:rsidR="000D4ADE" w:rsidRPr="00FE6EDA" w:rsidRDefault="000D4ADE" w:rsidP="000D4A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FBEF" w14:textId="72B3257B" w:rsidR="000D4ADE" w:rsidRPr="00A526EC" w:rsidRDefault="000D4ADE" w:rsidP="000D4A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Latuda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EC66" w14:textId="32C15931" w:rsidR="000D4ADE" w:rsidRPr="00BB3D42" w:rsidRDefault="000D4ADE" w:rsidP="000D4A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lu</w:t>
            </w:r>
            <w:r w:rsidR="00B7385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razydon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C02C" w14:textId="6B0882F2" w:rsidR="000D4ADE" w:rsidRPr="00BB3D42" w:rsidRDefault="000D4ADE" w:rsidP="000D4A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40E4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Schizofrenia u pacjentów od 13-go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40E4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roku życia po nieskuteczności lub w przypadku przeciwwskazań do terapii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40E4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pozostałymi lekami </w:t>
            </w:r>
            <w:proofErr w:type="spellStart"/>
            <w:r w:rsidRPr="00640E4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przeciwpsychotycznymi</w:t>
            </w:r>
            <w:proofErr w:type="spellEnd"/>
            <w:r w:rsidRPr="00640E4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17717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Pr="00640E4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II generacji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3DE3" w14:textId="10C5338A" w:rsidR="000D4ADE" w:rsidRPr="00BB3D42" w:rsidRDefault="000D4ADE" w:rsidP="0017717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Poszerzenie aktualnego wskazania o populację pacjentów od 13 r.ż.</w:t>
            </w:r>
          </w:p>
        </w:tc>
      </w:tr>
      <w:tr w:rsidR="000D4ADE" w:rsidRPr="005058F2" w14:paraId="195697C7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5EA1A" w14:textId="20207313" w:rsidR="000D4ADE" w:rsidRPr="00FE6EDA" w:rsidRDefault="000D4ADE" w:rsidP="000D4A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D3A4" w14:textId="6450D495" w:rsidR="000D4ADE" w:rsidRPr="00E55CFC" w:rsidRDefault="000D4ADE" w:rsidP="000D4A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55CFC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Ozempic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1F82" w14:textId="6A3DB19A" w:rsidR="000D4ADE" w:rsidRPr="00094F56" w:rsidRDefault="000D4ADE" w:rsidP="000D4A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Pr="00094F5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emaglut</w:t>
            </w:r>
            <w:r w:rsidR="00B7385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yd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8B66" w14:textId="40947127" w:rsidR="000D4ADE" w:rsidRPr="007D1194" w:rsidRDefault="000D4ADE" w:rsidP="000D4AD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Cukrzyca typu 2 u pacjentów leczonych co najmniej dwoma lekami hipoglikemizującymi, z HbA1c ≥ 7,5%, z otyłością definiowaną jako BMI ≥30 kg/m2 oraz bardzo wysokim ryzykiem sercowo-naczyniowym rozumianym jako: 1) potwierdzona choroba sercowo-naczyniowa, lub 2) uszkodzenie innych narządów objawiające się poprzez: białkomocz lub przerost lewej komory lub retinopatię, lub 3) obecność 2 lub więcej głównych czynników ryzyka spośród wymienionych poniżej: -wiek </w:t>
            </w: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≥ 55 lat dla mężczyzn, ≥60 lat dla kobiet, -</w:t>
            </w:r>
            <w:proofErr w:type="spellStart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-nadciśnienie tętnicze, -palenie tytoniu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B4F3" w14:textId="77777777" w:rsidR="00976539" w:rsidRPr="00976539" w:rsidRDefault="00976539" w:rsidP="00B73852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Rozszerzenie aktualnego wskazania refundacyjnego, tj.:</w:t>
            </w:r>
          </w:p>
          <w:p w14:paraId="11F5965D" w14:textId="0EC6079B" w:rsidR="00976539" w:rsidRPr="00976539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zmniejszenie wymogu </w:t>
            </w:r>
            <w:r w:rsid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HbA1c ≥ 8,0% na HbA1c ≥ 7,5%</w:t>
            </w:r>
          </w:p>
          <w:p w14:paraId="15961739" w14:textId="51321285" w:rsidR="00976539" w:rsidRPr="00976539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zmniejszenie wymogu </w:t>
            </w:r>
            <w:r w:rsid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r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BMI ≥35 kg/m2 na BMI ≥30 kg/m2</w:t>
            </w:r>
          </w:p>
          <w:p w14:paraId="3A05AA58" w14:textId="0F990D78" w:rsidR="00976539" w:rsidRPr="00976539" w:rsidRDefault="00B73852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</w:t>
            </w:r>
            <w:r w:rsidR="00976539"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ograniczenia w zakresie braku stosowania insuliny przez pacjenta przed zastosowaniem analogów GLP-1</w:t>
            </w:r>
          </w:p>
          <w:p w14:paraId="7C9FCBB3" w14:textId="0EA27F16" w:rsidR="00F64D56" w:rsidRPr="00BB1F1E" w:rsidRDefault="00B73852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usunięcie </w:t>
            </w:r>
            <w:r w:rsidR="00976539" w:rsidRPr="0097653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konieczności 6 miesięcznego okresu stosowania dwóch leków przed włączeniem do leczenia analogami GLP-1</w:t>
            </w:r>
          </w:p>
        </w:tc>
      </w:tr>
      <w:tr w:rsidR="00B82FA0" w:rsidRPr="005058F2" w14:paraId="56A7D74C" w14:textId="77777777" w:rsidTr="00177179">
        <w:trPr>
          <w:cantSplit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5D4D" w14:textId="3DCD152A" w:rsidR="00B82FA0" w:rsidRPr="00FE6EDA" w:rsidRDefault="000D4ADE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4EAE" w14:textId="52654128" w:rsidR="00B82FA0" w:rsidRPr="007D1194" w:rsidRDefault="00B82FA0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94F5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Trulicity</w:t>
            </w:r>
            <w:proofErr w:type="spellEnd"/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3EC7" w14:textId="676E2E34" w:rsidR="00B82FA0" w:rsidRPr="007D1194" w:rsidRDefault="00CC6586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</w:t>
            </w:r>
            <w:r w:rsidR="00B82FA0" w:rsidRPr="00094F5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ulaglut</w:t>
            </w:r>
            <w:r w:rsidR="00B73852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yd</w:t>
            </w:r>
            <w:proofErr w:type="spellEnd"/>
          </w:p>
        </w:tc>
        <w:tc>
          <w:tcPr>
            <w:tcW w:w="1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42C4" w14:textId="19C5CD19" w:rsidR="00B82FA0" w:rsidRPr="007D1194" w:rsidRDefault="00B82FA0" w:rsidP="00B82FA0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7,5%, z otyłością definiowaną jako BMI ≥30 kg/m2 oraz bardzo wysokim ryzykiem sercowo-naczyniowym rozumianym jako: 1) potwierdzona choroba sercowo-naczyniowa, lub 2) uszkodzenie innych narządów objawiające się poprzez: białkomocz lub przerost lewej komory lub retinopatię, lub 3) obecność 2 lub więcej głównych czynników ryzyka spośród wymienionych poniżej: -wiek ≥ 55 lat dla mężczyzn, ≥60 lat dla kobiet, -</w:t>
            </w:r>
            <w:proofErr w:type="spellStart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7D119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-nadciśnienie tętnicze, -palenie tytoniu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69A7" w14:textId="77777777" w:rsidR="00B73852" w:rsidRPr="00B73852" w:rsidRDefault="00B73852" w:rsidP="00B73852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54D3F4F2" w14:textId="77777777" w:rsidR="00976539" w:rsidRPr="00B73852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zmniejszenie wymogu </w:t>
            </w:r>
            <w:r w:rsidR="00B73852"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r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HbA1c ≥ 8,0% na HbA1c ≥ 7,5%</w:t>
            </w:r>
          </w:p>
          <w:p w14:paraId="6268DA7A" w14:textId="77777777" w:rsidR="00B73852" w:rsidRPr="00B73852" w:rsidRDefault="00976539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zmniejszenie wymogu </w:t>
            </w:r>
            <w:r w:rsidR="00B73852"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r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BMI ≥35 kg/m2 na BMI ≥30 kg/m2</w:t>
            </w:r>
          </w:p>
          <w:p w14:paraId="6B92701B" w14:textId="77777777" w:rsidR="00976539" w:rsidRPr="00B73852" w:rsidRDefault="00B73852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</w:t>
            </w:r>
            <w:r w:rsidR="00976539"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ograniczenia w zakresie braku stosowania insuliny przez pacjenta przed zastosowaniem analogów GLP-1</w:t>
            </w:r>
          </w:p>
          <w:p w14:paraId="09853751" w14:textId="7988CD19" w:rsidR="00B82FA0" w:rsidRPr="00BB1F1E" w:rsidRDefault="00B73852" w:rsidP="00BB1F1E">
            <w:pPr>
              <w:numPr>
                <w:ilvl w:val="0"/>
                <w:numId w:val="12"/>
              </w:numPr>
              <w:spacing w:before="60" w:after="60" w:line="240" w:lineRule="auto"/>
              <w:ind w:left="368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</w:t>
            </w:r>
            <w:r w:rsidR="00976539" w:rsidRPr="00B738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konieczności 6 miesięcznego okresu stosowania dwóch leków przed włączeniem do leczenia analogami GLP-1</w:t>
            </w:r>
          </w:p>
        </w:tc>
      </w:tr>
    </w:tbl>
    <w:p w14:paraId="5C94AD33" w14:textId="2DBC393E" w:rsidR="00446466" w:rsidRDefault="00446466" w:rsidP="0064487F">
      <w:pPr>
        <w:rPr>
          <w:rFonts w:ascii="Arial Rounded MT Bold" w:hAnsi="Arial Rounded MT Bold"/>
          <w:b/>
          <w:bCs/>
          <w:color w:val="00B0F0"/>
        </w:rPr>
      </w:pPr>
    </w:p>
    <w:p w14:paraId="35AA0094" w14:textId="77777777" w:rsidR="00A46F1F" w:rsidRDefault="00A434EB" w:rsidP="00A46F1F">
      <w:pPr>
        <w:suppressAutoHyphens w:val="0"/>
        <w:rPr>
          <w:rFonts w:ascii="Arial Rounded MT Bold" w:hAnsi="Arial Rounded MT Bold"/>
          <w:b/>
          <w:bCs/>
          <w:color w:val="00B0F0"/>
        </w:rPr>
      </w:pPr>
      <w:r>
        <w:rPr>
          <w:rFonts w:ascii="Arial Rounded MT Bold" w:hAnsi="Arial Rounded MT Bold"/>
          <w:b/>
          <w:bCs/>
          <w:color w:val="00B0F0"/>
        </w:rPr>
        <w:br w:type="page"/>
      </w:r>
    </w:p>
    <w:p w14:paraId="5E0A777A" w14:textId="5A97E456" w:rsidR="00AC7661" w:rsidRDefault="00BD0291" w:rsidP="00A46F1F">
      <w:pPr>
        <w:spacing w:after="60"/>
        <w:rPr>
          <w:noProof/>
        </w:rPr>
      </w:pPr>
      <w:r>
        <w:rPr>
          <w:noProof/>
        </w:rPr>
        <w:lastRenderedPageBreak/>
        <w:drawing>
          <wp:inline distT="0" distB="0" distL="0" distR="0" wp14:anchorId="5D5661F7" wp14:editId="46CA5125">
            <wp:extent cx="4410075" cy="2773680"/>
            <wp:effectExtent l="0" t="0" r="9525" b="762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48BDBD5E-4723-43C6-BB72-1EEA0CDACC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A46F1F">
        <w:rPr>
          <w:noProof/>
        </w:rPr>
        <w:t xml:space="preserve"> </w:t>
      </w:r>
      <w:r w:rsidR="00AC7661">
        <w:rPr>
          <w:noProof/>
        </w:rPr>
        <w:drawing>
          <wp:inline distT="0" distB="0" distL="0" distR="0" wp14:anchorId="5483E8B4" wp14:editId="5F62403A">
            <wp:extent cx="4410075" cy="2770728"/>
            <wp:effectExtent l="0" t="0" r="9525" b="1079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D2C65D3-3EE9-4DAE-8669-E7808A7AC7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46F1F">
        <w:rPr>
          <w:noProof/>
        </w:rPr>
        <w:t xml:space="preserve"> </w:t>
      </w:r>
    </w:p>
    <w:p w14:paraId="48D012DD" w14:textId="76603567" w:rsidR="007809F4" w:rsidRDefault="00464140" w:rsidP="00A46F1F">
      <w:pPr>
        <w:spacing w:after="360"/>
        <w:rPr>
          <w:rFonts w:ascii="Arial Rounded MT Bold" w:hAnsi="Arial Rounded MT Bold"/>
          <w:b/>
          <w:bCs/>
          <w:color w:val="00B0F0"/>
        </w:rPr>
      </w:pPr>
      <w:r>
        <w:rPr>
          <w:noProof/>
        </w:rPr>
        <w:drawing>
          <wp:inline distT="0" distB="0" distL="0" distR="0" wp14:anchorId="59612029" wp14:editId="0A0CE7C9">
            <wp:extent cx="4410075" cy="2667000"/>
            <wp:effectExtent l="0" t="0" r="9525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46F1F" w:rsidRPr="00AC7661">
        <w:rPr>
          <w:noProof/>
        </w:rPr>
        <w:t xml:space="preserve"> </w:t>
      </w:r>
      <w:r w:rsidR="00AC7661">
        <w:rPr>
          <w:noProof/>
        </w:rPr>
        <w:drawing>
          <wp:inline distT="0" distB="0" distL="0" distR="0" wp14:anchorId="1740AB4B" wp14:editId="5AE7B484">
            <wp:extent cx="4410710" cy="2667000"/>
            <wp:effectExtent l="0" t="0" r="889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A8113DE0-A247-4936-8FA2-1B2E0783D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809F4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A334" w14:textId="77777777" w:rsidR="008B348A" w:rsidRDefault="008B348A">
      <w:pPr>
        <w:spacing w:after="0" w:line="240" w:lineRule="auto"/>
      </w:pPr>
      <w:r>
        <w:separator/>
      </w:r>
    </w:p>
  </w:endnote>
  <w:endnote w:type="continuationSeparator" w:id="0">
    <w:p w14:paraId="2FD4C2CD" w14:textId="77777777" w:rsidR="008B348A" w:rsidRDefault="008B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46F5" w14:textId="77777777" w:rsidR="008B348A" w:rsidRDefault="008B34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E42D9B" w14:textId="77777777" w:rsidR="008B348A" w:rsidRDefault="008B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4" w:name="_Hlk74147372"/>
    <w:bookmarkEnd w:id="4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770"/>
    <w:multiLevelType w:val="hybridMultilevel"/>
    <w:tmpl w:val="F040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D0166D9"/>
    <w:multiLevelType w:val="hybridMultilevel"/>
    <w:tmpl w:val="C3D69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891756">
    <w:abstractNumId w:val="4"/>
  </w:num>
  <w:num w:numId="2" w16cid:durableId="79451648">
    <w:abstractNumId w:val="2"/>
  </w:num>
  <w:num w:numId="3" w16cid:durableId="903682198">
    <w:abstractNumId w:val="5"/>
  </w:num>
  <w:num w:numId="4" w16cid:durableId="1096095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88214">
    <w:abstractNumId w:val="10"/>
  </w:num>
  <w:num w:numId="6" w16cid:durableId="160052298">
    <w:abstractNumId w:val="3"/>
  </w:num>
  <w:num w:numId="7" w16cid:durableId="1086269828">
    <w:abstractNumId w:val="7"/>
  </w:num>
  <w:num w:numId="8" w16cid:durableId="1424296849">
    <w:abstractNumId w:val="8"/>
  </w:num>
  <w:num w:numId="9" w16cid:durableId="1485123723">
    <w:abstractNumId w:val="9"/>
  </w:num>
  <w:num w:numId="10" w16cid:durableId="2117092087">
    <w:abstractNumId w:val="0"/>
  </w:num>
  <w:num w:numId="11" w16cid:durableId="394161040">
    <w:abstractNumId w:val="6"/>
  </w:num>
  <w:num w:numId="12" w16cid:durableId="161960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31E9F"/>
    <w:rsid w:val="0005011B"/>
    <w:rsid w:val="000702E4"/>
    <w:rsid w:val="00070A89"/>
    <w:rsid w:val="0008118E"/>
    <w:rsid w:val="00086074"/>
    <w:rsid w:val="000A1DCB"/>
    <w:rsid w:val="000A4576"/>
    <w:rsid w:val="000B21F0"/>
    <w:rsid w:val="000B7075"/>
    <w:rsid w:val="000D178B"/>
    <w:rsid w:val="000D4ADE"/>
    <w:rsid w:val="000F077F"/>
    <w:rsid w:val="001030B2"/>
    <w:rsid w:val="0014120D"/>
    <w:rsid w:val="00155C8E"/>
    <w:rsid w:val="00177179"/>
    <w:rsid w:val="00186CB7"/>
    <w:rsid w:val="001A7E82"/>
    <w:rsid w:val="001B31FF"/>
    <w:rsid w:val="001B354B"/>
    <w:rsid w:val="001E2320"/>
    <w:rsid w:val="001E30F9"/>
    <w:rsid w:val="001E610A"/>
    <w:rsid w:val="002270E2"/>
    <w:rsid w:val="00230BB7"/>
    <w:rsid w:val="00275115"/>
    <w:rsid w:val="00286651"/>
    <w:rsid w:val="00287196"/>
    <w:rsid w:val="0029403F"/>
    <w:rsid w:val="002B6E09"/>
    <w:rsid w:val="002D55B8"/>
    <w:rsid w:val="002E46AC"/>
    <w:rsid w:val="002F61E3"/>
    <w:rsid w:val="002F644D"/>
    <w:rsid w:val="003130CA"/>
    <w:rsid w:val="00337B00"/>
    <w:rsid w:val="00355899"/>
    <w:rsid w:val="00356E75"/>
    <w:rsid w:val="00374DBE"/>
    <w:rsid w:val="0037714E"/>
    <w:rsid w:val="003841AB"/>
    <w:rsid w:val="003975D4"/>
    <w:rsid w:val="003D2AE2"/>
    <w:rsid w:val="003D71C6"/>
    <w:rsid w:val="004156E6"/>
    <w:rsid w:val="00415707"/>
    <w:rsid w:val="004403B4"/>
    <w:rsid w:val="00446466"/>
    <w:rsid w:val="00464140"/>
    <w:rsid w:val="00466FE8"/>
    <w:rsid w:val="0048011A"/>
    <w:rsid w:val="00490715"/>
    <w:rsid w:val="00491267"/>
    <w:rsid w:val="00491300"/>
    <w:rsid w:val="004A5135"/>
    <w:rsid w:val="004E4723"/>
    <w:rsid w:val="005058F2"/>
    <w:rsid w:val="0056748F"/>
    <w:rsid w:val="0057246D"/>
    <w:rsid w:val="00574D83"/>
    <w:rsid w:val="005871C9"/>
    <w:rsid w:val="005B06B3"/>
    <w:rsid w:val="005B070E"/>
    <w:rsid w:val="005B598A"/>
    <w:rsid w:val="005B72BB"/>
    <w:rsid w:val="005C499F"/>
    <w:rsid w:val="005C6551"/>
    <w:rsid w:val="005D269A"/>
    <w:rsid w:val="005E4CF5"/>
    <w:rsid w:val="006008CD"/>
    <w:rsid w:val="0062134B"/>
    <w:rsid w:val="00640E4D"/>
    <w:rsid w:val="0064109C"/>
    <w:rsid w:val="0064487F"/>
    <w:rsid w:val="0066418A"/>
    <w:rsid w:val="006648F3"/>
    <w:rsid w:val="00670C14"/>
    <w:rsid w:val="00680B0E"/>
    <w:rsid w:val="00687B5F"/>
    <w:rsid w:val="006A03EB"/>
    <w:rsid w:val="006A7DCE"/>
    <w:rsid w:val="006B1374"/>
    <w:rsid w:val="006C1B62"/>
    <w:rsid w:val="006C4ED5"/>
    <w:rsid w:val="006D079B"/>
    <w:rsid w:val="006D183E"/>
    <w:rsid w:val="006E20B4"/>
    <w:rsid w:val="007156F6"/>
    <w:rsid w:val="00715B91"/>
    <w:rsid w:val="007321D8"/>
    <w:rsid w:val="00740ABA"/>
    <w:rsid w:val="0074295D"/>
    <w:rsid w:val="007809F4"/>
    <w:rsid w:val="0078723A"/>
    <w:rsid w:val="00791B0D"/>
    <w:rsid w:val="007A4FB5"/>
    <w:rsid w:val="007B043E"/>
    <w:rsid w:val="007D6A3A"/>
    <w:rsid w:val="007E1D17"/>
    <w:rsid w:val="007F016E"/>
    <w:rsid w:val="008008F6"/>
    <w:rsid w:val="008279BD"/>
    <w:rsid w:val="00843352"/>
    <w:rsid w:val="00844624"/>
    <w:rsid w:val="00844BEC"/>
    <w:rsid w:val="008771C8"/>
    <w:rsid w:val="0088727A"/>
    <w:rsid w:val="008A22B5"/>
    <w:rsid w:val="008B348A"/>
    <w:rsid w:val="008C0E92"/>
    <w:rsid w:val="008E33C7"/>
    <w:rsid w:val="009066C7"/>
    <w:rsid w:val="00916475"/>
    <w:rsid w:val="009747C1"/>
    <w:rsid w:val="00976539"/>
    <w:rsid w:val="00976E10"/>
    <w:rsid w:val="00987F47"/>
    <w:rsid w:val="009943F4"/>
    <w:rsid w:val="00995FDD"/>
    <w:rsid w:val="00996389"/>
    <w:rsid w:val="009A2234"/>
    <w:rsid w:val="009A6D46"/>
    <w:rsid w:val="009B2F99"/>
    <w:rsid w:val="009D43CC"/>
    <w:rsid w:val="009E2331"/>
    <w:rsid w:val="009F7497"/>
    <w:rsid w:val="00A062E6"/>
    <w:rsid w:val="00A118F0"/>
    <w:rsid w:val="00A159DA"/>
    <w:rsid w:val="00A22A7B"/>
    <w:rsid w:val="00A242D8"/>
    <w:rsid w:val="00A434EB"/>
    <w:rsid w:val="00A46F1F"/>
    <w:rsid w:val="00A5351C"/>
    <w:rsid w:val="00A633F0"/>
    <w:rsid w:val="00A6481E"/>
    <w:rsid w:val="00A65E71"/>
    <w:rsid w:val="00A66140"/>
    <w:rsid w:val="00A90CB0"/>
    <w:rsid w:val="00A9374D"/>
    <w:rsid w:val="00A960EA"/>
    <w:rsid w:val="00AA6179"/>
    <w:rsid w:val="00AB1235"/>
    <w:rsid w:val="00AB2D5E"/>
    <w:rsid w:val="00AC7661"/>
    <w:rsid w:val="00AD08C5"/>
    <w:rsid w:val="00AE069A"/>
    <w:rsid w:val="00B1467F"/>
    <w:rsid w:val="00B31928"/>
    <w:rsid w:val="00B45ED3"/>
    <w:rsid w:val="00B73852"/>
    <w:rsid w:val="00B82FA0"/>
    <w:rsid w:val="00B9538B"/>
    <w:rsid w:val="00BA4BE1"/>
    <w:rsid w:val="00BA6EDA"/>
    <w:rsid w:val="00BB1F1E"/>
    <w:rsid w:val="00BB30C0"/>
    <w:rsid w:val="00BC2C6A"/>
    <w:rsid w:val="00BD0291"/>
    <w:rsid w:val="00BD1C6E"/>
    <w:rsid w:val="00BD20BC"/>
    <w:rsid w:val="00BE54A5"/>
    <w:rsid w:val="00C15E6F"/>
    <w:rsid w:val="00C210A9"/>
    <w:rsid w:val="00C243BF"/>
    <w:rsid w:val="00C25F63"/>
    <w:rsid w:val="00C276AE"/>
    <w:rsid w:val="00C55C85"/>
    <w:rsid w:val="00C6097A"/>
    <w:rsid w:val="00C65204"/>
    <w:rsid w:val="00C77217"/>
    <w:rsid w:val="00CB2E2B"/>
    <w:rsid w:val="00CC6586"/>
    <w:rsid w:val="00D17D3E"/>
    <w:rsid w:val="00D510E8"/>
    <w:rsid w:val="00D60462"/>
    <w:rsid w:val="00D6426A"/>
    <w:rsid w:val="00D66456"/>
    <w:rsid w:val="00D91880"/>
    <w:rsid w:val="00DD6D00"/>
    <w:rsid w:val="00DD7C5B"/>
    <w:rsid w:val="00DF6B3A"/>
    <w:rsid w:val="00E074B4"/>
    <w:rsid w:val="00E10271"/>
    <w:rsid w:val="00E2384B"/>
    <w:rsid w:val="00E35DF6"/>
    <w:rsid w:val="00E52765"/>
    <w:rsid w:val="00E55CFC"/>
    <w:rsid w:val="00E64133"/>
    <w:rsid w:val="00E738D5"/>
    <w:rsid w:val="00E73EFD"/>
    <w:rsid w:val="00E8288D"/>
    <w:rsid w:val="00E8348C"/>
    <w:rsid w:val="00EC2B8F"/>
    <w:rsid w:val="00EC74BA"/>
    <w:rsid w:val="00EE4BD7"/>
    <w:rsid w:val="00EE5CB1"/>
    <w:rsid w:val="00F147FC"/>
    <w:rsid w:val="00F42214"/>
    <w:rsid w:val="00F5061B"/>
    <w:rsid w:val="00F61A7D"/>
    <w:rsid w:val="00F63AA8"/>
    <w:rsid w:val="00F64D56"/>
    <w:rsid w:val="00F67CA2"/>
    <w:rsid w:val="00F9203E"/>
    <w:rsid w:val="00F957B7"/>
    <w:rsid w:val="00FA53DF"/>
    <w:rsid w:val="00FB2364"/>
    <w:rsid w:val="00FB3B6F"/>
    <w:rsid w:val="00FC712D"/>
    <w:rsid w:val="00FE1242"/>
    <w:rsid w:val="00FE5480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85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2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cząsteczkowskazań w 2022 r. - ONKO/NIEONKO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2022'!$A$3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9175784099197666E-3"/>
                  <c:y val="6.9150971271673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0F-4086-B16B-40277F662F97}"/>
                </c:ext>
              </c:extLst>
            </c:dLbl>
            <c:dLbl>
              <c:idx val="1"/>
              <c:layout>
                <c:manualLayout>
                  <c:x val="-5.3488319613563206E-17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0F-4086-B16B-40277F662F97}"/>
                </c:ext>
              </c:extLst>
            </c:dLbl>
            <c:dLbl>
              <c:idx val="2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0F-4086-B16B-40277F662F97}"/>
                </c:ext>
              </c:extLst>
            </c:dLbl>
            <c:dLbl>
              <c:idx val="3"/>
              <c:layout>
                <c:manualLayout>
                  <c:x val="0"/>
                  <c:y val="8.2981165526008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0F-4086-B16B-40277F662F97}"/>
                </c:ext>
              </c:extLst>
            </c:dLbl>
            <c:dLbl>
              <c:idx val="4"/>
              <c:layout>
                <c:manualLayout>
                  <c:x val="-1.0697663922712641E-16"/>
                  <c:y val="6.9150971271673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0F-4086-B16B-40277F662F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2022'!$B$3:$G$3</c:f>
              <c:numCache>
                <c:formatCode>General</c:formatCode>
                <c:ptCount val="6"/>
                <c:pt idx="0">
                  <c:v>1</c:v>
                </c:pt>
                <c:pt idx="1">
                  <c:v>8</c:v>
                </c:pt>
                <c:pt idx="2">
                  <c:v>10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0F-4086-B16B-40277F662F97}"/>
            </c:ext>
          </c:extLst>
        </c:ser>
        <c:ser>
          <c:idx val="1"/>
          <c:order val="1"/>
          <c:tx>
            <c:strRef>
              <c:f>'miesiące 2022'!$A$4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3761036023118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90F-4086-B16B-40277F662F97}"/>
                </c:ext>
              </c:extLst>
            </c:dLbl>
            <c:dLbl>
              <c:idx val="1"/>
              <c:layout>
                <c:manualLayout>
                  <c:x val="2.917578409919713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0F-4086-B16B-40277F662F97}"/>
                </c:ext>
              </c:extLst>
            </c:dLbl>
            <c:dLbl>
              <c:idx val="2"/>
              <c:layout>
                <c:manualLayout>
                  <c:x val="5.3488319613563206E-17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0F-4086-B16B-40277F662F97}"/>
                </c:ext>
              </c:extLst>
            </c:dLbl>
            <c:dLbl>
              <c:idx val="3"/>
              <c:layout>
                <c:manualLayout>
                  <c:x val="0"/>
                  <c:y val="8.2981165526008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0F-4086-B16B-40277F662F97}"/>
                </c:ext>
              </c:extLst>
            </c:dLbl>
            <c:dLbl>
              <c:idx val="4"/>
              <c:layout>
                <c:manualLayout>
                  <c:x val="-1.0697663922712641E-16"/>
                  <c:y val="6.9150971271673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90F-4086-B16B-40277F662F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2022'!$B$4:$G$4</c:f>
              <c:numCache>
                <c:formatCode>General</c:formatCode>
                <c:ptCount val="6"/>
                <c:pt idx="0">
                  <c:v>10</c:v>
                </c:pt>
                <c:pt idx="1">
                  <c:v>7</c:v>
                </c:pt>
                <c:pt idx="2">
                  <c:v>10</c:v>
                </c:pt>
                <c:pt idx="3">
                  <c:v>14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90F-4086-B16B-40277F662F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solidFill>
                  <a:sysClr val="windowText" lastClr="000000"/>
                </a:solidFill>
                <a:effectLst/>
              </a:rPr>
              <a:t>Liczba nowych cząsteczkowskazań w 2022 r. - wskazania rzadkie</a:t>
            </a:r>
            <a:endParaRPr lang="pl-PL" sz="10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'miesiące 2022'!$A$18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5790806650328337E-17"/>
                  <c:y val="8.2981165526008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2B-4859-ACA9-66502D0E47FD}"/>
                </c:ext>
              </c:extLst>
            </c:dLbl>
            <c:dLbl>
              <c:idx val="1"/>
              <c:layout>
                <c:manualLayout>
                  <c:x val="3.1581613300656674E-17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2B-4859-ACA9-66502D0E47FD}"/>
                </c:ext>
              </c:extLst>
            </c:dLbl>
            <c:dLbl>
              <c:idx val="2"/>
              <c:layout>
                <c:manualLayout>
                  <c:x val="-5.1569962159068325E-17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2B-4859-ACA9-66502D0E47FD}"/>
                </c:ext>
              </c:extLst>
            </c:dLbl>
            <c:dLbl>
              <c:idx val="3"/>
              <c:layout>
                <c:manualLayout>
                  <c:x val="-1.0313992431813665E-16"/>
                  <c:y val="6.410256410256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2B-4859-ACA9-66502D0E47FD}"/>
                </c:ext>
              </c:extLst>
            </c:dLbl>
            <c:dLbl>
              <c:idx val="4"/>
              <c:layout>
                <c:manualLayout>
                  <c:x val="0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2B-4859-ACA9-66502D0E47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2022'!$B$18:$G$18</c:f>
              <c:numCache>
                <c:formatCode>General</c:formatCode>
                <c:ptCount val="6"/>
                <c:pt idx="0">
                  <c:v>3</c:v>
                </c:pt>
                <c:pt idx="1">
                  <c:v>11</c:v>
                </c:pt>
                <c:pt idx="2">
                  <c:v>6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2B-4859-ACA9-66502D0E47FD}"/>
            </c:ext>
          </c:extLst>
        </c:ser>
        <c:ser>
          <c:idx val="1"/>
          <c:order val="1"/>
          <c:tx>
            <c:strRef>
              <c:f>'miesiące 2022'!$A$19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8371100774563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2B-4859-ACA9-66502D0E47FD}"/>
                </c:ext>
              </c:extLst>
            </c:dLbl>
            <c:dLbl>
              <c:idx val="1"/>
              <c:layout>
                <c:manualLayout>
                  <c:x val="3.4453067055434713E-3"/>
                  <c:y val="7.376103602311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2B-4859-ACA9-66502D0E47FD}"/>
                </c:ext>
              </c:extLst>
            </c:dLbl>
            <c:dLbl>
              <c:idx val="2"/>
              <c:layout>
                <c:manualLayout>
                  <c:x val="0"/>
                  <c:y val="8.9743589743589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2B-4859-ACA9-66502D0E47FD}"/>
                </c:ext>
              </c:extLst>
            </c:dLbl>
            <c:dLbl>
              <c:idx val="3"/>
              <c:layout>
                <c:manualLayout>
                  <c:x val="0"/>
                  <c:y val="6.8376068376068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2B-4859-ACA9-66502D0E47FD}"/>
                </c:ext>
              </c:extLst>
            </c:dLbl>
            <c:dLbl>
              <c:idx val="4"/>
              <c:layout>
                <c:manualLayout>
                  <c:x val="2.8129395218002813E-3"/>
                  <c:y val="8.547008547008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B2B-4859-ACA9-66502D0E47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2022'!$B$17:$G$17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2022'!$B$19:$G$19</c:f>
              <c:numCache>
                <c:formatCode>General</c:formatCode>
                <c:ptCount val="6"/>
                <c:pt idx="0">
                  <c:v>8</c:v>
                </c:pt>
                <c:pt idx="1">
                  <c:v>4</c:v>
                </c:pt>
                <c:pt idx="2">
                  <c:v>14</c:v>
                </c:pt>
                <c:pt idx="3">
                  <c:v>16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B2B-4859-ACA9-66502D0E47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Wskazania onkologiczne w 2022</a:t>
            </a:r>
            <a:r>
              <a:rPr lang="pl-PL" sz="900" b="1" baseline="0">
                <a:solidFill>
                  <a:sysClr val="windowText" lastClr="000000"/>
                </a:solidFill>
              </a:rPr>
              <a:t> (stan na wrzesień)</a:t>
            </a:r>
            <a:endParaRPr lang="pl-PL" sz="9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8846826909828838"/>
          <c:y val="1.76977153573318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582997522272922"/>
          <c:y val="8.2051032825429804E-2"/>
          <c:w val="0.84009663854336591"/>
          <c:h val="0.79196666558668793"/>
        </c:manualLayout>
      </c:layout>
      <c:bar3DChart>
        <c:barDir val="bar"/>
        <c:grouping val="clustered"/>
        <c:varyColors val="0"/>
        <c:ser>
          <c:idx val="10"/>
          <c:order val="0"/>
          <c:tx>
            <c:strRef>
              <c:f>'onko_2012_-_2021_1'!$B$2</c:f>
              <c:strCache>
                <c:ptCount val="1"/>
                <c:pt idx="0">
                  <c:v>2022
(stan na wrzesień)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('onko_2012_-_2021_1'!$A$3:$A$4,'onko_2012_-_2021_1'!$A$7:$A$8,'onko_2012_-_2021_1'!$A$10:$A$12)</c:f>
              <c:strCache>
                <c:ptCount val="7"/>
                <c:pt idx="0">
                  <c:v>Inne</c:v>
                </c:pt>
                <c:pt idx="1">
                  <c:v>Hematoonkologia</c:v>
                </c:pt>
                <c:pt idx="2">
                  <c:v>Nowotwory 
ginekologiczne</c:v>
                </c:pt>
                <c:pt idx="3">
                  <c:v>Nowotwory układu 
pokarmowego</c:v>
                </c:pt>
                <c:pt idx="4">
                  <c:v>Nowotwory układu 
urologicznego</c:v>
                </c:pt>
                <c:pt idx="5">
                  <c:v>Nowotwory głowy 
i szyi</c:v>
                </c:pt>
                <c:pt idx="6">
                  <c:v>Nowotwory nerki</c:v>
                </c:pt>
              </c:strCache>
              <c:extLst/>
            </c:strRef>
          </c:cat>
          <c:val>
            <c:numRef>
              <c:f>('onko_2012_-_2021_1'!$B$3:$B$4,'onko_2012_-_2021_1'!$B$7:$B$8,'onko_2012_-_2021_1'!$B$10:$B$12)</c:f>
              <c:numCache>
                <c:formatCode>General</c:formatCode>
                <c:ptCount val="7"/>
                <c:pt idx="0">
                  <c:v>3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2436-4483-8ED8-3687440FBD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('onko_2012_-_2021_1'!$C$3:$C$4,'onko_2012_-_2021_1'!$C$7:$C$8,'onko_2012_-_2021_1'!$C$10:$C$12)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1</c:v>
                      </c:pt>
                      <c:pt idx="1">
                        <c:v>11</c:v>
                      </c:pt>
                      <c:pt idx="2">
                        <c:v>4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436-4483-8ED8-3687440FBDAA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('onko_2012_-_2021_1'!$D$3:$D$4,'onko_2012_-_2021_1'!$D$7:$D$8,'onko_2012_-_2021_1'!$D$10:$D$12)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2</c:v>
                      </c:pt>
                      <c:pt idx="1">
                        <c:v>6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2436-4483-8ED8-3687440FBDAA}"/>
                  </c:ext>
                </c:extLst>
              </c15:ser>
            </c15:filteredBarSeries>
            <c15:filteredBar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('onko_2012_-_2021_1'!$E$3:$E$4,'onko_2012_-_2021_1'!$E$7:$E$8,'onko_2012_-_2021_1'!$E$10:$E$12)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0</c:v>
                      </c:pt>
                      <c:pt idx="1">
                        <c:v>8</c:v>
                      </c:pt>
                      <c:pt idx="2">
                        <c:v>4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2436-4483-8ED8-3687440FBDAA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('onko_2012_-_2021_1'!$F$3:$F$4,'onko_2012_-_2021_1'!$F$7:$F$8,'onko_2012_-_2021_1'!$F$10:$F$12)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0</c:v>
                      </c:pt>
                      <c:pt idx="1">
                        <c:v>2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2436-4483-8ED8-3687440FBDAA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('onko_2012_-_2021_1'!$G$3:$G$4,'onko_2012_-_2021_1'!$G$7:$G$8,'onko_2012_-_2021_1'!$G$10:$G$12)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1</c:v>
                      </c:pt>
                      <c:pt idx="1">
                        <c:v>4</c:v>
                      </c:pt>
                      <c:pt idx="2">
                        <c:v>0</c:v>
                      </c:pt>
                      <c:pt idx="3">
                        <c:v>4</c:v>
                      </c:pt>
                      <c:pt idx="4">
                        <c:v>3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436-4483-8ED8-3687440FBDAA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('onko_2012_-_2021_1'!$H$3:$H$4,'onko_2012_-_2021_1'!$H$7:$H$8,'onko_2012_-_2021_1'!$H$10:$H$12)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0</c:v>
                      </c:pt>
                      <c:pt idx="1">
                        <c:v>3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436-4483-8ED8-3687440FBDAA}"/>
                  </c:ext>
                </c:extLst>
              </c15:ser>
            </c15:filteredBarSeries>
            <c15:filteredBar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('onko_2012_-_2021_1'!$I$3:$I$4,'onko_2012_-_2021_1'!$I$7:$I$8,'onko_2012_-_2021_1'!$I$10:$I$12)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3</c:v>
                      </c:pt>
                      <c:pt idx="1">
                        <c:v>5</c:v>
                      </c:pt>
                      <c:pt idx="2">
                        <c:v>1</c:v>
                      </c:pt>
                      <c:pt idx="3">
                        <c:v>4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2436-4483-8ED8-3687440FBDAA}"/>
                  </c:ext>
                </c:extLst>
              </c15:ser>
            </c15:filteredBarSeries>
            <c15:filteredBarSeries>
              <c15:ser>
                <c:idx val="7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('onko_2012_-_2021_1'!$J$3:$J$4,'onko_2012_-_2021_1'!$J$7:$J$8,'onko_2012_-_2021_1'!$J$10:$J$12)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10</c:v>
                      </c:pt>
                      <c:pt idx="1">
                        <c:v>4</c:v>
                      </c:pt>
                      <c:pt idx="2">
                        <c:v>1</c:v>
                      </c:pt>
                      <c:pt idx="3">
                        <c:v>6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2436-4483-8ED8-3687440FBDAA}"/>
                  </c:ext>
                </c:extLst>
              </c15:ser>
            </c15:filteredBarSeries>
            <c15:filteredBarSeries>
              <c15:ser>
                <c:idx val="8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('onko_2012_-_2021_1'!$K$3:$K$4,'onko_2012_-_2021_1'!$K$7:$K$8,'onko_2012_-_2021_1'!$K$10:$K$12)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0</c:v>
                      </c:pt>
                      <c:pt idx="1">
                        <c:v>2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2436-4483-8ED8-3687440FBDAA}"/>
                  </c:ext>
                </c:extLst>
              </c15:ser>
            </c15:filteredBarSeries>
            <c15:filteredBarSeries>
              <c15:ser>
                <c:idx val="9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('onko_2012_-_2021_1'!$A$3:$A$4,'onko_2012_-_2021_1'!$A$7:$A$8,'onko_2012_-_2021_1'!$A$10:$A$12)</c15:sqref>
                        </c15:formulaRef>
                      </c:ext>
                    </c:extLst>
                    <c:strCache>
                      <c:ptCount val="7"/>
                      <c:pt idx="0">
                        <c:v>Inne</c:v>
                      </c:pt>
                      <c:pt idx="1">
                        <c:v>Hematoonkologia</c:v>
                      </c:pt>
                      <c:pt idx="2">
                        <c:v>Nowotwory 
ginekologiczne</c:v>
                      </c:pt>
                      <c:pt idx="3">
                        <c:v>Nowotwory układu 
pokarmowego</c:v>
                      </c:pt>
                      <c:pt idx="4">
                        <c:v>Nowotwory układu 
urologicznego</c:v>
                      </c:pt>
                      <c:pt idx="5">
                        <c:v>Nowotwory głowy 
i szyi</c:v>
                      </c:pt>
                      <c:pt idx="6">
                        <c:v>Nowotwory nerki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('onko_2012_-_2021_1'!$L$3:$L$4,'onko_2012_-_2021_1'!$L$7:$L$8,'onko_2012_-_2021_1'!$L$10:$L$12)</c15:sqref>
                        </c15:formulaRef>
                      </c:ext>
                    </c:extLst>
                    <c:numCache>
                      <c:formatCode>General</c:formatCode>
                      <c:ptCount val="7"/>
                      <c:pt idx="0">
                        <c:v>3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2436-4483-8ED8-3687440FBDAA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/>
              <a:t>Wskazania nieonkologiczne w 2022 r. (stan na wrzesień)</a:t>
            </a:r>
          </a:p>
        </c:rich>
      </c:tx>
      <c:layout>
        <c:manualLayout>
          <c:xMode val="edge"/>
          <c:yMode val="edge"/>
          <c:x val="0.19627112188287144"/>
          <c:y val="1.91158900836320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220452036066754"/>
          <c:y val="9.4022122234720659E-2"/>
          <c:w val="0.70510688755325102"/>
          <c:h val="0.8276717560842529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'nieonko_2016_-_2021'!$B$2</c:f>
              <c:strCache>
                <c:ptCount val="1"/>
                <c:pt idx="0">
                  <c:v>2022
(stan na wrzesień)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('nieonko_2016_-_2021'!$A$3:$A$4,'nieonko_2016_-_2021'!$A$8,'nieonko_2016_-_2021'!$A$10:$A$12,'nieonko_2016_-_2021'!$A$14:$A$19)</c:f>
              <c:strCache>
                <c:ptCount val="12"/>
                <c:pt idx="0">
                  <c:v>Neurologia</c:v>
                </c:pt>
                <c:pt idx="1">
                  <c:v>Nefrologia </c:v>
                </c:pt>
                <c:pt idx="2">
                  <c:v>Okulistyka</c:v>
                </c:pt>
                <c:pt idx="3">
                  <c:v>Hematologia</c:v>
                </c:pt>
                <c:pt idx="4">
                  <c:v>Pulmonologia</c:v>
                </c:pt>
                <c:pt idx="5">
                  <c:v>Kardiologia</c:v>
                </c:pt>
                <c:pt idx="6">
                  <c:v>Reumatologia</c:v>
                </c:pt>
                <c:pt idx="7">
                  <c:v>Choroby metaboliczne</c:v>
                </c:pt>
                <c:pt idx="8">
                  <c:v>Gastroenterologia</c:v>
                </c:pt>
                <c:pt idx="9">
                  <c:v>Psychiatria</c:v>
                </c:pt>
                <c:pt idx="10">
                  <c:v>Immunologia</c:v>
                </c:pt>
                <c:pt idx="11">
                  <c:v>Diabetologia</c:v>
                </c:pt>
              </c:strCache>
              <c:extLst/>
            </c:strRef>
          </c:cat>
          <c:val>
            <c:numRef>
              <c:f>('nieonko_2016_-_2021'!$B$3:$B$4,'nieonko_2016_-_2021'!$B$8,'nieonko_2016_-_2021'!$B$10:$B$12,'nieonko_2016_-_2021'!$B$14:$B$19)</c:f>
              <c:numCache>
                <c:formatCode>General</c:formatCode>
                <c:ptCount val="12"/>
                <c:pt idx="0">
                  <c:v>7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11</c:v>
                </c:pt>
                <c:pt idx="5">
                  <c:v>3</c:v>
                </c:pt>
                <c:pt idx="6">
                  <c:v>9</c:v>
                </c:pt>
                <c:pt idx="7">
                  <c:v>2</c:v>
                </c:pt>
                <c:pt idx="8">
                  <c:v>7</c:v>
                </c:pt>
                <c:pt idx="9">
                  <c:v>1</c:v>
                </c:pt>
                <c:pt idx="10">
                  <c:v>2</c:v>
                </c:pt>
                <c:pt idx="11">
                  <c:v>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421-4A42-868A-E555B9791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('nieonko_2016_-_2021'!$C$3:$C$4,'nieonko_2016_-_2021'!$C$8,'nieonko_2016_-_2021'!$C$10:$C$12,'nieonko_2016_-_2021'!$C$14:$C$19)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</c:v>
                      </c:pt>
                      <c:pt idx="1">
                        <c:v>2</c:v>
                      </c:pt>
                      <c:pt idx="2">
                        <c:v>7</c:v>
                      </c:pt>
                      <c:pt idx="3">
                        <c:v>6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2</c:v>
                      </c:pt>
                      <c:pt idx="9">
                        <c:v>1</c:v>
                      </c:pt>
                      <c:pt idx="10">
                        <c:v>2</c:v>
                      </c:pt>
                      <c:pt idx="11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421-4A42-868A-E555B979132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('nieonko_2016_-_2021'!$D$3:$D$4,'nieonko_2016_-_2021'!$D$8,'nieonko_2016_-_2021'!$D$10:$D$12,'nieonko_2016_-_2021'!$D$14:$D$19)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1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3</c:v>
                      </c:pt>
                      <c:pt idx="4">
                        <c:v>2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2</c:v>
                      </c:pt>
                      <c:pt idx="9">
                        <c:v>4</c:v>
                      </c:pt>
                      <c:pt idx="10">
                        <c:v>1</c:v>
                      </c:pt>
                      <c:pt idx="11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421-4A42-868A-E555B979132D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('nieonko_2016_-_2021'!$E$3:$E$4,'nieonko_2016_-_2021'!$E$8,'nieonko_2016_-_2021'!$E$10:$E$12,'nieonko_2016_-_2021'!$E$14:$E$19)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3</c:v>
                      </c:pt>
                      <c:pt idx="5">
                        <c:v>3</c:v>
                      </c:pt>
                      <c:pt idx="6">
                        <c:v>3</c:v>
                      </c:pt>
                      <c:pt idx="7">
                        <c:v>2</c:v>
                      </c:pt>
                      <c:pt idx="8">
                        <c:v>3</c:v>
                      </c:pt>
                      <c:pt idx="9">
                        <c:v>0</c:v>
                      </c:pt>
                      <c:pt idx="10">
                        <c:v>1</c:v>
                      </c:pt>
                      <c:pt idx="11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8421-4A42-868A-E555B979132D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('nieonko_2016_-_2021'!$F$3:$F$4,'nieonko_2016_-_2021'!$F$8,'nieonko_2016_-_2021'!$F$10:$F$12,'nieonko_2016_-_2021'!$F$14:$F$19)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4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4</c:v>
                      </c:pt>
                      <c:pt idx="4">
                        <c:v>1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3</c:v>
                      </c:pt>
                      <c:pt idx="1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421-4A42-868A-E555B979132D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'nieonko_2016_-_2021'!$G$2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('nieonko_2016_-_2021'!$G$3:$G$4,'nieonko_2016_-_2021'!$G$8,'nieonko_2016_-_2021'!$G$10:$G$12,'nieonko_2016_-_2021'!$G$14:$G$19)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5</c:v>
                      </c:pt>
                      <c:pt idx="5">
                        <c:v>1</c:v>
                      </c:pt>
                      <c:pt idx="6">
                        <c:v>2</c:v>
                      </c:pt>
                      <c:pt idx="7">
                        <c:v>0</c:v>
                      </c:pt>
                      <c:pt idx="8">
                        <c:v>2</c:v>
                      </c:pt>
                      <c:pt idx="9">
                        <c:v>0</c:v>
                      </c:pt>
                      <c:pt idx="10">
                        <c:v>1</c:v>
                      </c:pt>
                      <c:pt idx="1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421-4A42-868A-E555B979132D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('nieonko_2016_-_2021'!$H$3:$H$4,'nieonko_2016_-_2021'!$H$8,'nieonko_2016_-_2021'!$H$10:$H$12,'nieonko_2016_-_2021'!$H$14:$H$19)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8421-4A42-868A-E555B979132D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('nieonko_2016_-_2021'!$I$3:$I$4,'nieonko_2016_-_2021'!$I$8,'nieonko_2016_-_2021'!$I$10:$I$12,'nieonko_2016_-_2021'!$I$14:$I$19)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1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5</c:v>
                      </c:pt>
                      <c:pt idx="6">
                        <c:v>0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0</c:v>
                      </c:pt>
                      <c:pt idx="10">
                        <c:v>2</c:v>
                      </c:pt>
                      <c:pt idx="1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8421-4A42-868A-E555B979132D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('nieonko_2016_-_2021'!$J$3:$J$4,'nieonko_2016_-_2021'!$J$8,'nieonko_2016_-_2021'!$J$10:$J$12,'nieonko_2016_-_2021'!$J$14:$J$19)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6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3</c:v>
                      </c:pt>
                      <c:pt idx="5">
                        <c:v>3</c:v>
                      </c:pt>
                      <c:pt idx="6">
                        <c:v>4</c:v>
                      </c:pt>
                      <c:pt idx="7">
                        <c:v>2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1</c:v>
                      </c:pt>
                      <c:pt idx="1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8421-4A42-868A-E555B979132D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('nieonko_2016_-_2021'!$K$3:$K$4,'nieonko_2016_-_2021'!$K$8,'nieonko_2016_-_2021'!$K$10:$K$12,'nieonko_2016_-_2021'!$K$14:$K$19)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7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1</c:v>
                      </c:pt>
                      <c:pt idx="6">
                        <c:v>2</c:v>
                      </c:pt>
                      <c:pt idx="7">
                        <c:v>0</c:v>
                      </c:pt>
                      <c:pt idx="8">
                        <c:v>1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8421-4A42-868A-E555B979132D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('nieonko_2016_-_2021'!$A$3:$A$4,'nieonko_2016_-_2021'!$A$8,'nieonko_2016_-_2021'!$A$10:$A$12,'nieonko_2016_-_2021'!$A$14:$A$19)</c15:sqref>
                        </c15:formulaRef>
                      </c:ext>
                    </c:extLst>
                    <c:strCache>
                      <c:ptCount val="12"/>
                      <c:pt idx="0">
                        <c:v>Neurologia</c:v>
                      </c:pt>
                      <c:pt idx="1">
                        <c:v>Nefrologia </c:v>
                      </c:pt>
                      <c:pt idx="2">
                        <c:v>Okulistyka</c:v>
                      </c:pt>
                      <c:pt idx="3">
                        <c:v>Hematologia</c:v>
                      </c:pt>
                      <c:pt idx="4">
                        <c:v>Pulmonologia</c:v>
                      </c:pt>
                      <c:pt idx="5">
                        <c:v>Kardiologia</c:v>
                      </c:pt>
                      <c:pt idx="6">
                        <c:v>Reumatologia</c:v>
                      </c:pt>
                      <c:pt idx="7">
                        <c:v>Choroby metaboliczne</c:v>
                      </c:pt>
                      <c:pt idx="8">
                        <c:v>Gastroenterologia</c:v>
                      </c:pt>
                      <c:pt idx="9">
                        <c:v>Psychiatria</c:v>
                      </c:pt>
                      <c:pt idx="10">
                        <c:v>Immunologia</c:v>
                      </c:pt>
                      <c:pt idx="11">
                        <c:v>Diabetologia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('nieonko_2016_-_2021'!$L$3:$L$4,'nieonko_2016_-_2021'!$L$8,'nieonko_2016_-_2021'!$L$10:$L$12,'nieonko_2016_-_2021'!$L$14:$L$19)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0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2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2</c:v>
                      </c:pt>
                      <c:pt idx="1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421-4A42-868A-E555B979132D}"/>
                  </c:ext>
                </c:extLst>
              </c15:ser>
            </c15:filteredBarSeries>
          </c:ext>
        </c:extLst>
      </c:bar3D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1766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2</cp:revision>
  <dcterms:created xsi:type="dcterms:W3CDTF">2022-08-22T11:38:00Z</dcterms:created>
  <dcterms:modified xsi:type="dcterms:W3CDTF">2022-08-22T11:38:00Z</dcterms:modified>
</cp:coreProperties>
</file>