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2F" w:rsidRPr="00677AFE" w:rsidRDefault="00397990" w:rsidP="0071692F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Warszawa, </w:t>
      </w:r>
      <w:bookmarkStart w:id="1" w:name="ezdDataPodpisu"/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22 grudnia 2020 r.</w:t>
      </w:r>
      <w:bookmarkEnd w:id="1"/>
    </w:p>
    <w:p w:rsidR="0071692F" w:rsidRPr="00677AFE" w:rsidRDefault="00397990" w:rsidP="0071692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</w:t>
      </w:r>
      <w:r w:rsidRPr="00677AFE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2F" w:rsidRPr="00677AFE" w:rsidRDefault="00397990" w:rsidP="0071692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WOJEWODA MAZOWIECKI</w:t>
      </w:r>
    </w:p>
    <w:p w:rsidR="0071692F" w:rsidRPr="00677AFE" w:rsidRDefault="00397990" w:rsidP="0071692F">
      <w:pPr>
        <w:spacing w:after="0" w:line="240" w:lineRule="auto"/>
        <w:ind w:left="5664" w:firstLine="708"/>
        <w:rPr>
          <w:rFonts w:eastAsia="Times New Roman" w:cstheme="minorHAnsi"/>
          <w:sz w:val="24"/>
          <w:szCs w:val="24"/>
          <w:lang w:eastAsia="pl-PL"/>
        </w:rPr>
      </w:pPr>
    </w:p>
    <w:p w:rsidR="0071692F" w:rsidRPr="00677AFE" w:rsidRDefault="00397990" w:rsidP="00716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 xml:space="preserve"> WNP-I.4131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71692F">
        <w:rPr>
          <w:rFonts w:eastAsia="Times New Roman" w:cstheme="minorHAnsi"/>
          <w:sz w:val="24"/>
          <w:szCs w:val="24"/>
          <w:lang w:eastAsia="pl-PL"/>
        </w:rPr>
        <w:t>236.</w:t>
      </w:r>
      <w:r w:rsidRPr="00677AFE">
        <w:rPr>
          <w:rFonts w:eastAsia="Times New Roman" w:cstheme="minorHAnsi"/>
          <w:sz w:val="24"/>
          <w:szCs w:val="24"/>
          <w:lang w:eastAsia="pl-PL"/>
        </w:rPr>
        <w:t>2020.KS</w:t>
      </w:r>
    </w:p>
    <w:p w:rsidR="0071692F" w:rsidRPr="00677AFE" w:rsidRDefault="00397990" w:rsidP="0071692F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  <w:r w:rsidRPr="00677AFE">
        <w:rPr>
          <w:rFonts w:ascii="Calibri" w:eastAsia="Times New Roman" w:hAnsi="Calibri" w:cs="Calibri"/>
          <w:b/>
          <w:sz w:val="28"/>
          <w:szCs w:val="24"/>
          <w:lang w:eastAsia="pl-PL"/>
        </w:rPr>
        <w:tab/>
        <w:t xml:space="preserve">Rada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Gminy Rybno</w:t>
      </w:r>
    </w:p>
    <w:p w:rsidR="0071692F" w:rsidRPr="00677AFE" w:rsidRDefault="00397990" w:rsidP="0071692F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  <w:t>ul. Długa 20</w:t>
      </w:r>
    </w:p>
    <w:p w:rsidR="0071692F" w:rsidRPr="00677AFE" w:rsidRDefault="00397990" w:rsidP="0071692F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677AF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96- 514 Rybno</w:t>
      </w:r>
    </w:p>
    <w:p w:rsidR="0071692F" w:rsidRPr="00677AFE" w:rsidRDefault="00397990" w:rsidP="0071692F">
      <w:pPr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71692F" w:rsidRPr="00677AFE" w:rsidRDefault="00397990" w:rsidP="0071692F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77AFE">
        <w:rPr>
          <w:rFonts w:eastAsia="Times New Roman" w:cstheme="minorHAnsi"/>
          <w:b/>
          <w:bCs/>
          <w:sz w:val="24"/>
          <w:szCs w:val="24"/>
          <w:lang w:eastAsia="pl-PL"/>
        </w:rPr>
        <w:t>Rozstrzygnięcie  nadzorcze</w:t>
      </w:r>
    </w:p>
    <w:p w:rsidR="0071692F" w:rsidRPr="00677AFE" w:rsidRDefault="00397990" w:rsidP="0071692F">
      <w:pPr>
        <w:suppressAutoHyphens/>
        <w:spacing w:after="0" w:line="360" w:lineRule="auto"/>
        <w:ind w:right="-1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677AFE">
        <w:rPr>
          <w:rFonts w:eastAsia="Times New Roman" w:cstheme="minorHAnsi"/>
          <w:sz w:val="24"/>
          <w:szCs w:val="24"/>
          <w:lang w:eastAsia="ar-SA"/>
        </w:rPr>
        <w:t>Na podstawie art. 91 ust. 1 ustawy z dnia 8 marca 1990 r. o samorządzie gminnym</w:t>
      </w:r>
      <w:r w:rsidRPr="00677AFE">
        <w:rPr>
          <w:rFonts w:eastAsia="Times New Roman" w:cstheme="minorHAnsi"/>
          <w:sz w:val="24"/>
          <w:szCs w:val="24"/>
          <w:lang w:eastAsia="ar-SA"/>
        </w:rPr>
        <w:br/>
        <w:t xml:space="preserve"> (Dz. U. z 2020 r. poz. 713, z późn. zm.)</w:t>
      </w:r>
    </w:p>
    <w:p w:rsidR="0071692F" w:rsidRPr="00677AFE" w:rsidRDefault="00397990" w:rsidP="0071692F">
      <w:pPr>
        <w:suppressAutoHyphens/>
        <w:spacing w:after="0" w:line="36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1692F" w:rsidRPr="00677AFE" w:rsidRDefault="00397990" w:rsidP="0071692F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677AFE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71692F" w:rsidRPr="003700DE" w:rsidRDefault="00397990" w:rsidP="0071692F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uchwały Nr XXIX.148.2020 Rady Gminy Rybno z dnia 26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listopada</w:t>
      </w: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2020 r.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przyjęcia Programu W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spółpra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cy 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Rybno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i oraz podmiotami,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o których mowa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w art. 3 ust. 3 ustawy z dnia 24 kwietnia 2003 r. o działalności pożytku publiczn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ego i o wolontariacie na 2021 rok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 xml:space="preserve">w 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>zakresie § 8 ust. 3, § 12 ust. 1, 5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 xml:space="preserve"> oraz 6 Załącznika </w:t>
      </w:r>
      <w:r w:rsidRPr="003700DE">
        <w:rPr>
          <w:rFonts w:ascii="Calibri" w:eastAsia="Calibri" w:hAnsi="Calibri" w:cs="Calibri"/>
          <w:sz w:val="24"/>
          <w:szCs w:val="24"/>
          <w:lang w:eastAsia="pl-PL"/>
        </w:rPr>
        <w:t>do uchwały.</w:t>
      </w:r>
    </w:p>
    <w:p w:rsidR="0071692F" w:rsidRPr="00677AFE" w:rsidRDefault="00397990" w:rsidP="0071692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AFE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71692F" w:rsidRPr="00677AFE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1692F" w:rsidRPr="00677AFE" w:rsidRDefault="00397990" w:rsidP="0071692F">
      <w:pPr>
        <w:spacing w:after="0" w:line="360" w:lineRule="auto"/>
        <w:jc w:val="both"/>
        <w:rPr>
          <w:i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>W dniu 26 listopada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2020 r. Rada </w:t>
      </w:r>
      <w:r>
        <w:rPr>
          <w:rFonts w:eastAsia="Times New Roman" w:cstheme="minorHAnsi"/>
          <w:sz w:val="24"/>
          <w:szCs w:val="24"/>
          <w:lang w:eastAsia="pl-PL"/>
        </w:rPr>
        <w:t>Gminy Rybno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podjęła uchwałę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Nr XXIX.148.2020</w:t>
      </w: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przyjęcia Programu W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spółpra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cy 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Rybno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i oraz podmiotami, o których mowa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w art. 3 ust. 3 ustawy z dnia 24 kwietnia 2003 r. o działalności pożytku publicz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nego i o wolontariacie na 2021 rok.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.</w:t>
      </w:r>
    </w:p>
    <w:p w:rsidR="0071692F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W uchwale wskazano, że podstawę prawną do jej podjęcia stanowi przepis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art. 18 ust. 2 pkt 15 ustawy z d</w:t>
      </w:r>
      <w:r w:rsidRPr="00677AFE">
        <w:rPr>
          <w:rFonts w:eastAsia="Times New Roman" w:cstheme="minorHAnsi"/>
          <w:sz w:val="24"/>
          <w:szCs w:val="24"/>
          <w:lang w:eastAsia="pl-PL"/>
        </w:rPr>
        <w:t>nia 8 marca 1990 r. o samorządzie gminnym (Dz. 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2020 r. poz. 713, z późn. zm.) oraz art. 5a ust. 1 i 4 ustawy z dnia 24 kwietnia 2003 r. o działalności pożytku publicznego i o wolontariacie (Dz. U. z 2020 r. poz. 1057)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1692F" w:rsidRPr="00B65949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 xml:space="preserve">Zgodnie z art. 5a ustawy </w:t>
      </w:r>
      <w:r w:rsidRPr="00677AFE">
        <w:rPr>
          <w:rFonts w:eastAsia="Times New Roman" w:cstheme="minorHAnsi"/>
          <w:sz w:val="24"/>
          <w:szCs w:val="24"/>
          <w:lang w:eastAsia="pl-PL"/>
        </w:rPr>
        <w:t>o dzia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łalności pożytku publicznego i o wolontariacie </w:t>
      </w:r>
      <w:r>
        <w:rPr>
          <w:rFonts w:ascii="Calibri" w:hAnsi="Calibri" w:cs="Calibri"/>
          <w:sz w:val="24"/>
          <w:szCs w:val="24"/>
          <w:lang w:eastAsia="pl-PL"/>
        </w:rPr>
        <w:t>o</w:t>
      </w:r>
      <w:r w:rsidRPr="00B65949">
        <w:rPr>
          <w:rFonts w:ascii="Calibri" w:hAnsi="Calibri" w:cs="Calibri"/>
          <w:sz w:val="24"/>
          <w:szCs w:val="24"/>
          <w:lang w:eastAsia="pl-PL"/>
        </w:rPr>
        <w:t>rgan stanowiący jednostki samorządu terytorialnego uchwala, po konsultacjach z organizacjami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B65949">
        <w:rPr>
          <w:rFonts w:ascii="Calibri" w:hAnsi="Calibri" w:cs="Calibri"/>
          <w:sz w:val="24"/>
          <w:szCs w:val="24"/>
          <w:lang w:eastAsia="pl-PL"/>
        </w:rPr>
        <w:t>pozarządowymi oraz podmiotami wymienionymi w art. 3 ust. 3, przeprowadzonych w sposób określony w art. 5 ust. 5, ro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czny program współpracy z organizacjami pozarządowymi oraz </w:t>
      </w:r>
      <w:r w:rsidRPr="00B65949">
        <w:rPr>
          <w:rFonts w:ascii="Calibri" w:hAnsi="Calibri" w:cs="Calibri"/>
          <w:sz w:val="24"/>
          <w:szCs w:val="24"/>
          <w:lang w:eastAsia="pl-PL"/>
        </w:rPr>
        <w:lastRenderedPageBreak/>
        <w:t>podmiotami</w:t>
      </w:r>
      <w:r>
        <w:rPr>
          <w:rFonts w:ascii="Calibri" w:hAnsi="Calibri" w:cs="Calibri"/>
          <w:sz w:val="24"/>
          <w:szCs w:val="24"/>
          <w:lang w:eastAsia="pl-PL"/>
        </w:rPr>
        <w:t xml:space="preserve"> wymienionymi w art. 3 ust. 3. Określając program współpracy r</w:t>
      </w:r>
      <w:r w:rsidRPr="00B65949">
        <w:rPr>
          <w:rFonts w:ascii="Calibri" w:hAnsi="Calibri" w:cs="Calibri"/>
          <w:sz w:val="24"/>
          <w:szCs w:val="24"/>
          <w:lang w:eastAsia="pl-PL"/>
        </w:rPr>
        <w:t>ada, na podstawie art. 5a ust. 4 tej ustawy zobowiązana jest określić w jego treści w szczególności: 1) cel główny i cele szczegółowe programu; 2) zasady współpracy; 3) zakres przedmiotowy; 4) formy współpracy, o których mowa w art. 5 ust. 2; 5) prioryteto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we zadania publiczne; 6) okres realizacji programu; 7) sposób realizacji programu; 8) wysokość środków planowanych </w:t>
      </w:r>
      <w:r>
        <w:rPr>
          <w:rFonts w:ascii="Calibri" w:hAnsi="Calibri" w:cs="Calibri"/>
          <w:sz w:val="24"/>
          <w:szCs w:val="24"/>
          <w:lang w:eastAsia="pl-PL"/>
        </w:rPr>
        <w:br/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na realizację programu; 9) sposób oceny realizacji programu; 10) informację o sposobie tworzenia programu oraz o przebiegu konsultacji; 11) </w:t>
      </w:r>
      <w:r w:rsidRPr="00B65949">
        <w:rPr>
          <w:rFonts w:ascii="Calibri" w:hAnsi="Calibri" w:cs="Calibri"/>
          <w:sz w:val="24"/>
          <w:szCs w:val="24"/>
          <w:lang w:eastAsia="pl-PL"/>
        </w:rPr>
        <w:t>tryb powoływania i zasady działania komisji konkursowych do opiniowania ofert</w:t>
      </w:r>
      <w:r>
        <w:rPr>
          <w:rFonts w:ascii="Calibri" w:hAnsi="Calibri" w:cs="Calibri"/>
          <w:sz w:val="24"/>
          <w:szCs w:val="24"/>
          <w:lang w:eastAsia="pl-PL"/>
        </w:rPr>
        <w:t xml:space="preserve"> w otwartych konkursach ofert.</w:t>
      </w:r>
    </w:p>
    <w:p w:rsidR="00640732" w:rsidRPr="000034AC" w:rsidRDefault="00397990" w:rsidP="0064073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677AFE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1 kwestionowanej uchwały Rada Gminy Rybno przyjęła Program Współpracy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G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miny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Rybno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organizacjami pozarządowym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i oraz podmiotami, o których mowa </w:t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art. 3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br/>
      </w:r>
      <w:r w:rsidRPr="00677AFE">
        <w:rPr>
          <w:rFonts w:ascii="Calibri" w:eastAsia="Calibri" w:hAnsi="Calibri" w:cs="Calibri"/>
          <w:i/>
          <w:sz w:val="24"/>
          <w:szCs w:val="24"/>
          <w:lang w:eastAsia="pl-PL"/>
        </w:rPr>
        <w:t>ust. 3 ustawy z dnia 24 kwietnia 2003 r. o działalności pożytku publicznego i o wolontariacie na 2021 r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ok </w:t>
      </w:r>
      <w:r w:rsidRPr="000034AC">
        <w:rPr>
          <w:rFonts w:ascii="Calibri" w:eastAsia="Calibri" w:hAnsi="Calibri" w:cs="Calibri"/>
          <w:sz w:val="24"/>
          <w:szCs w:val="24"/>
          <w:lang w:eastAsia="pl-PL"/>
        </w:rPr>
        <w:t>w brzmieniu zawar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tym w załączniku do ww. uchwały, zwanego dalej </w:t>
      </w:r>
      <w:r w:rsidRPr="000034AC">
        <w:rPr>
          <w:rFonts w:ascii="Calibri" w:eastAsia="Calibri" w:hAnsi="Calibri" w:cs="Calibri"/>
          <w:i/>
          <w:sz w:val="24"/>
          <w:szCs w:val="24"/>
          <w:lang w:eastAsia="pl-PL"/>
        </w:rPr>
        <w:t>,,Programem”</w:t>
      </w:r>
      <w:r>
        <w:rPr>
          <w:rFonts w:ascii="Calibri" w:eastAsia="Calibri" w:hAnsi="Calibri" w:cs="Calibri"/>
          <w:sz w:val="24"/>
          <w:szCs w:val="24"/>
          <w:lang w:eastAsia="pl-PL"/>
        </w:rPr>
        <w:t>.</w:t>
      </w:r>
    </w:p>
    <w:p w:rsidR="00640732" w:rsidRDefault="00397990" w:rsidP="00640732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§ 8 ust. 1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Programu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Rada postanowiła, że Gmina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Rybno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współpracuje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 </w:t>
      </w:r>
      <w:r w:rsidRPr="00640732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organizacjami pozarządowymi w sferze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zadań publicznych wymienionych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art. 4 ust. 1 ustawy o </w:t>
      </w:r>
      <w:r w:rsidRPr="00677AFE">
        <w:rPr>
          <w:rFonts w:eastAsia="Times New Roman" w:cstheme="minorHAnsi"/>
          <w:sz w:val="24"/>
          <w:szCs w:val="24"/>
          <w:lang w:eastAsia="pl-PL"/>
        </w:rPr>
        <w:t>działalności pożytku publicznego i o wolontariacie</w:t>
      </w:r>
      <w:r>
        <w:rPr>
          <w:rFonts w:eastAsia="Times New Roman" w:cstheme="minorHAnsi"/>
          <w:sz w:val="24"/>
          <w:szCs w:val="24"/>
          <w:lang w:eastAsia="pl-PL"/>
        </w:rPr>
        <w:t>, wskazując</w:t>
      </w:r>
      <w:r>
        <w:rPr>
          <w:rFonts w:eastAsia="Times New Roman" w:cstheme="minorHAnsi"/>
          <w:sz w:val="24"/>
          <w:szCs w:val="24"/>
          <w:lang w:eastAsia="pl-PL"/>
        </w:rPr>
        <w:t xml:space="preserve">, że do priorytetowych zadań publicznych przeznaczonych </w:t>
      </w:r>
      <w:r>
        <w:rPr>
          <w:rFonts w:eastAsia="Times New Roman" w:cstheme="minorHAnsi"/>
          <w:sz w:val="24"/>
          <w:szCs w:val="24"/>
          <w:lang w:eastAsia="pl-PL"/>
        </w:rPr>
        <w:t xml:space="preserve">przez Gminę Rybno </w:t>
      </w:r>
      <w:r>
        <w:rPr>
          <w:rFonts w:eastAsia="Times New Roman" w:cstheme="minorHAnsi"/>
          <w:sz w:val="24"/>
          <w:szCs w:val="24"/>
          <w:lang w:eastAsia="pl-PL"/>
        </w:rPr>
        <w:t>do realizacj</w:t>
      </w:r>
      <w:r>
        <w:rPr>
          <w:rFonts w:eastAsia="Times New Roman" w:cstheme="minorHAnsi"/>
          <w:sz w:val="24"/>
          <w:szCs w:val="24"/>
          <w:lang w:eastAsia="pl-PL"/>
        </w:rPr>
        <w:t xml:space="preserve">i </w:t>
      </w:r>
      <w:r>
        <w:rPr>
          <w:rFonts w:eastAsia="Times New Roman" w:cstheme="minorHAnsi"/>
          <w:sz w:val="24"/>
          <w:szCs w:val="24"/>
          <w:lang w:eastAsia="pl-PL"/>
        </w:rPr>
        <w:t>organizacjom pozarządowym w 2021 roku należą zadania w zakresie wspierania i upowszechniania kultury fizycznej oraz zadania w zakresie kultury, sztuki, ochrony dóbr kultury i dziedzictwa narodowego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Następnie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8 ust. 3 Załącznika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kwestionowanej uchwał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Rada Gminy postanowiła, że: ,,</w:t>
      </w:r>
      <w:r w:rsidRPr="0083778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Wójt na podstawie oceny lokalnych potrzeb lub na wniosek organizacji może w drodze zarządzenia wskazać inne niż określone w ust. 1 zadania, które wymagają realizacji w celu ich zlecenia organizacjom pozarządowym na zasadach </w:t>
      </w:r>
      <w:r w:rsidRPr="0083778E">
        <w:rPr>
          <w:rFonts w:ascii="Calibri" w:eastAsia="Times New Roman" w:hAnsi="Calibri" w:cs="Calibri"/>
          <w:i/>
          <w:sz w:val="24"/>
          <w:szCs w:val="24"/>
          <w:lang w:eastAsia="pl-PL"/>
        </w:rPr>
        <w:t>określonych w ustawie</w:t>
      </w:r>
      <w:r w:rsidRPr="00154C2C">
        <w:rPr>
          <w:sz w:val="24"/>
          <w:szCs w:val="24"/>
        </w:rPr>
        <w:t>”</w:t>
      </w:r>
      <w:r w:rsidRPr="00154C2C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640732">
        <w:rPr>
          <w:rFonts w:ascii="Calibri" w:hAnsi="Calibri" w:cs="Calibri"/>
          <w:sz w:val="24"/>
          <w:szCs w:val="24"/>
        </w:rPr>
        <w:t xml:space="preserve">W </w:t>
      </w:r>
      <w:r w:rsidRPr="00640732">
        <w:rPr>
          <w:rFonts w:ascii="Calibri" w:hAnsi="Calibri" w:cs="Calibri"/>
          <w:sz w:val="24"/>
          <w:szCs w:val="24"/>
        </w:rPr>
        <w:t xml:space="preserve">ocenie organu nadzoru powyższa regulacja stanowi w istocie </w:t>
      </w:r>
      <w:r w:rsidRPr="00640732">
        <w:rPr>
          <w:rFonts w:ascii="Calibri" w:hAnsi="Calibri" w:cs="Calibri"/>
          <w:sz w:val="24"/>
          <w:szCs w:val="24"/>
        </w:rPr>
        <w:t>subdelegację</w:t>
      </w:r>
      <w:r w:rsidRPr="00640732">
        <w:rPr>
          <w:rFonts w:ascii="Calibri" w:hAnsi="Calibri" w:cs="Calibri"/>
          <w:sz w:val="24"/>
          <w:szCs w:val="24"/>
        </w:rPr>
        <w:t xml:space="preserve"> </w:t>
      </w:r>
      <w:r w:rsidRPr="00640732">
        <w:rPr>
          <w:rFonts w:ascii="Calibri" w:hAnsi="Calibri" w:cs="Calibri"/>
          <w:sz w:val="24"/>
          <w:szCs w:val="24"/>
        </w:rPr>
        <w:t xml:space="preserve">kompetencji Rady Gminy </w:t>
      </w:r>
      <w:r w:rsidRPr="00640732">
        <w:rPr>
          <w:rFonts w:ascii="Calibri" w:hAnsi="Calibri" w:cs="Calibri"/>
          <w:sz w:val="24"/>
          <w:szCs w:val="24"/>
        </w:rPr>
        <w:t xml:space="preserve">Rybno </w:t>
      </w:r>
      <w:r w:rsidRPr="00640732">
        <w:rPr>
          <w:rFonts w:ascii="Calibri" w:hAnsi="Calibri" w:cs="Calibri"/>
          <w:sz w:val="24"/>
          <w:szCs w:val="24"/>
        </w:rPr>
        <w:t>na Wójta</w:t>
      </w:r>
      <w:r w:rsidRPr="00640732">
        <w:rPr>
          <w:rFonts w:ascii="Calibri" w:hAnsi="Calibri" w:cs="Calibri"/>
          <w:sz w:val="24"/>
          <w:szCs w:val="24"/>
        </w:rPr>
        <w:t xml:space="preserve"> Gminy Rybno</w:t>
      </w:r>
      <w:r w:rsidRPr="00640732">
        <w:rPr>
          <w:rFonts w:ascii="Calibri" w:hAnsi="Calibri" w:cs="Calibri"/>
          <w:sz w:val="24"/>
          <w:szCs w:val="24"/>
        </w:rPr>
        <w:t>, poprzez upoważnienie go do okreś</w:t>
      </w:r>
      <w:r w:rsidRPr="00640732">
        <w:rPr>
          <w:rFonts w:ascii="Calibri" w:hAnsi="Calibri" w:cs="Calibri"/>
          <w:sz w:val="24"/>
          <w:szCs w:val="24"/>
        </w:rPr>
        <w:t>lania w</w:t>
      </w:r>
      <w:r>
        <w:rPr>
          <w:rFonts w:ascii="Calibri" w:hAnsi="Calibri" w:cs="Calibri"/>
          <w:sz w:val="24"/>
          <w:szCs w:val="24"/>
        </w:rPr>
        <w:t xml:space="preserve"> drodze zarządzenia</w:t>
      </w:r>
      <w:r w:rsidRPr="00640732">
        <w:rPr>
          <w:rFonts w:ascii="Calibri" w:hAnsi="Calibri" w:cs="Calibri"/>
          <w:sz w:val="24"/>
          <w:szCs w:val="24"/>
        </w:rPr>
        <w:t xml:space="preserve"> innych zadań </w:t>
      </w:r>
      <w:r w:rsidRPr="00640732">
        <w:rPr>
          <w:rFonts w:ascii="Calibri" w:hAnsi="Calibri" w:cs="Calibri"/>
          <w:sz w:val="24"/>
          <w:szCs w:val="24"/>
        </w:rPr>
        <w:t>priorytetowych</w:t>
      </w:r>
      <w:r>
        <w:rPr>
          <w:rFonts w:ascii="Calibri" w:hAnsi="Calibri" w:cs="Calibri"/>
          <w:sz w:val="24"/>
          <w:szCs w:val="24"/>
        </w:rPr>
        <w:t xml:space="preserve">, </w:t>
      </w:r>
      <w:r w:rsidRPr="00640732">
        <w:rPr>
          <w:rFonts w:ascii="Calibri" w:hAnsi="Calibri" w:cs="Calibri"/>
          <w:sz w:val="24"/>
          <w:szCs w:val="24"/>
        </w:rPr>
        <w:t>ni</w:t>
      </w:r>
      <w:r w:rsidRPr="00640732">
        <w:rPr>
          <w:rFonts w:ascii="Calibri" w:hAnsi="Calibri" w:cs="Calibri"/>
          <w:sz w:val="24"/>
          <w:szCs w:val="24"/>
        </w:rPr>
        <w:t xml:space="preserve">ż ustalone przez Radę Gminy. Organ nadzoru </w:t>
      </w:r>
      <w:r w:rsidRPr="00640732">
        <w:rPr>
          <w:rFonts w:ascii="Calibri" w:hAnsi="Calibri" w:cs="Calibri"/>
          <w:sz w:val="24"/>
          <w:szCs w:val="24"/>
        </w:rPr>
        <w:t xml:space="preserve">podkreśla, że </w:t>
      </w:r>
      <w:r w:rsidRPr="00640732">
        <w:rPr>
          <w:rFonts w:ascii="Calibri" w:hAnsi="Calibri" w:cs="Calibri"/>
          <w:sz w:val="24"/>
          <w:szCs w:val="24"/>
        </w:rPr>
        <w:t>rada gminy nie może upoważnić organu wykonawczego do poszerzania ustalonego katalogu zadań priorytetowych o inne zadania, nie wymienione w uchwale programowej, ani do m</w:t>
      </w:r>
      <w:r>
        <w:rPr>
          <w:rFonts w:ascii="Calibri" w:hAnsi="Calibri" w:cs="Calibri"/>
          <w:sz w:val="24"/>
          <w:szCs w:val="24"/>
        </w:rPr>
        <w:t>odyfikowania programu. Takie</w:t>
      </w:r>
      <w:r w:rsidRPr="00640732">
        <w:rPr>
          <w:rFonts w:ascii="Calibri" w:hAnsi="Calibri" w:cs="Calibri"/>
          <w:sz w:val="24"/>
          <w:szCs w:val="24"/>
        </w:rPr>
        <w:t xml:space="preserve"> up</w:t>
      </w:r>
      <w:r w:rsidRPr="00640732">
        <w:rPr>
          <w:rFonts w:ascii="Calibri" w:hAnsi="Calibri" w:cs="Calibri"/>
          <w:sz w:val="24"/>
          <w:szCs w:val="24"/>
        </w:rPr>
        <w:t>oważnienie posiada wyłącznie rada.</w:t>
      </w:r>
    </w:p>
    <w:p w:rsidR="00F20519" w:rsidRPr="004A5445" w:rsidRDefault="00397990" w:rsidP="004A5445">
      <w:pPr>
        <w:spacing w:after="0" w:line="360" w:lineRule="auto"/>
        <w:ind w:firstLine="708"/>
        <w:jc w:val="both"/>
        <w:rPr>
          <w:rFonts w:ascii="Calibri" w:eastAsia="Calibri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Poza tym </w:t>
      </w:r>
      <w:r>
        <w:rPr>
          <w:rFonts w:ascii="Calibri" w:eastAsia="Times New Roman" w:hAnsi="Calibri" w:cs="Calibri"/>
        </w:rPr>
        <w:t xml:space="preserve">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12 ust. 1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Programu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Rada Gminy postanowiła, że: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Nadzór nad działalnością organizacji pożytku publicznego, w zakresie prawidłowości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wyko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rzystania środków finansowych dotowanych przez gminę sprawuje skarbnik 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gminy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W ocenie organu </w:t>
      </w:r>
      <w:r>
        <w:rPr>
          <w:rFonts w:ascii="Calibri" w:hAnsi="Calibri" w:cs="Calibri"/>
          <w:sz w:val="24"/>
          <w:szCs w:val="24"/>
        </w:rPr>
        <w:lastRenderedPageBreak/>
        <w:t>nadzoru p</w:t>
      </w:r>
      <w:r w:rsidRPr="00552DD9">
        <w:rPr>
          <w:rFonts w:ascii="Calibri" w:hAnsi="Calibri" w:cs="Calibri"/>
          <w:sz w:val="24"/>
          <w:szCs w:val="24"/>
        </w:rPr>
        <w:t>owyższa regulacja wykracza poza upoważnienie określone w art. 5a ust. 1 i ust. 4 ustawy o działalności pożytk</w:t>
      </w:r>
      <w:r>
        <w:rPr>
          <w:rFonts w:ascii="Calibri" w:hAnsi="Calibri" w:cs="Calibri"/>
          <w:sz w:val="24"/>
          <w:szCs w:val="24"/>
        </w:rPr>
        <w:t xml:space="preserve">u publicznego i o wolontariacie, bowiem </w:t>
      </w:r>
      <w:r w:rsidRPr="00552DD9">
        <w:rPr>
          <w:rFonts w:ascii="Calibri" w:hAnsi="Calibri" w:cs="Calibri"/>
          <w:sz w:val="24"/>
          <w:szCs w:val="24"/>
        </w:rPr>
        <w:t>prawidłowości</w:t>
      </w:r>
      <w:r>
        <w:rPr>
          <w:sz w:val="24"/>
          <w:szCs w:val="24"/>
        </w:rPr>
        <w:t xml:space="preserve"> </w:t>
      </w:r>
      <w:r w:rsidRPr="00552DD9">
        <w:rPr>
          <w:sz w:val="24"/>
          <w:szCs w:val="24"/>
        </w:rPr>
        <w:t>wykorzystania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hAnsi="Calibri" w:cs="Calibri"/>
          <w:sz w:val="24"/>
          <w:szCs w:val="24"/>
        </w:rPr>
        <w:t>środków publicznych ot</w:t>
      </w:r>
      <w:r>
        <w:rPr>
          <w:rFonts w:ascii="Calibri" w:hAnsi="Calibri" w:cs="Calibri"/>
          <w:sz w:val="24"/>
          <w:szCs w:val="24"/>
        </w:rPr>
        <w:t xml:space="preserve">rzymanych na realizację </w:t>
      </w:r>
      <w:r>
        <w:rPr>
          <w:rFonts w:ascii="Calibri" w:hAnsi="Calibri" w:cs="Calibri"/>
          <w:sz w:val="24"/>
          <w:szCs w:val="24"/>
        </w:rPr>
        <w:t xml:space="preserve">zadania </w:t>
      </w:r>
      <w:r w:rsidRPr="00552DD9">
        <w:rPr>
          <w:rFonts w:ascii="Calibri" w:hAnsi="Calibri" w:cs="Calibri"/>
          <w:sz w:val="24"/>
          <w:szCs w:val="24"/>
        </w:rPr>
        <w:t>dokonuje organ administracji publicz</w:t>
      </w:r>
      <w:r>
        <w:rPr>
          <w:rFonts w:ascii="Calibri" w:hAnsi="Calibri" w:cs="Calibri"/>
          <w:sz w:val="24"/>
          <w:szCs w:val="24"/>
        </w:rPr>
        <w:t xml:space="preserve">nej zlecający zadanie publiczne. </w:t>
      </w:r>
      <w:r w:rsidRPr="00552DD9">
        <w:rPr>
          <w:rFonts w:ascii="Calibri" w:hAnsi="Calibri" w:cs="Calibri"/>
          <w:sz w:val="24"/>
          <w:szCs w:val="24"/>
        </w:rPr>
        <w:t>Zgodnie z art. 17 ustawy o działalności pożytku publicznego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hAnsi="Calibri" w:cs="Calibri"/>
          <w:sz w:val="24"/>
          <w:szCs w:val="24"/>
        </w:rPr>
        <w:t>i o wolontariacie</w:t>
      </w:r>
      <w:r>
        <w:rPr>
          <w:rFonts w:ascii="Calibri" w:hAnsi="Calibri" w:cs="Calibri"/>
          <w:sz w:val="24"/>
          <w:szCs w:val="24"/>
        </w:rPr>
        <w:t>,</w:t>
      </w:r>
      <w:r w:rsidRPr="00552DD9">
        <w:rPr>
          <w:rFonts w:ascii="Calibri" w:hAnsi="Calibri" w:cs="Calibri"/>
          <w:sz w:val="24"/>
          <w:szCs w:val="24"/>
        </w:rPr>
        <w:t xml:space="preserve"> 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organ administracji publicznej zlecający realizację zadania publicznego może dokonywać kontroli i oceny realizacji zadania, w szczególności: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552DD9">
        <w:rPr>
          <w:rFonts w:ascii="Calibri" w:eastAsia="Times New Roman" w:hAnsi="Calibri" w:cs="Calibri"/>
          <w:sz w:val="24"/>
          <w:szCs w:val="24"/>
        </w:rPr>
        <w:t>1) stopnia realizacji zadania;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2) efektywności, rzetelności i jakości realizacji zadania;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552DD9">
        <w:rPr>
          <w:rFonts w:ascii="Calibri" w:eastAsia="Times New Roman" w:hAnsi="Calibri" w:cs="Calibri"/>
          <w:sz w:val="24"/>
          <w:szCs w:val="24"/>
        </w:rPr>
        <w:t>3) prawidłowości wykorz</w:t>
      </w:r>
      <w:r w:rsidRPr="00552DD9">
        <w:rPr>
          <w:rFonts w:ascii="Calibri" w:eastAsia="Times New Roman" w:hAnsi="Calibri" w:cs="Calibri"/>
          <w:sz w:val="24"/>
          <w:szCs w:val="24"/>
        </w:rPr>
        <w:t xml:space="preserve">ystania środków publicznych otrzymanych na realizację zadania;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552DD9">
        <w:rPr>
          <w:rFonts w:ascii="Calibri" w:eastAsia="Times New Roman" w:hAnsi="Calibri" w:cs="Calibri"/>
          <w:sz w:val="24"/>
          <w:szCs w:val="24"/>
        </w:rPr>
        <w:t xml:space="preserve">4) prowadzenia dokumentacji związanej z realizowanym zadaniem. </w:t>
      </w:r>
      <w:r w:rsidRPr="000034AC">
        <w:rPr>
          <w:rFonts w:ascii="Calibri" w:hAnsi="Calibri" w:cs="Calibri"/>
          <w:sz w:val="24"/>
          <w:szCs w:val="24"/>
        </w:rPr>
        <w:t xml:space="preserve">Z </w:t>
      </w:r>
      <w:r w:rsidRPr="000034AC">
        <w:rPr>
          <w:rFonts w:ascii="Calibri" w:hAnsi="Calibri" w:cs="Calibri"/>
          <w:sz w:val="24"/>
          <w:szCs w:val="24"/>
        </w:rPr>
        <w:t xml:space="preserve">ww. przepisów </w:t>
      </w:r>
      <w:r w:rsidRPr="000034AC">
        <w:rPr>
          <w:rFonts w:ascii="Calibri" w:hAnsi="Calibri" w:cs="Calibri"/>
          <w:sz w:val="24"/>
          <w:szCs w:val="24"/>
        </w:rPr>
        <w:t xml:space="preserve">ustawy wynika zatem wprost, </w:t>
      </w:r>
      <w:r w:rsidRPr="000034AC">
        <w:rPr>
          <w:rFonts w:ascii="Calibri" w:hAnsi="Calibri" w:cs="Calibri"/>
          <w:sz w:val="24"/>
          <w:szCs w:val="24"/>
        </w:rPr>
        <w:t>że do kompetencji Wójta Gminy</w:t>
      </w:r>
      <w:r w:rsidRPr="000034AC">
        <w:rPr>
          <w:rFonts w:ascii="Calibri" w:hAnsi="Calibri" w:cs="Calibri"/>
          <w:sz w:val="24"/>
          <w:szCs w:val="24"/>
        </w:rPr>
        <w:t xml:space="preserve"> </w:t>
      </w:r>
      <w:r w:rsidRPr="000034AC">
        <w:rPr>
          <w:rFonts w:ascii="Calibri" w:hAnsi="Calibri" w:cs="Calibri"/>
          <w:sz w:val="24"/>
          <w:szCs w:val="24"/>
        </w:rPr>
        <w:t xml:space="preserve">należy </w:t>
      </w:r>
      <w:r w:rsidRPr="00552DD9">
        <w:rPr>
          <w:rFonts w:ascii="Calibri" w:hAnsi="Calibri" w:cs="Calibri"/>
          <w:sz w:val="24"/>
          <w:szCs w:val="24"/>
        </w:rPr>
        <w:t>obowiązek dokonywania okresowej kontroli i oceny</w:t>
      </w:r>
      <w:r w:rsidRPr="00552DD9">
        <w:rPr>
          <w:rFonts w:ascii="Calibri" w:hAnsi="Calibri" w:cs="Calibri"/>
          <w:sz w:val="24"/>
          <w:szCs w:val="24"/>
        </w:rPr>
        <w:t xml:space="preserve"> stanu realizacji zleconego zadania publicznego</w:t>
      </w:r>
      <w:r>
        <w:rPr>
          <w:rFonts w:ascii="Calibri" w:hAnsi="Calibri" w:cs="Calibri"/>
          <w:sz w:val="24"/>
          <w:szCs w:val="24"/>
        </w:rPr>
        <w:t xml:space="preserve">. </w:t>
      </w:r>
      <w:r w:rsidRPr="00552DD9">
        <w:rPr>
          <w:rFonts w:ascii="Calibri" w:hAnsi="Calibri" w:cs="Calibri"/>
          <w:sz w:val="24"/>
          <w:szCs w:val="24"/>
        </w:rPr>
        <w:t>Do kompetencji organu</w:t>
      </w:r>
      <w:r>
        <w:rPr>
          <w:rFonts w:ascii="Calibri" w:hAnsi="Calibri" w:cs="Calibri"/>
          <w:sz w:val="24"/>
          <w:szCs w:val="24"/>
        </w:rPr>
        <w:t xml:space="preserve"> zlecającego realizację zadania, a nie do Rady Gminy, </w:t>
      </w:r>
      <w:r w:rsidRPr="00552DD9">
        <w:rPr>
          <w:rFonts w:ascii="Calibri" w:hAnsi="Calibri" w:cs="Calibri"/>
          <w:sz w:val="24"/>
          <w:szCs w:val="24"/>
        </w:rPr>
        <w:t>należy również wyznaczenie odpowiednich komórek c</w:t>
      </w:r>
      <w:r>
        <w:rPr>
          <w:rFonts w:ascii="Calibri" w:hAnsi="Calibri" w:cs="Calibri"/>
          <w:sz w:val="24"/>
          <w:szCs w:val="24"/>
        </w:rPr>
        <w:t>zy też pracowników Urzędu Gminy</w:t>
      </w:r>
      <w:r w:rsidRPr="00552DD9">
        <w:rPr>
          <w:rFonts w:ascii="Calibri" w:hAnsi="Calibri" w:cs="Calibri"/>
          <w:sz w:val="24"/>
          <w:szCs w:val="24"/>
        </w:rPr>
        <w:t xml:space="preserve"> do wykonania tej czynności.</w:t>
      </w:r>
      <w:r w:rsidRPr="00F205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Zatem </w:t>
      </w:r>
      <w:r>
        <w:rPr>
          <w:rFonts w:ascii="Calibri" w:hAnsi="Calibri" w:cs="Calibri"/>
          <w:sz w:val="24"/>
          <w:szCs w:val="24"/>
        </w:rPr>
        <w:t>w</w:t>
      </w:r>
      <w:r w:rsidRPr="004A5445">
        <w:rPr>
          <w:rFonts w:ascii="Calibri" w:hAnsi="Calibri" w:cs="Calibri"/>
          <w:sz w:val="24"/>
          <w:szCs w:val="24"/>
        </w:rPr>
        <w:t>ójt</w:t>
      </w:r>
      <w:r w:rsidRPr="004A5445">
        <w:rPr>
          <w:rFonts w:ascii="Calibri" w:hAnsi="Calibri" w:cs="Calibri"/>
          <w:sz w:val="24"/>
          <w:szCs w:val="24"/>
        </w:rPr>
        <w:t xml:space="preserve">, który </w:t>
      </w:r>
      <w:r w:rsidRPr="004A5445">
        <w:rPr>
          <w:rFonts w:ascii="Calibri" w:hAnsi="Calibri" w:cs="Calibri"/>
          <w:sz w:val="24"/>
          <w:szCs w:val="24"/>
        </w:rPr>
        <w:t xml:space="preserve">jest </w:t>
      </w:r>
      <w:r w:rsidRPr="004A5445">
        <w:rPr>
          <w:rFonts w:ascii="Calibri" w:hAnsi="Calibri" w:cs="Calibri"/>
          <w:sz w:val="24"/>
          <w:szCs w:val="24"/>
        </w:rPr>
        <w:t>kierownikiem urzędu gminy</w:t>
      </w:r>
      <w:r w:rsidRPr="004A5445">
        <w:rPr>
          <w:rFonts w:ascii="Calibri" w:hAnsi="Calibri" w:cs="Calibri"/>
          <w:sz w:val="24"/>
          <w:szCs w:val="24"/>
        </w:rPr>
        <w:t xml:space="preserve"> określa zarówno organizację, jak i zasady funkcjonowania urzędu, pełni funkcję zwierzchnika służbowego w stosunku do pracowników urzędu gminy, a więc sprawuje władztwo organizacyjne nad aparatem pomocniczym organów gminy (</w:t>
      </w:r>
      <w:hyperlink r:id="rId5" w:anchor="/document/16793509?unitId=art(33)ust(2)&amp;cm=DOCUMENT" w:history="1">
        <w:r w:rsidRPr="004A5445">
          <w:rPr>
            <w:rFonts w:ascii="Calibri" w:hAnsi="Calibri" w:cs="Calibri"/>
            <w:sz w:val="24"/>
            <w:szCs w:val="24"/>
          </w:rPr>
          <w:t>art. 33 ust. 2</w:t>
        </w:r>
      </w:hyperlink>
      <w:r w:rsidRPr="004A5445">
        <w:rPr>
          <w:rFonts w:ascii="Calibri" w:hAnsi="Calibri" w:cs="Calibri"/>
          <w:sz w:val="24"/>
          <w:szCs w:val="24"/>
        </w:rPr>
        <w:t xml:space="preserve">, </w:t>
      </w:r>
      <w:hyperlink r:id="rId6" w:anchor="/document/16793509?unitId=art(33)ust(3)&amp;cm=DOCUMENT" w:history="1">
        <w:r w:rsidRPr="004A5445">
          <w:rPr>
            <w:rFonts w:ascii="Calibri" w:hAnsi="Calibri" w:cs="Calibri"/>
            <w:sz w:val="24"/>
            <w:szCs w:val="24"/>
          </w:rPr>
          <w:t>3</w:t>
        </w:r>
      </w:hyperlink>
      <w:r w:rsidRPr="004A5445">
        <w:rPr>
          <w:rFonts w:ascii="Calibri" w:hAnsi="Calibri" w:cs="Calibri"/>
          <w:sz w:val="24"/>
          <w:szCs w:val="24"/>
        </w:rPr>
        <w:t xml:space="preserve"> i </w:t>
      </w:r>
      <w:hyperlink r:id="rId7" w:anchor="/document/16793509?unitId=art(33)ust(5)&amp;cm=DOCUMENT" w:history="1">
        <w:r w:rsidRPr="004A5445">
          <w:rPr>
            <w:rFonts w:ascii="Calibri" w:hAnsi="Calibri" w:cs="Calibri"/>
            <w:sz w:val="24"/>
            <w:szCs w:val="24"/>
          </w:rPr>
          <w:t>5</w:t>
        </w:r>
      </w:hyperlink>
      <w:r>
        <w:rPr>
          <w:rFonts w:ascii="Calibri" w:hAnsi="Calibri" w:cs="Calibri"/>
          <w:sz w:val="24"/>
          <w:szCs w:val="24"/>
        </w:rPr>
        <w:t xml:space="preserve"> ustawy o samorządzie gminnym oraz</w:t>
      </w:r>
      <w:r w:rsidRPr="004A5445">
        <w:rPr>
          <w:rFonts w:ascii="Calibri" w:hAnsi="Calibri" w:cs="Calibri"/>
          <w:sz w:val="24"/>
          <w:szCs w:val="24"/>
        </w:rPr>
        <w:t xml:space="preserve"> </w:t>
      </w:r>
      <w:hyperlink r:id="rId8" w:anchor="/document/17506209?unitId=art(7)pkt(3)&amp;cm=DOCUMENT" w:history="1">
        <w:r w:rsidRPr="004A5445">
          <w:rPr>
            <w:rFonts w:ascii="Calibri" w:hAnsi="Calibri" w:cs="Calibri"/>
            <w:sz w:val="24"/>
            <w:szCs w:val="24"/>
          </w:rPr>
          <w:t>art. 7 pkt 3</w:t>
        </w:r>
      </w:hyperlink>
      <w:r w:rsidRPr="004A5445">
        <w:rPr>
          <w:rFonts w:ascii="Calibri" w:hAnsi="Calibri" w:cs="Calibri"/>
          <w:sz w:val="24"/>
          <w:szCs w:val="24"/>
        </w:rPr>
        <w:t xml:space="preserve"> ustawy z dnia 21 listopada 2008 r. o pracownikach samorządowych </w:t>
      </w:r>
      <w:r>
        <w:rPr>
          <w:rFonts w:ascii="Calibri" w:hAnsi="Calibri" w:cs="Calibri"/>
          <w:sz w:val="24"/>
          <w:szCs w:val="24"/>
        </w:rPr>
        <w:t>–</w:t>
      </w:r>
      <w:r w:rsidRPr="004A5445">
        <w:rPr>
          <w:rFonts w:ascii="Calibri" w:hAnsi="Calibri" w:cs="Calibri"/>
          <w:sz w:val="24"/>
          <w:szCs w:val="24"/>
        </w:rPr>
        <w:t xml:space="preserve"> Dz. U. </w:t>
      </w:r>
      <w:r>
        <w:rPr>
          <w:rFonts w:ascii="Calibri" w:hAnsi="Calibri" w:cs="Calibri"/>
          <w:sz w:val="24"/>
          <w:szCs w:val="24"/>
        </w:rPr>
        <w:t xml:space="preserve">z 2019 </w:t>
      </w:r>
      <w:r>
        <w:rPr>
          <w:rFonts w:ascii="Calibri" w:hAnsi="Calibri" w:cs="Calibri"/>
          <w:sz w:val="24"/>
          <w:szCs w:val="24"/>
        </w:rPr>
        <w:t>r. poz. 1282</w:t>
      </w:r>
      <w:r w:rsidRPr="004A5445">
        <w:rPr>
          <w:rFonts w:ascii="Calibri" w:hAnsi="Calibri" w:cs="Calibri"/>
          <w:sz w:val="24"/>
          <w:szCs w:val="24"/>
        </w:rPr>
        <w:t>).</w:t>
      </w:r>
      <w:r>
        <w:rPr>
          <w:rFonts w:ascii="Calibri" w:hAnsi="Calibri" w:cs="Calibri"/>
          <w:sz w:val="24"/>
          <w:szCs w:val="24"/>
        </w:rPr>
        <w:t xml:space="preserve"> W związku </w:t>
      </w:r>
      <w:r>
        <w:rPr>
          <w:rFonts w:ascii="Calibri" w:hAnsi="Calibri" w:cs="Calibri"/>
          <w:sz w:val="24"/>
          <w:szCs w:val="24"/>
        </w:rPr>
        <w:br/>
        <w:t>z powyższym,</w:t>
      </w:r>
      <w:r w:rsidRPr="004A5445">
        <w:rPr>
          <w:rFonts w:ascii="Calibri" w:hAnsi="Calibri" w:cs="Calibri"/>
          <w:sz w:val="24"/>
          <w:szCs w:val="24"/>
        </w:rPr>
        <w:t xml:space="preserve"> z</w:t>
      </w:r>
      <w:r w:rsidRPr="004A5445">
        <w:rPr>
          <w:rFonts w:ascii="Calibri" w:hAnsi="Calibri" w:cs="Calibri"/>
          <w:sz w:val="24"/>
          <w:szCs w:val="24"/>
        </w:rPr>
        <w:t>amiesz</w:t>
      </w:r>
      <w:r>
        <w:rPr>
          <w:rFonts w:ascii="Calibri" w:hAnsi="Calibri" w:cs="Calibri"/>
          <w:sz w:val="24"/>
          <w:szCs w:val="24"/>
        </w:rPr>
        <w:t>cz</w:t>
      </w:r>
      <w:r w:rsidRPr="004A5445">
        <w:rPr>
          <w:rFonts w:ascii="Calibri" w:hAnsi="Calibri" w:cs="Calibri"/>
          <w:sz w:val="24"/>
          <w:szCs w:val="24"/>
        </w:rPr>
        <w:t xml:space="preserve">enie jakichkolwiek regulacji w tej materii w programie współpracy </w:t>
      </w:r>
      <w:r>
        <w:rPr>
          <w:rFonts w:ascii="Calibri" w:hAnsi="Calibri" w:cs="Calibri"/>
          <w:sz w:val="24"/>
          <w:szCs w:val="24"/>
        </w:rPr>
        <w:br/>
      </w:r>
      <w:r w:rsidRPr="004A5445">
        <w:rPr>
          <w:rFonts w:ascii="Calibri" w:hAnsi="Calibri" w:cs="Calibri"/>
          <w:sz w:val="24"/>
          <w:szCs w:val="24"/>
        </w:rPr>
        <w:t>nie znajduje podstaw prawnych.</w:t>
      </w:r>
    </w:p>
    <w:p w:rsidR="000D4B53" w:rsidRDefault="00397990" w:rsidP="000D4B53">
      <w:pPr>
        <w:spacing w:after="0" w:line="360" w:lineRule="auto"/>
        <w:ind w:firstLine="708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Następnie w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12 ust. 5 i 6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Programu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Rada Gminy postanowiła, że: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0D4B53" w:rsidRDefault="00397990" w:rsidP="000D4B53">
      <w:pPr>
        <w:spacing w:after="0" w:line="360" w:lineRule="auto"/>
        <w:ind w:firstLine="708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5. Organizacja pozarządowa jest zobowiązana do prowadzenia wyodrębnionej dokumentacji finansowo-księgowej i ewidencji księgowej zadania publicznego jak również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do opisywania dokumentacji finansowo-księgowej związanej z realizacją zadania zgodnie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z zasada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mi wynikającymi z ustawy z dnia 29 września 1994 r. o rachunkowości (Dz. U.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z 2020 r., poz. 568), w sposób umożliwiający identyfikacje poszczególnych operacji księgowych.</w:t>
      </w:r>
    </w:p>
    <w:p w:rsidR="000D4B53" w:rsidRDefault="00397990" w:rsidP="000D4B53">
      <w:pPr>
        <w:spacing w:after="0" w:line="360" w:lineRule="auto"/>
        <w:ind w:firstLine="708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6. Organizacja pozarządowa na żądanie kontrolującego jest zobowiązana dostarczyć 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br/>
        <w:t>lu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>b udostępnić dokumenty i inne nośniki informacji, które maj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ą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lub mogą mieć znaczenie </w:t>
      </w:r>
      <w:r w:rsidRPr="002E4408">
        <w:rPr>
          <w:rFonts w:ascii="Calibri" w:eastAsia="Times New Roman" w:hAnsi="Calibri" w:cs="Calibri"/>
          <w:i/>
          <w:sz w:val="24"/>
          <w:szCs w:val="24"/>
          <w:lang w:eastAsia="pl-PL"/>
        </w:rPr>
        <w:br/>
        <w:t xml:space="preserve">dla oceny prawidłowości wykonania zadania oraz żądać udzielenia ustnie lub na piśmie informacji dotyczących wykonania zadania”. </w:t>
      </w:r>
    </w:p>
    <w:p w:rsidR="004062DD" w:rsidRDefault="00397990" w:rsidP="000D4B5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10B90">
        <w:rPr>
          <w:sz w:val="24"/>
          <w:szCs w:val="24"/>
        </w:rPr>
        <w:t>W orzecznictwie sądów administracyjnych p</w:t>
      </w:r>
      <w:r w:rsidRPr="00210B90">
        <w:rPr>
          <w:sz w:val="24"/>
          <w:szCs w:val="24"/>
        </w:rPr>
        <w:t xml:space="preserve">odkreśla się, że program współpracy </w:t>
      </w:r>
      <w:r w:rsidRPr="00210B90">
        <w:rPr>
          <w:sz w:val="24"/>
          <w:szCs w:val="24"/>
        </w:rPr>
        <w:br/>
        <w:t xml:space="preserve">z organizacjami pozarządowymi oraz podmiotami, o których mowa w art. 3 ust. 3 ustawy </w:t>
      </w:r>
      <w:r>
        <w:rPr>
          <w:sz w:val="24"/>
          <w:szCs w:val="24"/>
        </w:rPr>
        <w:br/>
      </w:r>
      <w:r w:rsidRPr="00210B90">
        <w:rPr>
          <w:sz w:val="24"/>
          <w:szCs w:val="24"/>
        </w:rPr>
        <w:lastRenderedPageBreak/>
        <w:t xml:space="preserve">o działalności pożytku publicznego i o wolontariacie, jest aktem o charakterze </w:t>
      </w:r>
      <w:r w:rsidRPr="00210B90">
        <w:rPr>
          <w:iCs/>
          <w:sz w:val="24"/>
          <w:szCs w:val="24"/>
        </w:rPr>
        <w:t>planistycznym</w:t>
      </w:r>
      <w:r w:rsidRPr="00210B90">
        <w:rPr>
          <w:sz w:val="24"/>
          <w:szCs w:val="24"/>
        </w:rPr>
        <w:t xml:space="preserve">, programowym, który wyznacza kierunki i </w:t>
      </w:r>
      <w:r w:rsidRPr="00210B90">
        <w:rPr>
          <w:sz w:val="24"/>
          <w:szCs w:val="24"/>
        </w:rPr>
        <w:t xml:space="preserve">cele działania jednostki samorządu terytorialnego (wyrok Naczelnego Sądu Administracyjnego z dnia 12 października 2017 r. sygn. akt </w:t>
      </w:r>
      <w:hyperlink r:id="rId9" w:anchor="/document/522485301?cm=DOCUMENT" w:history="1">
        <w:r w:rsidRPr="00210B90">
          <w:rPr>
            <w:sz w:val="24"/>
            <w:szCs w:val="24"/>
          </w:rPr>
          <w:t>I OSK 2687/16</w:t>
        </w:r>
      </w:hyperlink>
      <w:r w:rsidRPr="00210B90">
        <w:rPr>
          <w:sz w:val="24"/>
          <w:szCs w:val="24"/>
        </w:rPr>
        <w:t>).</w:t>
      </w:r>
      <w:r w:rsidRPr="00210B90">
        <w:t xml:space="preserve"> </w:t>
      </w:r>
      <w:r w:rsidRPr="006152A3">
        <w:rPr>
          <w:rFonts w:ascii="Calibri" w:hAnsi="Calibri" w:cs="Calibri"/>
          <w:sz w:val="24"/>
          <w:szCs w:val="24"/>
        </w:rPr>
        <w:t xml:space="preserve">Jego treść stanowią normy </w:t>
      </w:r>
      <w:r w:rsidRPr="006152A3">
        <w:rPr>
          <w:rStyle w:val="Uwydatnienie"/>
          <w:rFonts w:ascii="Calibri" w:hAnsi="Calibri" w:cs="Calibri"/>
          <w:i w:val="0"/>
          <w:sz w:val="24"/>
          <w:szCs w:val="24"/>
        </w:rPr>
        <w:t>planistyczne</w:t>
      </w:r>
      <w:r w:rsidRPr="006152A3">
        <w:rPr>
          <w:rFonts w:ascii="Calibri" w:hAnsi="Calibri" w:cs="Calibri"/>
          <w:sz w:val="24"/>
          <w:szCs w:val="24"/>
        </w:rPr>
        <w:t>, normy-prognozy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normy </w:t>
      </w:r>
      <w:r>
        <w:rPr>
          <w:rFonts w:ascii="Calibri" w:hAnsi="Calibri" w:cs="Calibri"/>
          <w:sz w:val="24"/>
          <w:szCs w:val="24"/>
        </w:rPr>
        <w:t>zawierają</w:t>
      </w:r>
      <w:r>
        <w:rPr>
          <w:rFonts w:ascii="Calibri" w:hAnsi="Calibri" w:cs="Calibri"/>
          <w:sz w:val="24"/>
          <w:szCs w:val="24"/>
        </w:rPr>
        <w:t>ce</w:t>
      </w:r>
      <w:r>
        <w:rPr>
          <w:rFonts w:ascii="Calibri" w:hAnsi="Calibri" w:cs="Calibri"/>
          <w:sz w:val="24"/>
          <w:szCs w:val="24"/>
        </w:rPr>
        <w:t xml:space="preserve"> pewną strategię i zarys zamierzeń</w:t>
      </w:r>
      <w:r w:rsidRPr="006152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organu administracji we wskazanym zakresie</w:t>
      </w:r>
      <w:r>
        <w:rPr>
          <w:rFonts w:ascii="Calibri" w:hAnsi="Calibri" w:cs="Calibri"/>
          <w:sz w:val="24"/>
          <w:szCs w:val="24"/>
        </w:rPr>
        <w:t xml:space="preserve">. </w:t>
      </w:r>
      <w:r w:rsidRPr="004062DD">
        <w:rPr>
          <w:rFonts w:ascii="Calibri" w:hAnsi="Calibri" w:cs="Calibri"/>
          <w:sz w:val="24"/>
          <w:szCs w:val="24"/>
        </w:rPr>
        <w:t xml:space="preserve">Dlatego, </w:t>
      </w:r>
      <w:r>
        <w:rPr>
          <w:rFonts w:ascii="Calibri" w:hAnsi="Calibri" w:cs="Calibri"/>
          <w:sz w:val="24"/>
          <w:szCs w:val="24"/>
        </w:rPr>
        <w:br/>
      </w:r>
      <w:r w:rsidRPr="004062DD">
        <w:rPr>
          <w:rFonts w:ascii="Calibri" w:hAnsi="Calibri" w:cs="Calibri"/>
          <w:sz w:val="24"/>
          <w:szCs w:val="24"/>
        </w:rPr>
        <w:t xml:space="preserve">w ocenie organu nadzoru, </w:t>
      </w:r>
      <w:r w:rsidRPr="004062DD">
        <w:rPr>
          <w:rFonts w:ascii="Calibri" w:hAnsi="Calibri" w:cs="Calibri"/>
          <w:sz w:val="24"/>
          <w:szCs w:val="24"/>
        </w:rPr>
        <w:t xml:space="preserve">Rada </w:t>
      </w:r>
      <w:r w:rsidRPr="004062DD">
        <w:rPr>
          <w:rFonts w:ascii="Calibri" w:hAnsi="Calibri" w:cs="Calibri"/>
          <w:sz w:val="24"/>
          <w:szCs w:val="24"/>
        </w:rPr>
        <w:t xml:space="preserve">Gminy </w:t>
      </w:r>
      <w:r w:rsidRPr="004062DD">
        <w:rPr>
          <w:rFonts w:ascii="Calibri" w:hAnsi="Calibri" w:cs="Calibri"/>
          <w:sz w:val="24"/>
          <w:szCs w:val="24"/>
        </w:rPr>
        <w:t xml:space="preserve">nie może nałożyć </w:t>
      </w:r>
      <w:r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 xml:space="preserve">dokumencie </w:t>
      </w:r>
      <w:r>
        <w:rPr>
          <w:rFonts w:ascii="Calibri" w:hAnsi="Calibri" w:cs="Calibri"/>
          <w:sz w:val="24"/>
          <w:szCs w:val="24"/>
        </w:rPr>
        <w:t>o cha</w:t>
      </w:r>
      <w:r>
        <w:rPr>
          <w:rFonts w:ascii="Calibri" w:hAnsi="Calibri" w:cs="Calibri"/>
          <w:sz w:val="24"/>
          <w:szCs w:val="24"/>
        </w:rPr>
        <w:t xml:space="preserve">rakterze </w:t>
      </w:r>
      <w:r>
        <w:rPr>
          <w:rFonts w:ascii="Calibri" w:hAnsi="Calibri" w:cs="Calibri"/>
          <w:sz w:val="24"/>
          <w:szCs w:val="24"/>
        </w:rPr>
        <w:t xml:space="preserve">planistycznym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4062DD">
        <w:rPr>
          <w:rFonts w:ascii="Calibri" w:hAnsi="Calibri" w:cs="Calibri"/>
          <w:sz w:val="24"/>
          <w:szCs w:val="24"/>
        </w:rPr>
        <w:t>organizacje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62DD">
        <w:rPr>
          <w:rFonts w:ascii="Calibri" w:hAnsi="Calibri" w:cs="Calibri"/>
          <w:sz w:val="24"/>
          <w:szCs w:val="24"/>
        </w:rPr>
        <w:t xml:space="preserve">obowiązku 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>prowadzenia wyodrębnionej dokumentacji finansowo-księgowej i ewidencj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 księgowej zadania publicznego, 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 xml:space="preserve">jak również do opisywania dokumentacji finansowo-księgowej związanej z realizacją zadania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zgodnie 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>z zasadami wynikającymi z ustawy z dnia 29 września 1994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 xml:space="preserve"> r. o rachunkowości (Dz. U. z 2019 r. poz. 351, z późn.zm.), czy dostarczenia 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>lub udostępn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>ienia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dokumentów i innych nośników</w:t>
      </w:r>
      <w:r w:rsidRPr="004062DD">
        <w:rPr>
          <w:rFonts w:ascii="Calibri" w:eastAsia="Times New Roman" w:hAnsi="Calibri" w:cs="Calibri"/>
          <w:sz w:val="24"/>
          <w:szCs w:val="24"/>
          <w:lang w:eastAsia="pl-PL"/>
        </w:rPr>
        <w:t xml:space="preserve"> informacji</w:t>
      </w:r>
      <w:r w:rsidRPr="004062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4062DD">
        <w:rPr>
          <w:rFonts w:ascii="Calibri" w:hAnsi="Calibri" w:cs="Calibri"/>
          <w:sz w:val="24"/>
          <w:szCs w:val="24"/>
        </w:rPr>
        <w:t>na żądanie kontrolującego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71692F" w:rsidRPr="00C47B23" w:rsidRDefault="00397990" w:rsidP="00C47B23">
      <w:pPr>
        <w:spacing w:after="0" w:line="360" w:lineRule="auto"/>
        <w:ind w:firstLine="708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4062DD">
        <w:rPr>
          <w:rFonts w:ascii="Calibri" w:hAnsi="Calibri" w:cs="Calibri"/>
          <w:sz w:val="24"/>
          <w:szCs w:val="24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„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Zgodnie z zasadą legalności (art. 7 Konstytucji RP), organy władzy publicznej działają na podstawie i w granicach prawa. Rada gminy obowiązana jest, zatem przestrzegać zakresu upoważniania ustawowego udzielonego jej przez ustawę w zakresie tworzenia aktów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prawa miejscowego, a w ramach udzielonej jej delegacji w tych działaniach nie może wykraczać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  <w:t>w materie uregulowana ustawą. (...)."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(wyrok Wojewódzkiego Sądu Administracyjnego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w Olsztynie z dnia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7AFE">
        <w:rPr>
          <w:rFonts w:eastAsia="Times New Roman" w:cstheme="minorHAnsi"/>
          <w:sz w:val="24"/>
          <w:szCs w:val="24"/>
          <w:lang w:eastAsia="pl-PL"/>
        </w:rPr>
        <w:t>12 stycznia 2016 r. sygn. akt. II SA/OI 1269/15).</w:t>
      </w:r>
    </w:p>
    <w:p w:rsidR="0071692F" w:rsidRPr="00677AFE" w:rsidRDefault="00397990" w:rsidP="0071692F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77AFE">
        <w:rPr>
          <w:rFonts w:ascii="Calibri" w:eastAsia="Times New Roman" w:hAnsi="Calibri" w:cs="Calibri"/>
          <w:sz w:val="24"/>
          <w:szCs w:val="24"/>
          <w:lang w:eastAsia="pl-PL"/>
        </w:rPr>
        <w:t xml:space="preserve"> „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W judykaturze przyjmuje się, że tylko istotne naruszenie prawa stanowi podstawę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  <w:t xml:space="preserve">do stwierdzenia nieważności uchwały organu gminy, a więc uchybienie prowadzące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br/>
        <w:t xml:space="preserve">do skutków, które nie mogą być zaakceptowane w demokratycznym państwie prawnym, które wpływają 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 xml:space="preserve">na treść uchwały lub zarządzenia. Do takich naruszeń zalicza się między innymi naruszenie przepisów </w:t>
      </w:r>
      <w:r w:rsidRPr="00677AFE">
        <w:rPr>
          <w:rFonts w:eastAsia="Times New Roman" w:cstheme="minorHAnsi"/>
          <w:i/>
          <w:sz w:val="24"/>
          <w:szCs w:val="24"/>
          <w:u w:val="single"/>
          <w:lang w:eastAsia="pl-PL"/>
        </w:rPr>
        <w:t>wyznaczających kompetencje do wydania aktu lub brak podstawy prawnej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>, bądź przepisów prawa ustrojowego lub przepisów prawa materialnego przez wadliwą ich wy</w:t>
      </w:r>
      <w:r w:rsidRPr="00677AFE">
        <w:rPr>
          <w:rFonts w:eastAsia="Times New Roman" w:cstheme="minorHAnsi"/>
          <w:i/>
          <w:sz w:val="24"/>
          <w:szCs w:val="24"/>
          <w:lang w:eastAsia="pl-PL"/>
        </w:rPr>
        <w:t>kładnię oraz przepisów regulujących procedurę podejmowania uchwał, jeżeli na skutek tego naruszenia zapadła uchwała innej treści, niż gdyby naruszenie to nie wystąpiło</w:t>
      </w:r>
      <w:r w:rsidRPr="00677AFE">
        <w:rPr>
          <w:rFonts w:eastAsia="Times New Roman" w:cstheme="minorHAnsi"/>
          <w:sz w:val="24"/>
          <w:szCs w:val="24"/>
          <w:lang w:eastAsia="pl-PL"/>
        </w:rPr>
        <w:t>”. (wyrok Wojewódzkiego Sądu Administracyjnego w Gorzowie Wielkopolskim z dnia 30 maja 20</w:t>
      </w:r>
      <w:r w:rsidRPr="00677AFE">
        <w:rPr>
          <w:rFonts w:eastAsia="Times New Roman" w:cstheme="minorHAnsi"/>
          <w:sz w:val="24"/>
          <w:szCs w:val="24"/>
          <w:lang w:eastAsia="pl-PL"/>
        </w:rPr>
        <w:t>18 r. sygn. akt II SA/Go 271/18).</w:t>
      </w:r>
    </w:p>
    <w:p w:rsidR="0071692F" w:rsidRPr="00CD1626" w:rsidRDefault="00397990" w:rsidP="00CD1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 xml:space="preserve"> Mając na uwadze powyższe, stwierdzenie nieważności przedmiotowej </w:t>
      </w:r>
      <w:r w:rsidRPr="00677AFE">
        <w:rPr>
          <w:rFonts w:eastAsia="Times New Roman" w:cstheme="minorHAnsi"/>
          <w:bCs/>
          <w:sz w:val="24"/>
          <w:szCs w:val="24"/>
          <w:lang w:eastAsia="pl-PL"/>
        </w:rPr>
        <w:t xml:space="preserve">uchwały 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Rady </w:t>
      </w:r>
      <w:r>
        <w:rPr>
          <w:rFonts w:eastAsia="Times New Roman" w:cstheme="minorHAnsi"/>
          <w:sz w:val="24"/>
          <w:szCs w:val="24"/>
          <w:lang w:eastAsia="pl-PL"/>
        </w:rPr>
        <w:t>Gminy Rybno</w:t>
      </w:r>
      <w:r w:rsidRPr="00677AFE">
        <w:rPr>
          <w:rFonts w:eastAsia="Times New Roman" w:cstheme="minorHAnsi"/>
          <w:sz w:val="24"/>
          <w:szCs w:val="24"/>
          <w:lang w:eastAsia="pl-PL"/>
        </w:rPr>
        <w:t>, we wskazanej w petitum części, jest w pełni uzasadnione.</w:t>
      </w:r>
    </w:p>
    <w:p w:rsidR="0071692F" w:rsidRPr="00677AFE" w:rsidRDefault="00397990" w:rsidP="0071692F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 niniejsze rozstrzygnięcie nadzorcze </w:t>
      </w:r>
      <w:r>
        <w:rPr>
          <w:rFonts w:eastAsia="Times New Roman" w:cstheme="minorHAnsi"/>
          <w:sz w:val="24"/>
          <w:szCs w:val="24"/>
          <w:lang w:eastAsia="pl-PL"/>
        </w:rPr>
        <w:t>Gminie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 przysługuje skarga do Wojew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ódzkiego Sądu Administracyjnego w Warszawie w terminie 30 dni od daty jego doręczenia, wnoszona </w:t>
      </w:r>
      <w:r w:rsidRPr="00677AFE">
        <w:rPr>
          <w:rFonts w:eastAsia="Times New Roman" w:cstheme="minorHAnsi"/>
          <w:sz w:val="24"/>
          <w:szCs w:val="24"/>
          <w:lang w:eastAsia="pl-PL"/>
        </w:rPr>
        <w:br/>
        <w:t>za pośrednictwem organu, który skarżone orzeczenie wydał</w:t>
      </w:r>
    </w:p>
    <w:p w:rsidR="0071692F" w:rsidRPr="00677AFE" w:rsidRDefault="00397990" w:rsidP="0071692F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77AFE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prawa, w części objętej or</w:t>
      </w:r>
      <w:r w:rsidRPr="00677AFE">
        <w:rPr>
          <w:rFonts w:eastAsia="Times New Roman" w:cstheme="minorHAnsi"/>
          <w:sz w:val="24"/>
          <w:szCs w:val="24"/>
          <w:lang w:eastAsia="pl-PL"/>
        </w:rPr>
        <w:t>zeczeniem, z dniem jego doręczenia.</w:t>
      </w:r>
    </w:p>
    <w:p w:rsidR="0071692F" w:rsidRPr="00677AFE" w:rsidRDefault="00397990" w:rsidP="0071692F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:rsidR="0071692F" w:rsidRPr="00677AFE" w:rsidRDefault="00397990" w:rsidP="0071692F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677AFE">
        <w:rPr>
          <w:rFonts w:ascii="Calibri" w:hAnsi="Calibri" w:cs="Calibri"/>
          <w:i/>
          <w:sz w:val="24"/>
        </w:rPr>
        <w:t xml:space="preserve">                                                                                       Konstanty Radziwiłł</w:t>
      </w:r>
    </w:p>
    <w:p w:rsidR="0071692F" w:rsidRPr="00677AFE" w:rsidRDefault="00397990" w:rsidP="0071692F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677AFE">
        <w:rPr>
          <w:rFonts w:ascii="Calibri" w:hAnsi="Calibri" w:cs="Calibri"/>
          <w:i/>
          <w:sz w:val="24"/>
        </w:rPr>
        <w:t xml:space="preserve">                                                                                      Wojewoda Mazowiecki </w:t>
      </w:r>
    </w:p>
    <w:p w:rsidR="0071692F" w:rsidRPr="00677AFE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7AFE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                                                                                /podpisano elektronicznie/</w:t>
      </w:r>
    </w:p>
    <w:p w:rsidR="0071692F" w:rsidRPr="00677AFE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71692F" w:rsidRPr="00677AFE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71692F" w:rsidRPr="00677AFE" w:rsidRDefault="00397990" w:rsidP="00716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A337C8" w:rsidRDefault="00397990"/>
    <w:sectPr w:rsidR="00A3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0"/>
    <w:rsid w:val="003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4474F-8C1D-455F-B240-4A6E33B6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6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69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1692F"/>
    <w:rPr>
      <w:color w:val="0563C1"/>
      <w:u w:val="single"/>
    </w:rPr>
  </w:style>
  <w:style w:type="character" w:customStyle="1" w:styleId="gmail-selected">
    <w:name w:val="gmail-selected"/>
    <w:basedOn w:val="Domylnaczcionkaakapitu"/>
    <w:rsid w:val="00154C2C"/>
  </w:style>
  <w:style w:type="character" w:styleId="Uwydatnienie">
    <w:name w:val="Emphasis"/>
    <w:basedOn w:val="Domylnaczcionkaakapitu"/>
    <w:uiPriority w:val="20"/>
    <w:qFormat/>
    <w:rsid w:val="000A0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Paulina Kolaszyńska</cp:lastModifiedBy>
  <cp:revision>2</cp:revision>
  <dcterms:created xsi:type="dcterms:W3CDTF">2020-12-24T11:43:00Z</dcterms:created>
  <dcterms:modified xsi:type="dcterms:W3CDTF">2020-12-24T11:43:00Z</dcterms:modified>
</cp:coreProperties>
</file>