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B6" w:rsidRPr="00420ADD" w:rsidRDefault="00FB0530">
      <w:pPr>
        <w:rPr>
          <w:rFonts w:ascii="Lato" w:hAnsi="Lato"/>
        </w:rPr>
      </w:pPr>
      <w:r w:rsidRPr="00420ADD">
        <w:rPr>
          <w:rFonts w:ascii="Lato" w:hAnsi="Lato"/>
        </w:rPr>
        <w:t>BOŚNIA I HERCEGOWINA – INFORMATOR EKONOMICZNY</w:t>
      </w:r>
    </w:p>
    <w:p w:rsidR="00FB0530" w:rsidRDefault="00FB0530" w:rsidP="00FB0530">
      <w:pPr>
        <w:pStyle w:val="Akapitzlist"/>
        <w:numPr>
          <w:ilvl w:val="0"/>
          <w:numId w:val="1"/>
        </w:numPr>
        <w:rPr>
          <w:rFonts w:ascii="Lato" w:hAnsi="Lato"/>
          <w:b/>
        </w:rPr>
      </w:pPr>
      <w:r w:rsidRPr="00420ADD">
        <w:rPr>
          <w:rFonts w:ascii="Lato" w:hAnsi="Lato"/>
          <w:b/>
        </w:rPr>
        <w:t xml:space="preserve">Gospodarka </w:t>
      </w:r>
    </w:p>
    <w:p w:rsidR="005D78B1" w:rsidRPr="00420ADD" w:rsidRDefault="005D78B1" w:rsidP="005D78B1">
      <w:pPr>
        <w:pStyle w:val="Akapitzlist"/>
        <w:numPr>
          <w:ilvl w:val="1"/>
          <w:numId w:val="1"/>
        </w:numPr>
        <w:rPr>
          <w:rFonts w:ascii="Lato" w:hAnsi="Lato"/>
          <w:b/>
        </w:rPr>
      </w:pPr>
      <w:r>
        <w:rPr>
          <w:rFonts w:ascii="Lato" w:hAnsi="Lato"/>
          <w:b/>
        </w:rPr>
        <w:t xml:space="preserve"> </w:t>
      </w:r>
      <w:r w:rsidRPr="00420ADD">
        <w:rPr>
          <w:rFonts w:ascii="Lato" w:hAnsi="Lato"/>
          <w:b/>
        </w:rPr>
        <w:t>Struktura administracji gospodarczej</w:t>
      </w:r>
    </w:p>
    <w:p w:rsidR="005D78B1" w:rsidRPr="00420ADD" w:rsidRDefault="005D78B1" w:rsidP="005D78B1">
      <w:pPr>
        <w:jc w:val="both"/>
        <w:rPr>
          <w:rFonts w:ascii="Lato" w:hAnsi="Lato"/>
        </w:rPr>
      </w:pPr>
      <w:r w:rsidRPr="00420ADD">
        <w:rPr>
          <w:rFonts w:ascii="Lato" w:hAnsi="Lato"/>
        </w:rPr>
        <w:t>Struktura administracji gospodarczej w Bośni i Hercegowinie (BiH) jest złożona i odzwierciedla skomplikowany podział administracyjny kraju. BiH składa się z dwóch głównych jednostek administracyjnych, zwanych entitetami: Federacji Bośni i Hercegowiny (FBiH) oraz Republiki Serbskiej (RS). Federacja Bośni i Hercegowiny zajmuje ok. 51% terytorium kraju i jest podzielona na 10 kantonów, które dalej dzielą się na 79 gmin. Republika Serbska zajmuje ok. 49% terytorium kraju i jest podzielona na 62 gminy. Dodatkowo istnieje Dystrykt Brčko, który jest autonomiczną jednostką administracyjną zarządzaną bezpośrednio przez państwo.</w:t>
      </w:r>
    </w:p>
    <w:p w:rsidR="005D78B1" w:rsidRPr="00420ADD" w:rsidRDefault="005D78B1" w:rsidP="005D78B1">
      <w:pPr>
        <w:jc w:val="both"/>
        <w:rPr>
          <w:rFonts w:ascii="Lato" w:hAnsi="Lato"/>
        </w:rPr>
      </w:pPr>
      <w:r w:rsidRPr="00420ADD">
        <w:rPr>
          <w:rFonts w:ascii="Lato" w:hAnsi="Lato"/>
        </w:rPr>
        <w:t>Na poziomie państwowym głównymi instytucjami gospodarczymi są Rada Ministrów BiH, która składa się z 9 ministerstw, z których trzy zajmują się sprawami gospodarczymi: Ministerstwo Handlu Zagranicznego i Stosunków Ekonomicznych, Ministerstwo Transportu i Komunikacji oraz Ministerstwo Finansów. Na poziomie entitetów, w Federacji Bośni i Hercegowiny działają Ministerstwo Handlu, Ministerstwo Finansów, Ministerstwo Energii, Górnictwa i Przemysłu oraz Ministerstwo Rolnictwa, Wodociągów i Leśnictwa. W Republice Serbskiej funkcjonują: Ministerstwo Gospodarki i Stosunków Regionalnych, Ministerstwo Finansów, Ministerstwo Przemysłu, Energii i Górnictwa oraz Ministerstwo Rolnictwa, Leśnictwa i Gospodarki Wodnej.</w:t>
      </w:r>
    </w:p>
    <w:p w:rsidR="005D78B1" w:rsidRPr="00420ADD" w:rsidRDefault="005D78B1" w:rsidP="005D78B1">
      <w:pPr>
        <w:jc w:val="both"/>
        <w:rPr>
          <w:rFonts w:ascii="Lato" w:hAnsi="Lato"/>
        </w:rPr>
      </w:pPr>
      <w:r w:rsidRPr="00420ADD">
        <w:rPr>
          <w:rFonts w:ascii="Lato" w:hAnsi="Lato"/>
        </w:rPr>
        <w:t xml:space="preserve">Ministerstwo Handlu Zagranicznego i Stosunków Ekonomicznych odpowiada za politykę handlową, współpracę międzynarodową oraz koordynację działań gospodarczych na poziomie państwowym. Ministerstwo Finansów zarządza budżetem państwa, polityką fiskalną oraz nadzorem nad systemem finansowym. Ministerstwo Transportu i Komunikacji odpowiada za rozwój infrastruktury transportowej i komunikacyjnej. </w:t>
      </w:r>
    </w:p>
    <w:p w:rsidR="005D78B1" w:rsidRPr="00420ADD" w:rsidRDefault="005D78B1" w:rsidP="005D78B1">
      <w:pPr>
        <w:jc w:val="both"/>
        <w:rPr>
          <w:rFonts w:ascii="Lato" w:hAnsi="Lato"/>
        </w:rPr>
      </w:pPr>
      <w:r w:rsidRPr="00420ADD">
        <w:rPr>
          <w:rFonts w:ascii="Lato" w:hAnsi="Lato"/>
        </w:rPr>
        <w:t xml:space="preserve">Administracja gospodarcza w BiH wymaga ścisłej współpracy między różnymi poziomami rządów (państwowym, entitetów i lokalnym) oraz między różnymi ministerstwami i agencjami. </w:t>
      </w:r>
    </w:p>
    <w:p w:rsidR="005D78B1" w:rsidRPr="00420ADD" w:rsidRDefault="005D78B1" w:rsidP="005D78B1">
      <w:pPr>
        <w:jc w:val="both"/>
        <w:rPr>
          <w:rFonts w:ascii="Lato" w:hAnsi="Lato"/>
          <w:b/>
        </w:rPr>
      </w:pPr>
      <w:r w:rsidRPr="00420ADD">
        <w:rPr>
          <w:rFonts w:ascii="Lato" w:hAnsi="Lato"/>
          <w:b/>
        </w:rPr>
        <w:t xml:space="preserve">1.2. Sądownictwo gospodarcze </w:t>
      </w:r>
    </w:p>
    <w:p w:rsidR="005D78B1" w:rsidRPr="00420ADD" w:rsidRDefault="005D78B1" w:rsidP="005D78B1">
      <w:pPr>
        <w:jc w:val="both"/>
        <w:rPr>
          <w:rFonts w:ascii="Lato" w:hAnsi="Lato"/>
        </w:rPr>
      </w:pPr>
      <w:r w:rsidRPr="00420ADD">
        <w:rPr>
          <w:rFonts w:ascii="Lato" w:hAnsi="Lato"/>
        </w:rPr>
        <w:t>Sądownictwo gospodarcze w Bośni i Hercegowinie (BiH) jest częścią ogólnego systemu sądownictwa, który obejmuje zarówno sądy ogólne, jak i specjalistyczne. Na poziomie państwowym najważniejszą instytucją jest Sąd Bośni i Hercegowiny, który został ustanowiony w 2002 roku i ma siedzibę w Sarajewie. Sąd ten zajmuje się sprawami z zakresu prawa karnego, administracyjnego oraz apelacyjnego, w tym przestępstwami gospodarczymi, korupcją i przestępczością zorganizowaną.</w:t>
      </w:r>
    </w:p>
    <w:p w:rsidR="005D78B1" w:rsidRPr="00420ADD" w:rsidRDefault="005D78B1" w:rsidP="005D78B1">
      <w:pPr>
        <w:jc w:val="both"/>
        <w:rPr>
          <w:rFonts w:ascii="Lato" w:hAnsi="Lato"/>
        </w:rPr>
      </w:pPr>
      <w:r w:rsidRPr="00420ADD">
        <w:rPr>
          <w:rFonts w:ascii="Lato" w:hAnsi="Lato"/>
        </w:rPr>
        <w:t>W Federacji Bośni i Hercegowiny istnieją sądy gminne (općinski sudovi), kantonalne sądy oraz Najwyższy Sąd Federacji BiH. W sprawach gospodarczych sądy gminne mają wydziały gospodarcze, które są właściwe dla całego kantonu. W Republice Serbskiej funkcjonują sądy podstawowe, okręgowe oraz Najwyższy Sąd Republiki Serbskiej. Okręgowe sądy gospodarcze znajdują się w Banja Luce, Bijeljinie, Doboju, Trebinju i Istočnom Sarajevu, a Wyższy Sąd Gospodarczy w Banja Luce pełni funkcję sądu drugiej instancji dla całej Republiki Serbskiej.</w:t>
      </w:r>
    </w:p>
    <w:p w:rsidR="005D78B1" w:rsidRPr="00420ADD" w:rsidRDefault="005D78B1" w:rsidP="005D78B1">
      <w:pPr>
        <w:jc w:val="both"/>
        <w:rPr>
          <w:rFonts w:ascii="Lato" w:hAnsi="Lato"/>
        </w:rPr>
      </w:pPr>
      <w:r w:rsidRPr="00420ADD">
        <w:rPr>
          <w:rFonts w:ascii="Lato" w:hAnsi="Lato"/>
        </w:rPr>
        <w:t xml:space="preserve">Sądownictwo gospodarcze w BiH obejmuje rozstrzyganie sporów gospodarczych, przestępstw gospodarczych oraz innych spraw związanych z działalnością gospodarczą. W ramach sądów gospodarczych działają specjalne wydziały zajmujące się przestępczością gospodarczą, korupcją oraz przestępczością zorganizowaną. </w:t>
      </w:r>
    </w:p>
    <w:p w:rsidR="005D78B1" w:rsidRPr="00420ADD" w:rsidRDefault="005D78B1" w:rsidP="005D78B1">
      <w:pPr>
        <w:jc w:val="both"/>
        <w:rPr>
          <w:rFonts w:ascii="Lato" w:hAnsi="Lato"/>
          <w:b/>
        </w:rPr>
      </w:pPr>
      <w:r w:rsidRPr="00420ADD">
        <w:rPr>
          <w:rFonts w:ascii="Lato" w:hAnsi="Lato"/>
          <w:b/>
        </w:rPr>
        <w:t xml:space="preserve">1.3. Najważniejsze strategie gospodarcze </w:t>
      </w:r>
    </w:p>
    <w:p w:rsidR="005D78B1" w:rsidRPr="00420ADD" w:rsidRDefault="005D78B1" w:rsidP="005D78B1">
      <w:pPr>
        <w:jc w:val="both"/>
        <w:rPr>
          <w:rFonts w:ascii="Lato" w:hAnsi="Lato"/>
        </w:rPr>
      </w:pPr>
      <w:r w:rsidRPr="00420ADD">
        <w:rPr>
          <w:rFonts w:ascii="Lato" w:hAnsi="Lato"/>
        </w:rPr>
        <w:lastRenderedPageBreak/>
        <w:t xml:space="preserve">Najważniejsze strategie gospodarcze w Bośni i Hercegowinie (BiH) koncentrują się na kilku kluczowych obszarach, mających na celu poprawę konkurencyjności, zrównoważony rozwój oraz integrację z rynkami międzynarodowymi. Jednym z priorytetów jest zwiększenie roli sektora prywatnego poprzez poprawę umiejętności pracowników i cyfryzację. Wsparcie dla małych i średnich przedsiębiorstw (MŚP) jest kluczowe, ponieważ stanowią one znaczną część zatrudnienia i napędzają gospodarkę kraju. Istotnym elementem strategii jest poprawa infrastruktury drogowej. </w:t>
      </w:r>
    </w:p>
    <w:p w:rsidR="005D78B1" w:rsidRPr="00420ADD" w:rsidRDefault="005D78B1" w:rsidP="005D78B1">
      <w:pPr>
        <w:jc w:val="both"/>
        <w:rPr>
          <w:rFonts w:ascii="Lato" w:hAnsi="Lato"/>
        </w:rPr>
      </w:pPr>
      <w:r w:rsidRPr="00420ADD">
        <w:rPr>
          <w:rFonts w:ascii="Lato" w:hAnsi="Lato"/>
        </w:rPr>
        <w:t>BiH dąży do dywersyfikacji źródeł energii i odejścia od węgla na rzecz czystszych źródeł energii. Promowanie niskoemisyjnych modeli gospodarczych oraz dekarbonizacja sektora energetycznego są kluczowymi elementami tej strategii. Wspieranie integracji regionalnej poprzez poprawę zarządzania i dalszą integrację z rynkami międzynarodowymi jest kolejnym priorytetem. BiH stara się zwiększyć swoją konkurencyjność na arenie międzynarodowej poprzez lepsze zarządzanie i współpracę z innymi krajami. Przyspieszenie reform strukturalnych, w tym restrukturyzacja i prywatyzacja przedsiębiorstw państwowych, jest kluczowe dla poprawy efektywności gospodarki. Reformy te mają na celu zmniejszenie biurokracji i korupcji, co powinno ułatwić prowadzenie działalności gospodarczej.</w:t>
      </w:r>
    </w:p>
    <w:p w:rsidR="005D78B1" w:rsidRPr="00420ADD" w:rsidRDefault="005D78B1" w:rsidP="005D78B1">
      <w:pPr>
        <w:jc w:val="both"/>
        <w:rPr>
          <w:rFonts w:ascii="Lato" w:hAnsi="Lato"/>
        </w:rPr>
      </w:pPr>
      <w:r w:rsidRPr="00420ADD">
        <w:rPr>
          <w:rFonts w:ascii="Lato" w:hAnsi="Lato"/>
        </w:rPr>
        <w:t>Te strategie są realizowane przy wsparciu międzynarodowych instytucji finansowych, takich jak Europejski Bank Odbudowy i Rozwoju (EBOR), który wspiera BiH w realizacji tych celów poprzez finansowanie projektów i doradztwo polityczne.</w:t>
      </w:r>
    </w:p>
    <w:p w:rsidR="005D78B1" w:rsidRPr="00420ADD" w:rsidRDefault="005D78B1" w:rsidP="005D78B1">
      <w:pPr>
        <w:jc w:val="both"/>
        <w:rPr>
          <w:rFonts w:ascii="Lato" w:hAnsi="Lato"/>
          <w:b/>
        </w:rPr>
      </w:pPr>
      <w:r w:rsidRPr="00420ADD">
        <w:rPr>
          <w:rFonts w:ascii="Lato" w:hAnsi="Lato"/>
          <w:b/>
        </w:rPr>
        <w:t xml:space="preserve">1.4. Ogólna charakterystyka sytuacji gospodarczej </w:t>
      </w:r>
    </w:p>
    <w:p w:rsidR="005D78B1" w:rsidRPr="00420ADD" w:rsidRDefault="005D78B1" w:rsidP="005D78B1">
      <w:pPr>
        <w:jc w:val="both"/>
        <w:rPr>
          <w:rFonts w:ascii="Lato" w:hAnsi="Lato"/>
          <w:b/>
        </w:rPr>
      </w:pPr>
      <w:r w:rsidRPr="00420ADD">
        <w:rPr>
          <w:rFonts w:ascii="Lato" w:hAnsi="Lato"/>
          <w:b/>
        </w:rPr>
        <w:t>PKB</w:t>
      </w:r>
    </w:p>
    <w:p w:rsidR="005D78B1" w:rsidRPr="00420ADD" w:rsidRDefault="005D78B1" w:rsidP="005D78B1">
      <w:pPr>
        <w:jc w:val="both"/>
        <w:rPr>
          <w:rFonts w:ascii="Lato" w:hAnsi="Lato"/>
        </w:rPr>
      </w:pPr>
      <w:r w:rsidRPr="00420ADD">
        <w:rPr>
          <w:rFonts w:ascii="Lato" w:hAnsi="Lato"/>
        </w:rPr>
        <w:t xml:space="preserve">Produkt Krajowy Brutto (PKB) Bośni i Hercegowiny (BiH) jest kluczowym wskaźnikiem stanu gospodarki kraju. W 2023 roku PKB BiH wyniósł około 21,5 miliarda USD (nominalnie) i 51,5 miliarda USD według parytetu siły nabywczej (PPP) (źródło: World Bank). Wzrost gospodarczy w 2023 roku wyniósł 2,5%, a prognozy na 2024 rok wskazują na wzrost na poziomie 2,8% (źródło IMF). Struktura PKB BiH jest zróżnicowana – dominuje sektor usług, stanowiąc około 64,3% PKB, co obejmuje takie branże jak turystyka, bankowość i handel. Przemysł odpowiada za 28,9% PKB, z głównymi gałęziami obejmującymi produkcję metali, maszyn, tekstyliów oraz przemysł chemiczny. Rolnictwo stanowi 6,8% PKB, z głównymi produktami rolnymi takimi jak pszenica, kukurydza, owoce i warzywa. PKB per capita w BiH wynosi około 15,000 USD według parytetu siły nabywczej, co plasuje kraj w średniej kategorii dochodów (źródło: FAO). </w:t>
      </w:r>
    </w:p>
    <w:p w:rsidR="005D78B1" w:rsidRPr="00420ADD" w:rsidRDefault="005D78B1" w:rsidP="005D78B1">
      <w:pPr>
        <w:jc w:val="both"/>
        <w:rPr>
          <w:rFonts w:ascii="Lato" w:hAnsi="Lato"/>
          <w:b/>
        </w:rPr>
      </w:pPr>
      <w:r w:rsidRPr="00420ADD">
        <w:rPr>
          <w:rFonts w:ascii="Lato" w:hAnsi="Lato"/>
          <w:b/>
        </w:rPr>
        <w:t xml:space="preserve">Deficyt budżetowy i dług publiczny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Deficyt budżetowy i dług publiczny Bośni i Hercegowiny (BiH) są kluczowymi wskaźnikami stanu finansów publicznych kraju. W 2023 roku deficyt budżetowy BiH wyniósł około 2,2% PKB. Wzrost wydatków socjalnych i wynagrodzeń w sektorze publicznym przyczynił się do tego deficytu (źródło: IMF).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Dług publiczny BiH jest stosunkowo niski w porównaniu do wielu innych krajów europejskich. W 2023 roku wynosił około 34% PKB (źródło: IMF). Dług publiczny obejmuje zobowiązania rządu centralnego oraz jednostek samorządu terytorialnego. Niski poziom zadłużenia jest wynikiem ostrożnej polityki fiskalnej oraz ograniczonego dostępu do rynków kapitałowych (źródło: World Bank). </w:t>
      </w:r>
    </w:p>
    <w:p w:rsidR="005D78B1" w:rsidRPr="00420ADD" w:rsidRDefault="005D78B1" w:rsidP="005D78B1">
      <w:pPr>
        <w:pStyle w:val="NormalnyWeb"/>
        <w:shd w:val="clear" w:color="auto" w:fill="FFFFFF"/>
        <w:spacing w:before="0" w:beforeAutospacing="0" w:after="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Powyższe wskaźniki finansowe są monitorowane przez międzynarodowe instytucje finansowe, takie jak Międzynarodowy Fundusz Walutowy (IMF) i Bank Światowy (World </w:t>
      </w:r>
      <w:r w:rsidRPr="00420ADD">
        <w:rPr>
          <w:rFonts w:ascii="Lato" w:eastAsiaTheme="minorHAnsi" w:hAnsi="Lato" w:cstheme="minorBidi"/>
          <w:sz w:val="22"/>
          <w:szCs w:val="22"/>
          <w:lang w:eastAsia="en-US"/>
        </w:rPr>
        <w:lastRenderedPageBreak/>
        <w:t xml:space="preserve">Bank), które wspierają BiH w zarządzaniu finansami publicznymi i w realizacji reform gospodarczych. </w:t>
      </w:r>
    </w:p>
    <w:p w:rsidR="005D78B1" w:rsidRPr="00420ADD" w:rsidRDefault="005D78B1" w:rsidP="005D78B1">
      <w:pPr>
        <w:pStyle w:val="NormalnyWeb"/>
        <w:shd w:val="clear" w:color="auto" w:fill="FFFFFF"/>
        <w:spacing w:before="0" w:beforeAutospacing="0" w:after="0" w:afterAutospacing="0"/>
        <w:rPr>
          <w:rFonts w:ascii="Lato" w:eastAsiaTheme="minorHAnsi" w:hAnsi="Lato" w:cstheme="minorBidi"/>
          <w:sz w:val="22"/>
          <w:szCs w:val="22"/>
          <w:lang w:eastAsia="en-US"/>
        </w:rPr>
      </w:pPr>
    </w:p>
    <w:p w:rsidR="005D78B1" w:rsidRPr="00420ADD" w:rsidRDefault="005D78B1" w:rsidP="005D78B1">
      <w:pPr>
        <w:pStyle w:val="NormalnyWeb"/>
        <w:shd w:val="clear" w:color="auto" w:fill="FFFFFF"/>
        <w:spacing w:before="0" w:beforeAutospacing="0" w:after="0" w:afterAutospacing="0"/>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 xml:space="preserve">Rynek pracy i płace </w:t>
      </w:r>
    </w:p>
    <w:p w:rsidR="005D78B1" w:rsidRPr="00420ADD" w:rsidRDefault="005D78B1" w:rsidP="005D78B1">
      <w:pPr>
        <w:pStyle w:val="NormalnyWeb"/>
        <w:shd w:val="clear" w:color="auto" w:fill="FFFFFF"/>
        <w:spacing w:before="0" w:beforeAutospacing="0" w:after="0" w:afterAutospacing="0"/>
        <w:rPr>
          <w:rFonts w:ascii="Lato" w:eastAsiaTheme="minorHAnsi" w:hAnsi="Lato" w:cstheme="minorBidi"/>
          <w:b/>
          <w:sz w:val="22"/>
          <w:szCs w:val="22"/>
          <w:lang w:eastAsia="en-US"/>
        </w:rPr>
      </w:pP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Rynek pracy w Bośni i Hercegowinie (BiH) charakteryzuje się wysokim poziomem bezrobocia, które wynosi około 15,7% (źródło: IMF). Wysokie bezrobocie jest jednym z głównych wyzwań gospodarczych kraju, szczególnie wśród młodzieży i osób z niższym wykształceniem ( źródło: WB). Struktura zatrudnienia pokazuje, że większość pracowników jest zatrudniona w sektorze usług, który stanowi około 64,3% PKB (źródło: FAO). Przemysł zatrudnia około 28,9% pracowników. Sektor publiczny, ze względu na bardzo rozbudowaną administracje zatrudnia ok. 25% pracowników, natomiast rolnictwo  jest źródłem zatrudnienia 6,8% pracowników w BiH (FAO).</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Średnie wynagrodzenie w BiH wynosi około 1,000 BAM miesięcznie, co odpowiada około 550 USD (World Bank). Wzrost płac jest napędzany głównie przez sektor publiczny oraz rosnące zapotrzebowanie na wykwalifikowaną siłę roboczą w sektorze usług (źródło: IMF).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Stopy procentowe</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Stopy procentowe w Bośni i Hercegowinie (BiH) są stabilne i ściśle powiązane z polityką monetarną Europejskiego Banku Centralnego, ze względu na powiązanie marki konwertybilnej (BAM) z euro (IMF). Obecnie podstawowa stopa procentowa wynosi około 3,4%, co jest zgodne z poziomem stóp procentowych w strefie euro (źródło: Trading Economics).</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Inflacja</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Według Banku Światowego oczekiwana inflacja w Bośni i Hercegowinie w 2024 roku wyniesie 5,8%. Jest to spadek w porównaniu do 2023 roku, kiedy inflacja wynosiła około 7,9%. Prognozy na 2025 rok wskazują na dalszy spadek inflacji do 5,5%.</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1.5 Główne sektory gospodarki i ich udział w PKB</w:t>
      </w:r>
    </w:p>
    <w:p w:rsidR="005D78B1" w:rsidRPr="00420ADD" w:rsidRDefault="005D78B1" w:rsidP="005D78B1">
      <w:pPr>
        <w:pStyle w:val="NormalnyWeb"/>
        <w:shd w:val="clear" w:color="auto" w:fill="FFFFFF"/>
        <w:spacing w:before="0" w:beforeAutospacing="0" w:after="240" w:afterAutospacing="0"/>
        <w:jc w:val="both"/>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Główne sektory gospodarki Bośni i Hercegowiny (BiH) są zróżnicowane i obejmują usługi, przemysł oraz rolnictwo. Sektor usług dominuje, stanowiąc około 64,3% PKB (źródło: FAO). Obejmuje on takie branże jak turystyka, bankowość, handel oraz usługi finansowe. Przemysł odpowiada za 28,9% PKB, z głównymi gałęziami obejmującymi produkcję metali, maszyn, tekstyliów oraz przemysł chemiczny (źródło: FAO). Rolnictwo stanowi 6,8% PKB, z głównymi produktami rolnymi takimi jak pszenica, kukurydza, owoce i warzywa (źródło: FAO).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1.6 Polityka kursowa</w:t>
      </w:r>
    </w:p>
    <w:p w:rsidR="005D78B1" w:rsidRPr="00420ADD" w:rsidRDefault="005D78B1" w:rsidP="005D78B1">
      <w:pPr>
        <w:pStyle w:val="NormalnyWeb"/>
        <w:shd w:val="clear" w:color="auto" w:fill="FFFFFF"/>
        <w:spacing w:before="0" w:beforeAutospacing="0" w:after="240" w:afterAutospacing="0"/>
        <w:jc w:val="both"/>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Polityka kursowa w Bośni i Hercegowinie (BiH) jest ściśle powiązana z polityką monetarną Europejskiego Banku Centralnego (EBC), ponieważ marka konwertybilna (BAM) jest powiązana z euro w stałym kursie wymiany (IMF). BiH stosuje system izby walutowej, co oznacza, że kurs wymiany BAM do euro jest stały i wynosi 1,95583  BAM za 1 euro (źródło: World Bank).</w:t>
      </w:r>
    </w:p>
    <w:p w:rsidR="005D78B1" w:rsidRPr="00420ADD" w:rsidRDefault="005D78B1" w:rsidP="005D78B1">
      <w:pPr>
        <w:pStyle w:val="NormalnyWeb"/>
        <w:shd w:val="clear" w:color="auto" w:fill="FFFFFF"/>
        <w:spacing w:before="0" w:beforeAutospacing="0" w:after="240" w:afterAutospacing="0"/>
        <w:jc w:val="both"/>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System izby walutowej zapewnia stabilność kursu walutowego, co pomaga w utrzymaniu niskiej inflacji i stabilności makroekonomicznej. Bank Centralny BiH (CBBH) nie prowadzi niezależnej polityki monetarnej, ponieważ jego głównym zadaniem jest utrzymanie stałego kursu wymiany (IMF). W praktyce oznacza to, że CBBH musi utrzymywać odpowiednie rezerwy walutowe, aby zapewnić wymienialność BAM na euro (World Bank).</w:t>
      </w:r>
    </w:p>
    <w:p w:rsidR="005D78B1" w:rsidRPr="00420ADD" w:rsidRDefault="005D78B1" w:rsidP="005D78B1">
      <w:pPr>
        <w:pStyle w:val="NormalnyWeb"/>
        <w:shd w:val="clear" w:color="auto" w:fill="FFFFFF"/>
        <w:spacing w:before="0" w:beforeAutospacing="0" w:after="240" w:afterAutospacing="0"/>
        <w:jc w:val="both"/>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1.7 Surowce i technologie krytyczne</w:t>
      </w:r>
    </w:p>
    <w:p w:rsidR="005D78B1" w:rsidRPr="00420ADD" w:rsidRDefault="005D78B1" w:rsidP="005D78B1">
      <w:pPr>
        <w:pStyle w:val="NormalnyWeb"/>
        <w:shd w:val="clear" w:color="auto" w:fill="FFFFFF"/>
        <w:spacing w:after="240"/>
        <w:jc w:val="both"/>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lastRenderedPageBreak/>
        <w:t xml:space="preserve">Bośnia i Hercegowina (BiH) posiada zasoby surowców krytycznych, które są kluczowe dla rozwoju gospodarki i technologii. Surowce te znajdują szerokie zastosowanie w przemyśle nowoczesnych technologii oraz elementach infrastruktury umożliwiających transformację energetyczną (źródło: Komisja Europejska).Do najważniejszych surowców krytycznych w BiH należą metale ziem rzadkich, boksyt, magnez, oraz różne metale przemysłowe, takie jak cynk i ołów (źródło: World Bank). Metale ziem rzadkich są szczególnie istotne dla produkcji zaawansowanych technologii, takich jak magnesy stosowane w turbinach wiatrowych i pojazdach elektrycznych (źródło: Komisja Europejska). Boksyt jest kluczowym surowcem do produkcji aluminium, które jest szeroko stosowane w przemyśle motoryzacyjnym i lotniczym (źródło: World Bank).Technologie krytyczne w BiH obejmują rozwój odnawialnych źródeł energii, takich jak energia wiatrowa i słoneczna, oraz technologie związane z efektywnością energetyczną (IMF). Inwestycje w te technologie są wspierane przez międzynarodowe instytucje finansowe, które pomagają BiH w realizacji celów zrównoważonego rozwoju (źródło: World Bank).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 xml:space="preserve">1.8 Stan infrastruktury </w:t>
      </w:r>
    </w:p>
    <w:p w:rsidR="005D78B1" w:rsidRPr="00420ADD" w:rsidRDefault="005D78B1" w:rsidP="005D78B1">
      <w:pPr>
        <w:pStyle w:val="NormalnyWeb"/>
        <w:shd w:val="clear" w:color="auto" w:fill="FFFFFF"/>
        <w:spacing w:after="240"/>
        <w:jc w:val="both"/>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Infrastruktura w Bośni i Hercegowinie (BiH) jest wciąż w fazie rozwoju i modernizacji. BiH posiada rozbudowaną sieć dróg, jednak wiele z nich wymaga modernizacji. Asfaltowe drogi krajowe mają długość około 11,425 km, a nieasfaltowe około 10,421 km. Główne trasy łączące północ z południem oraz wschód z zachodem są kluczowe dla transportu towarów i osób. Korytarz 5C to kluczowy projekt infrastrukturalny dla Bośni i Hercegowiny, mający na celu połączenie Budapesztu z portem w Ploče na wybrzeżu Adriatyku. Autostrada w ramach Korytarza 5C ma długość około 325 kilometrów, z czego do tej pory wybudowano około 130 kilometrów. Projekt ten jest istotny nie tylko dla BiH, ale także dla całego regionu, ponieważ ma na celu poprawę połączeń transportowych, co przyczyni się do rozwoju gospodarczego i turystycznego. Budowa Koridoru 5C jest wspierana przez Unię Europejską, która przeznaczyła znaczne środki finansowe na ten cel. .Jednym z największych wyzwań w realizacji tego projektu są trudne warunki terenowe, w tym budowa tuneli przez góry Prenj i Kvanj. Zakończenie budowy całego koridoru planowane jest do 2030 roku. </w:t>
      </w:r>
    </w:p>
    <w:p w:rsidR="005D78B1" w:rsidRPr="00420ADD" w:rsidRDefault="005D78B1" w:rsidP="005D78B1">
      <w:pPr>
        <w:pStyle w:val="NormalnyWeb"/>
        <w:shd w:val="clear" w:color="auto" w:fill="FFFFFF"/>
        <w:spacing w:after="240"/>
        <w:jc w:val="both"/>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Sieć kolejowa w BiH ma długość 1042 km. Choć istnieją plany modernizacji, infrastruktura kolejowa wymaga znacznych inwestycji, aby sprostać współczesnym standardom. Kolej nie jest popularnym środkiem transportu osób i towarów.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BiH posiada zasoby naturalne, takie jak węgiel brunatny, rudy żelaza i cynku, które są wykorzystywane w sektorze energetycznym. Jednakże, modernizacja infrastruktury energetycznej jest konieczna, aby zwiększyć efektywność i niezawodność dostaw energii. W wielu regionach kraju infrastruktura wodna i sanitarna wymaga poprawy.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Rozwój infrastruktury cyfrowej, w tym szerokopasmowego dostępu do internetu, jest jednym z priorytetów. Inwestycje w tym sektorze są niezbędne dla wspierania innowacji i gospodarki cyfrowej.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b/>
          <w:sz w:val="22"/>
          <w:szCs w:val="22"/>
          <w:lang w:eastAsia="en-US"/>
        </w:rPr>
      </w:pPr>
      <w:r w:rsidRPr="00420ADD">
        <w:rPr>
          <w:rFonts w:ascii="Lato" w:eastAsiaTheme="minorHAnsi" w:hAnsi="Lato" w:cstheme="minorBidi"/>
          <w:b/>
          <w:sz w:val="22"/>
          <w:szCs w:val="22"/>
          <w:lang w:eastAsia="en-US"/>
        </w:rPr>
        <w:t>1.9. Kalendarz dni wolnych od pracy na rok 2025</w:t>
      </w:r>
    </w:p>
    <w:p w:rsidR="005D78B1" w:rsidRPr="00420ADD" w:rsidRDefault="005D78B1" w:rsidP="005D78B1">
      <w:pPr>
        <w:pStyle w:val="NormalnyWeb"/>
        <w:shd w:val="clear" w:color="auto" w:fill="FFFFFF"/>
        <w:spacing w:after="24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01 i 02 stycznia - Nowy Rok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01 marca  - Dzień Niepodległości (w entitecie Federacji BiH)</w:t>
      </w:r>
    </w:p>
    <w:p w:rsidR="005D78B1" w:rsidRPr="00420ADD" w:rsidRDefault="005D78B1" w:rsidP="005D78B1">
      <w:pPr>
        <w:pStyle w:val="NormalnyWeb"/>
        <w:shd w:val="clear" w:color="auto" w:fill="FFFFFF"/>
        <w:spacing w:after="24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30 marca  - Bajram – Koniec postu muzułmańskiego (święto ruchome)</w:t>
      </w:r>
    </w:p>
    <w:p w:rsidR="005D78B1" w:rsidRPr="00420ADD" w:rsidRDefault="005D78B1" w:rsidP="005D78B1">
      <w:pPr>
        <w:pStyle w:val="NormalnyWeb"/>
        <w:shd w:val="clear" w:color="auto" w:fill="FFFFFF"/>
        <w:spacing w:after="24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lastRenderedPageBreak/>
        <w:t xml:space="preserve">01 i 02 maja - Święto Pracy </w:t>
      </w:r>
    </w:p>
    <w:p w:rsidR="005D78B1" w:rsidRPr="00420ADD" w:rsidRDefault="005D78B1" w:rsidP="005D78B1">
      <w:pPr>
        <w:pStyle w:val="NormalnyWeb"/>
        <w:shd w:val="clear" w:color="auto" w:fill="FFFFFF"/>
        <w:spacing w:after="24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06 czerwca - 2025 Kurban Bajram -Święto Ofiarowania (święto ruchome)</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25 listopada  - Dzień Państwowości (w entitecie Federacji BiH)</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25 grudnia – Święta Bożego Narodzenia (w entitecie Federacji BiH)</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7 stycznia – Prawosławne Święta Bożego Narodzenia (w entitecie Republika Serbska) </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9 stycznia – Dzień Republiki Serbskiej (w entitecie Republika Serbska)</w:t>
      </w:r>
    </w:p>
    <w:p w:rsidR="005D78B1" w:rsidRPr="00420ADD" w:rsidRDefault="005D78B1" w:rsidP="005D78B1">
      <w:pPr>
        <w:pStyle w:val="NormalnyWeb"/>
        <w:shd w:val="clear" w:color="auto" w:fill="FFFFFF"/>
        <w:spacing w:before="0" w:beforeAutospacing="0" w:after="240" w:afterAutospacing="0"/>
        <w:rPr>
          <w:rFonts w:ascii="Lato" w:eastAsiaTheme="minorHAnsi" w:hAnsi="Lato" w:cstheme="minorBidi"/>
          <w:sz w:val="22"/>
          <w:szCs w:val="22"/>
          <w:lang w:eastAsia="en-US"/>
        </w:rPr>
      </w:pPr>
    </w:p>
    <w:p w:rsidR="005D78B1" w:rsidRPr="00420ADD" w:rsidRDefault="005D78B1" w:rsidP="005D78B1">
      <w:pPr>
        <w:pStyle w:val="Akapitzlist"/>
        <w:rPr>
          <w:rFonts w:ascii="Lato" w:hAnsi="Lato"/>
          <w:b/>
        </w:rPr>
      </w:pPr>
    </w:p>
    <w:p w:rsidR="00BE10B8" w:rsidRPr="00420ADD" w:rsidRDefault="00BE10B8" w:rsidP="00BE10B8">
      <w:pPr>
        <w:pStyle w:val="NormalnyWeb"/>
        <w:numPr>
          <w:ilvl w:val="0"/>
          <w:numId w:val="1"/>
        </w:numPr>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hAnsi="Lato"/>
          <w:b/>
          <w:bCs/>
          <w:sz w:val="22"/>
          <w:szCs w:val="22"/>
        </w:rPr>
        <w:t>Podstawowe dane makroekonomiczne</w:t>
      </w:r>
    </w:p>
    <w:tbl>
      <w:tblPr>
        <w:tblStyle w:val="Tabela-Siatka"/>
        <w:tblpPr w:leftFromText="141" w:rightFromText="141" w:vertAnchor="text" w:horzAnchor="margin" w:tblpY="914"/>
        <w:tblW w:w="9756" w:type="dxa"/>
        <w:tblLook w:val="04A0" w:firstRow="1" w:lastRow="0" w:firstColumn="1" w:lastColumn="0" w:noHBand="0" w:noVBand="1"/>
      </w:tblPr>
      <w:tblGrid>
        <w:gridCol w:w="4201"/>
        <w:gridCol w:w="2686"/>
        <w:gridCol w:w="1401"/>
        <w:gridCol w:w="1468"/>
      </w:tblGrid>
      <w:tr w:rsidR="00BE10B8" w:rsidRPr="00420ADD" w:rsidTr="00D6707B">
        <w:trPr>
          <w:trHeight w:val="269"/>
        </w:trPr>
        <w:tc>
          <w:tcPr>
            <w:tcW w:w="9756" w:type="dxa"/>
            <w:gridSpan w:val="4"/>
            <w:noWrap/>
            <w:hideMark/>
          </w:tcPr>
          <w:p w:rsidR="00BE10B8" w:rsidRPr="00420ADD" w:rsidRDefault="00BE10B8" w:rsidP="00BE10B8">
            <w:pPr>
              <w:rPr>
                <w:rFonts w:ascii="Lato" w:hAnsi="Lato"/>
                <w:b/>
                <w:bCs/>
              </w:rPr>
            </w:pPr>
            <w:r w:rsidRPr="00420ADD">
              <w:rPr>
                <w:rFonts w:ascii="Lato" w:hAnsi="Lato"/>
                <w:b/>
                <w:bCs/>
              </w:rPr>
              <w:t>Podstawowe dane makroekonomiczne</w:t>
            </w:r>
          </w:p>
        </w:tc>
      </w:tr>
      <w:tr w:rsidR="00BE10B8" w:rsidRPr="00420ADD" w:rsidTr="00D6707B">
        <w:trPr>
          <w:trHeight w:val="279"/>
        </w:trPr>
        <w:tc>
          <w:tcPr>
            <w:tcW w:w="4201" w:type="dxa"/>
            <w:noWrap/>
            <w:hideMark/>
          </w:tcPr>
          <w:p w:rsidR="00BE10B8" w:rsidRPr="00420ADD" w:rsidRDefault="00BE10B8" w:rsidP="00BE10B8">
            <w:pPr>
              <w:rPr>
                <w:rFonts w:ascii="Lato" w:hAnsi="Lato"/>
              </w:rPr>
            </w:pPr>
            <w:r w:rsidRPr="00420ADD">
              <w:rPr>
                <w:rFonts w:ascii="Lato" w:hAnsi="Lato"/>
              </w:rPr>
              <w:t> </w:t>
            </w:r>
          </w:p>
        </w:tc>
        <w:tc>
          <w:tcPr>
            <w:tcW w:w="2686" w:type="dxa"/>
            <w:noWrap/>
            <w:hideMark/>
          </w:tcPr>
          <w:p w:rsidR="00BE10B8" w:rsidRPr="00420ADD" w:rsidRDefault="00BE10B8" w:rsidP="00BE10B8">
            <w:pPr>
              <w:rPr>
                <w:rFonts w:ascii="Lato" w:hAnsi="Lato"/>
                <w:bCs/>
              </w:rPr>
            </w:pPr>
            <w:r w:rsidRPr="00420ADD">
              <w:rPr>
                <w:rFonts w:ascii="Lato" w:hAnsi="Lato"/>
                <w:bCs/>
              </w:rPr>
              <w:t>2023</w:t>
            </w:r>
          </w:p>
        </w:tc>
        <w:tc>
          <w:tcPr>
            <w:tcW w:w="1401" w:type="dxa"/>
            <w:noWrap/>
            <w:hideMark/>
          </w:tcPr>
          <w:p w:rsidR="00BE10B8" w:rsidRPr="00420ADD" w:rsidRDefault="00BE10B8" w:rsidP="00BE10B8">
            <w:pPr>
              <w:rPr>
                <w:rFonts w:ascii="Lato" w:hAnsi="Lato"/>
                <w:bCs/>
              </w:rPr>
            </w:pPr>
            <w:r w:rsidRPr="00420ADD">
              <w:rPr>
                <w:rFonts w:ascii="Lato" w:hAnsi="Lato"/>
                <w:bCs/>
              </w:rPr>
              <w:t>2024 (prognoza)</w:t>
            </w:r>
          </w:p>
        </w:tc>
        <w:tc>
          <w:tcPr>
            <w:tcW w:w="1468" w:type="dxa"/>
            <w:noWrap/>
            <w:hideMark/>
          </w:tcPr>
          <w:p w:rsidR="00BE10B8" w:rsidRPr="00420ADD" w:rsidRDefault="00BE10B8" w:rsidP="00BE10B8">
            <w:pPr>
              <w:rPr>
                <w:rFonts w:ascii="Lato" w:hAnsi="Lato"/>
                <w:bCs/>
              </w:rPr>
            </w:pPr>
            <w:r w:rsidRPr="00420ADD">
              <w:rPr>
                <w:rFonts w:ascii="Lato" w:hAnsi="Lato"/>
                <w:bCs/>
              </w:rPr>
              <w:t>2025 (prognoza)</w:t>
            </w:r>
          </w:p>
        </w:tc>
      </w:tr>
      <w:tr w:rsidR="00BE10B8" w:rsidRPr="00420ADD" w:rsidTr="00D6707B">
        <w:trPr>
          <w:trHeight w:val="269"/>
        </w:trPr>
        <w:tc>
          <w:tcPr>
            <w:tcW w:w="4201" w:type="dxa"/>
            <w:noWrap/>
            <w:hideMark/>
          </w:tcPr>
          <w:p w:rsidR="00BE10B8" w:rsidRPr="00420ADD" w:rsidRDefault="00F927B2" w:rsidP="00BE10B8">
            <w:pPr>
              <w:rPr>
                <w:rFonts w:ascii="Lato" w:hAnsi="Lato"/>
              </w:rPr>
            </w:pPr>
            <w:hyperlink r:id="rId7" w:history="1">
              <w:r w:rsidR="00BE10B8" w:rsidRPr="00420ADD">
                <w:rPr>
                  <w:rStyle w:val="Hipercze"/>
                  <w:rFonts w:ascii="Lato" w:hAnsi="Lato"/>
                </w:rPr>
                <w:t>PKB nominalne</w:t>
              </w:r>
            </w:hyperlink>
            <w:r w:rsidR="00BE10B8" w:rsidRPr="00420ADD">
              <w:rPr>
                <w:rFonts w:ascii="Lato" w:hAnsi="Lato"/>
              </w:rPr>
              <w:t xml:space="preserve"> (USD ceny bieżące)</w:t>
            </w:r>
          </w:p>
        </w:tc>
        <w:tc>
          <w:tcPr>
            <w:tcW w:w="2686"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23,6 miliarda USD</w:t>
            </w:r>
          </w:p>
        </w:tc>
        <w:tc>
          <w:tcPr>
            <w:tcW w:w="1401"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25,1 miliarda USD</w:t>
            </w:r>
          </w:p>
        </w:tc>
        <w:tc>
          <w:tcPr>
            <w:tcW w:w="1468"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26,7 miliarda USD</w:t>
            </w:r>
          </w:p>
        </w:tc>
      </w:tr>
      <w:tr w:rsidR="00BE10B8" w:rsidRPr="00420ADD" w:rsidTr="00D6707B">
        <w:trPr>
          <w:trHeight w:val="269"/>
        </w:trPr>
        <w:tc>
          <w:tcPr>
            <w:tcW w:w="4201" w:type="dxa"/>
            <w:noWrap/>
            <w:hideMark/>
          </w:tcPr>
          <w:p w:rsidR="00BE10B8" w:rsidRPr="00420ADD" w:rsidRDefault="00F927B2" w:rsidP="00BE10B8">
            <w:pPr>
              <w:rPr>
                <w:rFonts w:ascii="Lato" w:hAnsi="Lato"/>
              </w:rPr>
            </w:pPr>
            <w:hyperlink r:id="rId8" w:history="1">
              <w:r w:rsidR="00BE10B8" w:rsidRPr="00420ADD">
                <w:rPr>
                  <w:rStyle w:val="Hipercze"/>
                  <w:rFonts w:ascii="Lato" w:hAnsi="Lato"/>
                </w:rPr>
                <w:t>PKB</w:t>
              </w:r>
            </w:hyperlink>
            <w:r w:rsidR="00BE10B8" w:rsidRPr="00420ADD">
              <w:rPr>
                <w:rFonts w:ascii="Lato" w:hAnsi="Lato"/>
              </w:rPr>
              <w:t xml:space="preserve"> (PPP)</w:t>
            </w:r>
          </w:p>
        </w:tc>
        <w:tc>
          <w:tcPr>
            <w:tcW w:w="2686" w:type="dxa"/>
            <w:noWrap/>
            <w:hideMark/>
          </w:tcPr>
          <w:p w:rsidR="00BE10B8" w:rsidRPr="00420ADD" w:rsidRDefault="00BE10B8" w:rsidP="00BE10B8">
            <w:pPr>
              <w:rPr>
                <w:rFonts w:ascii="Lato" w:hAnsi="Lato"/>
              </w:rPr>
            </w:pPr>
            <w:r w:rsidRPr="00420ADD">
              <w:rPr>
                <w:rFonts w:ascii="Lato" w:hAnsi="Lato"/>
              </w:rPr>
              <w:t> </w:t>
            </w:r>
            <w:r w:rsidRPr="00420ADD">
              <w:rPr>
                <w:rStyle w:val="Pogrubienie"/>
                <w:rFonts w:ascii="Lato" w:hAnsi="Lato" w:cs="Segoe UI"/>
                <w:b w:val="0"/>
                <w:color w:val="242424"/>
                <w:shd w:val="clear" w:color="auto" w:fill="FFFFFF"/>
              </w:rPr>
              <w:t>73,35 miliarda USD</w:t>
            </w:r>
          </w:p>
        </w:tc>
        <w:tc>
          <w:tcPr>
            <w:tcW w:w="1401" w:type="dxa"/>
            <w:noWrap/>
            <w:hideMark/>
          </w:tcPr>
          <w:p w:rsidR="00BE10B8" w:rsidRPr="00420ADD" w:rsidRDefault="00BE10B8" w:rsidP="00BE10B8">
            <w:pPr>
              <w:rPr>
                <w:rFonts w:ascii="Lato" w:hAnsi="Lato"/>
              </w:rPr>
            </w:pPr>
            <w:r w:rsidRPr="00420ADD">
              <w:rPr>
                <w:rFonts w:ascii="Lato" w:hAnsi="Lato"/>
              </w:rPr>
              <w:t> </w:t>
            </w:r>
            <w:r w:rsidRPr="00420ADD">
              <w:rPr>
                <w:rStyle w:val="Pogrubienie"/>
                <w:rFonts w:ascii="Lato" w:hAnsi="Lato" w:cs="Segoe UI"/>
                <w:b w:val="0"/>
                <w:color w:val="242424"/>
                <w:shd w:val="clear" w:color="auto" w:fill="FFFFFF"/>
              </w:rPr>
              <w:t>76,2 miliarda USD</w:t>
            </w:r>
          </w:p>
        </w:tc>
        <w:tc>
          <w:tcPr>
            <w:tcW w:w="1468" w:type="dxa"/>
            <w:noWrap/>
            <w:hideMark/>
          </w:tcPr>
          <w:p w:rsidR="00BE10B8" w:rsidRPr="00420ADD" w:rsidRDefault="00BE10B8" w:rsidP="00BE10B8">
            <w:pPr>
              <w:rPr>
                <w:rFonts w:ascii="Lato" w:hAnsi="Lato"/>
              </w:rPr>
            </w:pPr>
            <w:r w:rsidRPr="00420ADD">
              <w:rPr>
                <w:rFonts w:ascii="Lato" w:hAnsi="Lato"/>
              </w:rPr>
              <w:t> </w:t>
            </w:r>
            <w:r w:rsidRPr="00420ADD">
              <w:rPr>
                <w:rStyle w:val="Pogrubienie"/>
                <w:rFonts w:ascii="Lato" w:hAnsi="Lato" w:cs="Segoe UI"/>
                <w:b w:val="0"/>
                <w:color w:val="242424"/>
                <w:shd w:val="clear" w:color="auto" w:fill="FFFFFF"/>
              </w:rPr>
              <w:t>79,1 miliarda USD</w:t>
            </w:r>
          </w:p>
        </w:tc>
      </w:tr>
      <w:tr w:rsidR="00BE10B8" w:rsidRPr="00420ADD" w:rsidTr="00D6707B">
        <w:trPr>
          <w:trHeight w:val="269"/>
        </w:trPr>
        <w:tc>
          <w:tcPr>
            <w:tcW w:w="4201" w:type="dxa"/>
            <w:noWrap/>
            <w:hideMark/>
          </w:tcPr>
          <w:p w:rsidR="00BE10B8" w:rsidRPr="00420ADD" w:rsidRDefault="00F927B2" w:rsidP="00BE10B8">
            <w:pPr>
              <w:rPr>
                <w:rFonts w:ascii="Lato" w:hAnsi="Lato"/>
              </w:rPr>
            </w:pPr>
            <w:hyperlink r:id="rId9" w:history="1">
              <w:r w:rsidR="00BE10B8" w:rsidRPr="00420ADD">
                <w:rPr>
                  <w:rStyle w:val="Hipercze"/>
                  <w:rFonts w:ascii="Lato" w:hAnsi="Lato"/>
                </w:rPr>
                <w:t>Stopa wzrostu PKB</w:t>
              </w:r>
            </w:hyperlink>
            <w:r w:rsidR="00BE10B8" w:rsidRPr="00420ADD">
              <w:rPr>
                <w:rFonts w:ascii="Lato" w:hAnsi="Lato"/>
              </w:rPr>
              <w:t xml:space="preserve"> (realna)</w:t>
            </w:r>
          </w:p>
        </w:tc>
        <w:tc>
          <w:tcPr>
            <w:tcW w:w="2686" w:type="dxa"/>
            <w:noWrap/>
            <w:hideMark/>
          </w:tcPr>
          <w:p w:rsidR="00BE10B8" w:rsidRPr="00420ADD" w:rsidRDefault="00BE10B8" w:rsidP="00BE10B8">
            <w:pPr>
              <w:rPr>
                <w:rFonts w:ascii="Lato" w:hAnsi="Lato"/>
              </w:rPr>
            </w:pPr>
            <w:r w:rsidRPr="00420ADD">
              <w:rPr>
                <w:rFonts w:ascii="Lato" w:hAnsi="Lato"/>
              </w:rPr>
              <w:t> </w:t>
            </w:r>
            <w:r w:rsidRPr="00420ADD">
              <w:rPr>
                <w:rStyle w:val="Pogrubienie"/>
                <w:rFonts w:ascii="Lato" w:hAnsi="Lato" w:cs="Segoe UI"/>
                <w:b w:val="0"/>
                <w:color w:val="242424"/>
                <w:shd w:val="clear" w:color="auto" w:fill="FFFFFF"/>
              </w:rPr>
              <w:t>1,6%</w:t>
            </w:r>
          </w:p>
        </w:tc>
        <w:tc>
          <w:tcPr>
            <w:tcW w:w="1401" w:type="dxa"/>
            <w:noWrap/>
            <w:hideMark/>
          </w:tcPr>
          <w:p w:rsidR="00BE10B8" w:rsidRPr="00420ADD" w:rsidRDefault="00BE10B8" w:rsidP="00BE10B8">
            <w:pPr>
              <w:rPr>
                <w:rFonts w:ascii="Lato" w:hAnsi="Lato"/>
              </w:rPr>
            </w:pPr>
            <w:r w:rsidRPr="00420ADD">
              <w:rPr>
                <w:rFonts w:ascii="Lato" w:hAnsi="Lato"/>
              </w:rPr>
              <w:t> </w:t>
            </w:r>
            <w:r w:rsidRPr="00420ADD">
              <w:rPr>
                <w:rStyle w:val="Pogrubienie"/>
                <w:rFonts w:ascii="Lato" w:hAnsi="Lato" w:cs="Segoe UI"/>
                <w:b w:val="0"/>
                <w:color w:val="242424"/>
                <w:shd w:val="clear" w:color="auto" w:fill="FFFFFF"/>
              </w:rPr>
              <w:t>2,5%</w:t>
            </w:r>
          </w:p>
        </w:tc>
        <w:tc>
          <w:tcPr>
            <w:tcW w:w="1468" w:type="dxa"/>
            <w:noWrap/>
            <w:hideMark/>
          </w:tcPr>
          <w:p w:rsidR="00BE10B8" w:rsidRPr="00420ADD" w:rsidRDefault="00BE10B8" w:rsidP="00BE10B8">
            <w:pPr>
              <w:rPr>
                <w:rFonts w:ascii="Lato" w:hAnsi="Lato"/>
              </w:rPr>
            </w:pPr>
            <w:r w:rsidRPr="00420ADD">
              <w:rPr>
                <w:rFonts w:ascii="Lato" w:hAnsi="Lato"/>
              </w:rPr>
              <w:t> 3,0%</w:t>
            </w:r>
          </w:p>
        </w:tc>
      </w:tr>
      <w:tr w:rsidR="00BE10B8" w:rsidRPr="00420ADD" w:rsidTr="00D6707B">
        <w:trPr>
          <w:trHeight w:val="269"/>
        </w:trPr>
        <w:tc>
          <w:tcPr>
            <w:tcW w:w="4201" w:type="dxa"/>
            <w:noWrap/>
            <w:hideMark/>
          </w:tcPr>
          <w:p w:rsidR="00BE10B8" w:rsidRPr="00420ADD" w:rsidRDefault="00F927B2" w:rsidP="00BE10B8">
            <w:pPr>
              <w:rPr>
                <w:rFonts w:ascii="Lato" w:hAnsi="Lato"/>
              </w:rPr>
            </w:pPr>
            <w:hyperlink r:id="rId10" w:history="1">
              <w:r w:rsidR="00BE10B8" w:rsidRPr="00420ADD">
                <w:rPr>
                  <w:rStyle w:val="Hipercze"/>
                  <w:rFonts w:ascii="Lato" w:hAnsi="Lato"/>
                </w:rPr>
                <w:t>PKB per capita</w:t>
              </w:r>
            </w:hyperlink>
            <w:r w:rsidR="00BE10B8" w:rsidRPr="00420ADD">
              <w:rPr>
                <w:rFonts w:ascii="Lato" w:hAnsi="Lato"/>
              </w:rPr>
              <w:t xml:space="preserve"> (nominalne)</w:t>
            </w:r>
          </w:p>
        </w:tc>
        <w:tc>
          <w:tcPr>
            <w:tcW w:w="2686" w:type="dxa"/>
            <w:noWrap/>
            <w:hideMark/>
          </w:tcPr>
          <w:p w:rsidR="00BE10B8" w:rsidRPr="00420ADD" w:rsidRDefault="00BE10B8" w:rsidP="00BE10B8">
            <w:pPr>
              <w:rPr>
                <w:rFonts w:ascii="Lato" w:hAnsi="Lato"/>
              </w:rPr>
            </w:pPr>
            <w:r w:rsidRPr="00420ADD">
              <w:rPr>
                <w:rFonts w:ascii="Lato" w:hAnsi="Lato"/>
              </w:rPr>
              <w:t> </w:t>
            </w:r>
            <w:r w:rsidRPr="00420ADD">
              <w:rPr>
                <w:rStyle w:val="Pogrubienie"/>
                <w:rFonts w:ascii="Lato" w:hAnsi="Lato" w:cs="Segoe UI"/>
                <w:b w:val="0"/>
                <w:color w:val="242424"/>
                <w:shd w:val="clear" w:color="auto" w:fill="FFFFFF"/>
              </w:rPr>
              <w:t>7 970 USD</w:t>
            </w:r>
          </w:p>
        </w:tc>
        <w:tc>
          <w:tcPr>
            <w:tcW w:w="1401"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 </w:t>
            </w:r>
            <w:r w:rsidRPr="00420ADD">
              <w:rPr>
                <w:rStyle w:val="Pogrubienie"/>
                <w:rFonts w:ascii="Lato" w:hAnsi="Lato" w:cs="Segoe UI"/>
                <w:b w:val="0"/>
                <w:color w:val="242424"/>
                <w:shd w:val="clear" w:color="auto" w:fill="FFFFFF"/>
              </w:rPr>
              <w:t>8 416 USD</w:t>
            </w:r>
          </w:p>
        </w:tc>
        <w:tc>
          <w:tcPr>
            <w:tcW w:w="1468" w:type="dxa"/>
            <w:noWrap/>
            <w:hideMark/>
          </w:tcPr>
          <w:p w:rsidR="00BE10B8" w:rsidRPr="00420ADD" w:rsidRDefault="00BE10B8" w:rsidP="00BE10B8">
            <w:pPr>
              <w:rPr>
                <w:rFonts w:ascii="Lato" w:hAnsi="Lato"/>
              </w:rPr>
            </w:pPr>
            <w:r w:rsidRPr="00420ADD">
              <w:rPr>
                <w:rFonts w:ascii="Lato" w:hAnsi="Lato"/>
              </w:rPr>
              <w:t> </w:t>
            </w:r>
            <w:r w:rsidRPr="00420ADD">
              <w:rPr>
                <w:rStyle w:val="Pogrubienie"/>
                <w:rFonts w:ascii="Lato" w:hAnsi="Lato" w:cs="Segoe UI"/>
                <w:b w:val="0"/>
                <w:color w:val="242424"/>
                <w:shd w:val="clear" w:color="auto" w:fill="FFFFFF"/>
              </w:rPr>
              <w:t>8 870 USD</w:t>
            </w:r>
          </w:p>
        </w:tc>
      </w:tr>
      <w:tr w:rsidR="00BE10B8" w:rsidRPr="00420ADD" w:rsidTr="00D6707B">
        <w:trPr>
          <w:trHeight w:val="269"/>
        </w:trPr>
        <w:tc>
          <w:tcPr>
            <w:tcW w:w="4201" w:type="dxa"/>
            <w:noWrap/>
            <w:hideMark/>
          </w:tcPr>
          <w:p w:rsidR="00BE10B8" w:rsidRPr="00420ADD" w:rsidRDefault="00F927B2" w:rsidP="00BE10B8">
            <w:pPr>
              <w:rPr>
                <w:rFonts w:ascii="Lato" w:hAnsi="Lato"/>
              </w:rPr>
            </w:pPr>
            <w:hyperlink r:id="rId11" w:history="1">
              <w:r w:rsidR="00BE10B8" w:rsidRPr="00420ADD">
                <w:rPr>
                  <w:rStyle w:val="Hipercze"/>
                  <w:rFonts w:ascii="Lato" w:hAnsi="Lato"/>
                </w:rPr>
                <w:t>PKB per capita</w:t>
              </w:r>
            </w:hyperlink>
            <w:r w:rsidR="00BE10B8" w:rsidRPr="00420ADD">
              <w:rPr>
                <w:rFonts w:ascii="Lato" w:hAnsi="Lato"/>
              </w:rPr>
              <w:t xml:space="preserve"> (PPP)</w:t>
            </w:r>
          </w:p>
        </w:tc>
        <w:tc>
          <w:tcPr>
            <w:tcW w:w="2686"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22,846 USD</w:t>
            </w:r>
          </w:p>
        </w:tc>
        <w:tc>
          <w:tcPr>
            <w:tcW w:w="1401" w:type="dxa"/>
            <w:noWrap/>
            <w:hideMark/>
          </w:tcPr>
          <w:p w:rsidR="00BE10B8" w:rsidRPr="00420ADD" w:rsidRDefault="00BE10B8" w:rsidP="00BE10B8">
            <w:pPr>
              <w:rPr>
                <w:rFonts w:ascii="Lato" w:hAnsi="Lato"/>
              </w:rPr>
            </w:pPr>
            <w:r w:rsidRPr="00420ADD">
              <w:rPr>
                <w:rFonts w:ascii="Lato" w:hAnsi="Lato"/>
              </w:rPr>
              <w:t> 23,577.07 USD</w:t>
            </w:r>
          </w:p>
        </w:tc>
        <w:tc>
          <w:tcPr>
            <w:tcW w:w="1468" w:type="dxa"/>
            <w:noWrap/>
            <w:hideMark/>
          </w:tcPr>
          <w:p w:rsidR="00BE10B8" w:rsidRPr="00420ADD" w:rsidRDefault="00BE10B8" w:rsidP="00BE10B8">
            <w:pPr>
              <w:rPr>
                <w:rFonts w:ascii="Lato" w:hAnsi="Lato"/>
              </w:rPr>
            </w:pPr>
            <w:r w:rsidRPr="00420ADD">
              <w:rPr>
                <w:rFonts w:ascii="Lato" w:hAnsi="Lato"/>
              </w:rPr>
              <w:t> Brak danych</w:t>
            </w:r>
          </w:p>
        </w:tc>
      </w:tr>
      <w:tr w:rsidR="00BE10B8" w:rsidRPr="00420ADD" w:rsidTr="00D6707B">
        <w:trPr>
          <w:trHeight w:val="269"/>
        </w:trPr>
        <w:tc>
          <w:tcPr>
            <w:tcW w:w="4201" w:type="dxa"/>
            <w:noWrap/>
            <w:hideMark/>
          </w:tcPr>
          <w:p w:rsidR="00BE10B8" w:rsidRPr="00420ADD" w:rsidRDefault="00F927B2" w:rsidP="00BE10B8">
            <w:pPr>
              <w:rPr>
                <w:rFonts w:ascii="Lato" w:hAnsi="Lato"/>
              </w:rPr>
            </w:pPr>
            <w:hyperlink r:id="rId12" w:history="1">
              <w:r w:rsidR="00BE10B8" w:rsidRPr="00420ADD">
                <w:rPr>
                  <w:rStyle w:val="Hipercze"/>
                  <w:rFonts w:ascii="Lato" w:hAnsi="Lato"/>
                </w:rPr>
                <w:t>Stopa inflacji</w:t>
              </w:r>
            </w:hyperlink>
            <w:r w:rsidR="00BE10B8" w:rsidRPr="00420ADD">
              <w:rPr>
                <w:rFonts w:ascii="Lato" w:hAnsi="Lato"/>
              </w:rPr>
              <w:t xml:space="preserve"> (CPI)</w:t>
            </w:r>
          </w:p>
        </w:tc>
        <w:tc>
          <w:tcPr>
            <w:tcW w:w="2686"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 7.9%</w:t>
            </w:r>
          </w:p>
        </w:tc>
        <w:tc>
          <w:tcPr>
            <w:tcW w:w="1401"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5.8%</w:t>
            </w:r>
          </w:p>
        </w:tc>
        <w:tc>
          <w:tcPr>
            <w:tcW w:w="1468"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5.5%</w:t>
            </w:r>
          </w:p>
        </w:tc>
      </w:tr>
      <w:tr w:rsidR="00BE10B8" w:rsidRPr="00420ADD" w:rsidTr="00D6707B">
        <w:trPr>
          <w:trHeight w:val="269"/>
        </w:trPr>
        <w:tc>
          <w:tcPr>
            <w:tcW w:w="4201" w:type="dxa"/>
            <w:noWrap/>
            <w:hideMark/>
          </w:tcPr>
          <w:p w:rsidR="00BE10B8" w:rsidRPr="00420ADD" w:rsidRDefault="00F927B2" w:rsidP="00BE10B8">
            <w:pPr>
              <w:rPr>
                <w:rFonts w:ascii="Lato" w:hAnsi="Lato"/>
              </w:rPr>
            </w:pPr>
            <w:hyperlink r:id="rId13" w:history="1">
              <w:r w:rsidR="00BE10B8" w:rsidRPr="00420ADD">
                <w:rPr>
                  <w:rStyle w:val="Hipercze"/>
                  <w:rFonts w:ascii="Lato" w:hAnsi="Lato"/>
                </w:rPr>
                <w:t>Stopa bezrobocia</w:t>
              </w:r>
            </w:hyperlink>
          </w:p>
        </w:tc>
        <w:tc>
          <w:tcPr>
            <w:tcW w:w="2686" w:type="dxa"/>
            <w:noWrap/>
            <w:hideMark/>
          </w:tcPr>
          <w:p w:rsidR="00BE10B8" w:rsidRPr="00420ADD" w:rsidRDefault="00BE10B8" w:rsidP="00BE10B8">
            <w:pPr>
              <w:rPr>
                <w:rFonts w:ascii="Lato" w:hAnsi="Lato"/>
              </w:rPr>
            </w:pPr>
            <w:r w:rsidRPr="00420ADD">
              <w:rPr>
                <w:rFonts w:ascii="Lato" w:hAnsi="Lato"/>
              </w:rPr>
              <w:t> </w:t>
            </w:r>
            <w:r w:rsidRPr="00420ADD">
              <w:rPr>
                <w:rFonts w:ascii="Lato" w:hAnsi="Lato" w:cs="Segoe UI"/>
                <w:color w:val="242424"/>
                <w:shd w:val="clear" w:color="auto" w:fill="FFFFFF"/>
              </w:rPr>
              <w:t>17.5%</w:t>
            </w:r>
          </w:p>
        </w:tc>
        <w:tc>
          <w:tcPr>
            <w:tcW w:w="1401" w:type="dxa"/>
            <w:noWrap/>
            <w:hideMark/>
          </w:tcPr>
          <w:p w:rsidR="00BE10B8" w:rsidRPr="00420ADD" w:rsidRDefault="00BE10B8" w:rsidP="00BE10B8">
            <w:pPr>
              <w:rPr>
                <w:rFonts w:ascii="Lato" w:hAnsi="Lato"/>
                <w:lang w:val="bs-Latn-BA"/>
              </w:rPr>
            </w:pPr>
            <w:r w:rsidRPr="00420ADD">
              <w:rPr>
                <w:rFonts w:ascii="Lato" w:hAnsi="Lato"/>
              </w:rPr>
              <w:t> 16,8</w:t>
            </w:r>
            <w:r w:rsidRPr="00420ADD">
              <w:rPr>
                <w:rFonts w:ascii="Lato" w:hAnsi="Lato"/>
                <w:lang w:val="bs-Latn-BA"/>
              </w:rPr>
              <w:t>%</w:t>
            </w:r>
          </w:p>
        </w:tc>
        <w:tc>
          <w:tcPr>
            <w:tcW w:w="1468" w:type="dxa"/>
            <w:noWrap/>
            <w:hideMark/>
          </w:tcPr>
          <w:p w:rsidR="00BE10B8" w:rsidRPr="00420ADD" w:rsidRDefault="00BE10B8" w:rsidP="00BE10B8">
            <w:pPr>
              <w:rPr>
                <w:rFonts w:ascii="Lato" w:hAnsi="Lato"/>
              </w:rPr>
            </w:pPr>
            <w:r w:rsidRPr="00420ADD">
              <w:rPr>
                <w:rFonts w:ascii="Lato" w:hAnsi="Lato"/>
              </w:rPr>
              <w:t> 16,00%</w:t>
            </w:r>
          </w:p>
        </w:tc>
      </w:tr>
      <w:tr w:rsidR="00BE10B8" w:rsidRPr="00420ADD" w:rsidTr="00D6707B">
        <w:trPr>
          <w:trHeight w:val="269"/>
        </w:trPr>
        <w:tc>
          <w:tcPr>
            <w:tcW w:w="4201" w:type="dxa"/>
            <w:noWrap/>
            <w:hideMark/>
          </w:tcPr>
          <w:p w:rsidR="00BE10B8" w:rsidRPr="00420ADD" w:rsidRDefault="00BE10B8" w:rsidP="00BE10B8">
            <w:pPr>
              <w:rPr>
                <w:rFonts w:ascii="Lato" w:hAnsi="Lato"/>
                <w:lang w:val="en-US"/>
              </w:rPr>
            </w:pPr>
            <w:r w:rsidRPr="00420ADD">
              <w:rPr>
                <w:rFonts w:ascii="Lato" w:hAnsi="Lato"/>
                <w:lang w:val="en-US"/>
              </w:rPr>
              <w:t>Rating kredytowy Fitch / Moody's / S&amp;P</w:t>
            </w:r>
          </w:p>
        </w:tc>
        <w:tc>
          <w:tcPr>
            <w:tcW w:w="2686" w:type="dxa"/>
            <w:noWrap/>
            <w:hideMark/>
          </w:tcPr>
          <w:p w:rsidR="00BE10B8" w:rsidRPr="00420ADD" w:rsidRDefault="00BE10B8" w:rsidP="00BE10B8">
            <w:pPr>
              <w:rPr>
                <w:rFonts w:ascii="Lato" w:hAnsi="Lato"/>
              </w:rPr>
            </w:pPr>
            <w:r w:rsidRPr="00420ADD">
              <w:rPr>
                <w:rFonts w:ascii="Lato" w:hAnsi="Lato"/>
              </w:rPr>
              <w:t>Fitch: Rating kredytowy dla Bośni i Hercegowiny wynosi B+ z perspektywą stabilną1.</w:t>
            </w:r>
          </w:p>
          <w:p w:rsidR="00BE10B8" w:rsidRPr="00420ADD" w:rsidRDefault="00BE10B8" w:rsidP="00BE10B8">
            <w:pPr>
              <w:rPr>
                <w:rFonts w:ascii="Lato" w:hAnsi="Lato"/>
              </w:rPr>
            </w:pPr>
            <w:r w:rsidRPr="00420ADD">
              <w:rPr>
                <w:rFonts w:ascii="Lato" w:hAnsi="Lato"/>
              </w:rPr>
              <w:t>Moody's: Rating kredytowy to B3 z perspektywą stabilną2.</w:t>
            </w:r>
          </w:p>
          <w:p w:rsidR="00BE10B8" w:rsidRPr="00420ADD" w:rsidRDefault="00BE10B8" w:rsidP="00BE10B8">
            <w:pPr>
              <w:rPr>
                <w:rFonts w:ascii="Lato" w:hAnsi="Lato"/>
              </w:rPr>
            </w:pPr>
            <w:r w:rsidRPr="00420ADD">
              <w:rPr>
                <w:rFonts w:ascii="Lato" w:hAnsi="Lato"/>
              </w:rPr>
              <w:t>Standard &amp; Poor's (S&amp;P): Rating kredytowy wynosi B+ z perspektywą stabilną</w:t>
            </w:r>
          </w:p>
        </w:tc>
        <w:tc>
          <w:tcPr>
            <w:tcW w:w="1401" w:type="dxa"/>
            <w:noWrap/>
            <w:hideMark/>
          </w:tcPr>
          <w:p w:rsidR="00BE10B8" w:rsidRPr="00420ADD" w:rsidRDefault="00BE10B8" w:rsidP="00BE10B8">
            <w:pPr>
              <w:rPr>
                <w:rFonts w:ascii="Lato" w:hAnsi="Lato"/>
              </w:rPr>
            </w:pPr>
            <w:r w:rsidRPr="00420ADD">
              <w:rPr>
                <w:rFonts w:ascii="Lato" w:hAnsi="Lato"/>
              </w:rPr>
              <w:t> </w:t>
            </w:r>
          </w:p>
        </w:tc>
        <w:tc>
          <w:tcPr>
            <w:tcW w:w="1468" w:type="dxa"/>
            <w:noWrap/>
            <w:hideMark/>
          </w:tcPr>
          <w:p w:rsidR="00BE10B8" w:rsidRPr="00420ADD" w:rsidRDefault="00BE10B8" w:rsidP="00BE10B8">
            <w:pPr>
              <w:rPr>
                <w:rFonts w:ascii="Lato" w:hAnsi="Lato"/>
              </w:rPr>
            </w:pPr>
            <w:r w:rsidRPr="00420ADD">
              <w:rPr>
                <w:rFonts w:ascii="Lato" w:hAnsi="Lato"/>
              </w:rPr>
              <w:t> </w:t>
            </w:r>
          </w:p>
        </w:tc>
      </w:tr>
      <w:tr w:rsidR="00BE10B8" w:rsidRPr="00420ADD" w:rsidTr="00D6707B">
        <w:trPr>
          <w:trHeight w:val="269"/>
        </w:trPr>
        <w:tc>
          <w:tcPr>
            <w:tcW w:w="4201" w:type="dxa"/>
            <w:noWrap/>
          </w:tcPr>
          <w:p w:rsidR="00BE10B8" w:rsidRPr="00420ADD" w:rsidRDefault="00F927B2" w:rsidP="00BE10B8">
            <w:pPr>
              <w:rPr>
                <w:rFonts w:ascii="Lato" w:hAnsi="Lato"/>
                <w:lang w:val="en-US"/>
              </w:rPr>
            </w:pPr>
            <w:hyperlink r:id="rId14" w:history="1">
              <w:r w:rsidR="00BE10B8" w:rsidRPr="00420ADD">
                <w:rPr>
                  <w:rStyle w:val="Hipercze"/>
                  <w:rFonts w:ascii="Lato" w:hAnsi="Lato"/>
                </w:rPr>
                <w:t>Deficyt i nadwyżki budżetowe</w:t>
              </w:r>
            </w:hyperlink>
          </w:p>
        </w:tc>
        <w:tc>
          <w:tcPr>
            <w:tcW w:w="2686" w:type="dxa"/>
            <w:noWrap/>
          </w:tcPr>
          <w:p w:rsidR="00BE10B8" w:rsidRPr="00420ADD" w:rsidRDefault="00BE10B8" w:rsidP="00BE10B8">
            <w:pPr>
              <w:rPr>
                <w:rFonts w:ascii="Lato" w:hAnsi="Lato"/>
                <w:lang w:val="en-US"/>
              </w:rPr>
            </w:pPr>
            <w:r w:rsidRPr="00420ADD">
              <w:rPr>
                <w:rFonts w:ascii="Lato" w:hAnsi="Lato" w:cs="Segoe UI"/>
                <w:color w:val="242424"/>
                <w:shd w:val="clear" w:color="auto" w:fill="FFFFFF"/>
              </w:rPr>
              <w:t>1,7% PKB</w:t>
            </w:r>
          </w:p>
        </w:tc>
        <w:tc>
          <w:tcPr>
            <w:tcW w:w="1401" w:type="dxa"/>
            <w:noWrap/>
          </w:tcPr>
          <w:p w:rsidR="00BE10B8" w:rsidRPr="00420ADD" w:rsidRDefault="00BE10B8" w:rsidP="00BE10B8">
            <w:pPr>
              <w:rPr>
                <w:rFonts w:ascii="Lato" w:hAnsi="Lato"/>
                <w:lang w:val="en-US"/>
              </w:rPr>
            </w:pPr>
            <w:r w:rsidRPr="00420ADD">
              <w:rPr>
                <w:rFonts w:ascii="Lato" w:hAnsi="Lato" w:cs="Segoe UI"/>
                <w:color w:val="242424"/>
                <w:shd w:val="clear" w:color="auto" w:fill="FFFFFF"/>
              </w:rPr>
              <w:t>2.4% PKB</w:t>
            </w:r>
          </w:p>
        </w:tc>
        <w:tc>
          <w:tcPr>
            <w:tcW w:w="1468" w:type="dxa"/>
            <w:noWrap/>
          </w:tcPr>
          <w:p w:rsidR="00BE10B8" w:rsidRPr="00420ADD" w:rsidRDefault="00BE10B8" w:rsidP="00BE10B8">
            <w:pPr>
              <w:rPr>
                <w:rFonts w:ascii="Lato" w:hAnsi="Lato"/>
                <w:lang w:val="en-US"/>
              </w:rPr>
            </w:pPr>
            <w:r w:rsidRPr="00420ADD">
              <w:rPr>
                <w:rFonts w:ascii="Lato" w:hAnsi="Lato" w:cs="Segoe UI"/>
                <w:color w:val="242424"/>
                <w:shd w:val="clear" w:color="auto" w:fill="FFFFFF"/>
              </w:rPr>
              <w:t>2.5% PKB</w:t>
            </w:r>
          </w:p>
        </w:tc>
      </w:tr>
      <w:tr w:rsidR="00BE10B8" w:rsidRPr="00420ADD" w:rsidTr="00D6707B">
        <w:trPr>
          <w:trHeight w:val="269"/>
        </w:trPr>
        <w:tc>
          <w:tcPr>
            <w:tcW w:w="4201" w:type="dxa"/>
            <w:noWrap/>
          </w:tcPr>
          <w:p w:rsidR="00BE10B8" w:rsidRPr="00420ADD" w:rsidRDefault="00F927B2" w:rsidP="00BE10B8">
            <w:pPr>
              <w:rPr>
                <w:rFonts w:ascii="Lato" w:hAnsi="Lato"/>
                <w:lang w:val="en-US"/>
              </w:rPr>
            </w:pPr>
            <w:hyperlink r:id="rId15" w:history="1">
              <w:r w:rsidR="00BE10B8" w:rsidRPr="00420ADD">
                <w:rPr>
                  <w:rStyle w:val="Hipercze"/>
                  <w:rFonts w:ascii="Lato" w:hAnsi="Lato"/>
                </w:rPr>
                <w:t>Dług publiczny</w:t>
              </w:r>
            </w:hyperlink>
            <w:r w:rsidR="00BE10B8" w:rsidRPr="00420ADD">
              <w:rPr>
                <w:rFonts w:ascii="Lato" w:hAnsi="Lato"/>
              </w:rPr>
              <w:t xml:space="preserve"> (% PKB)</w:t>
            </w:r>
          </w:p>
        </w:tc>
        <w:tc>
          <w:tcPr>
            <w:tcW w:w="2686" w:type="dxa"/>
            <w:noWrap/>
          </w:tcPr>
          <w:p w:rsidR="00BE10B8" w:rsidRPr="00420ADD" w:rsidRDefault="00BE10B8" w:rsidP="00BE10B8">
            <w:pPr>
              <w:rPr>
                <w:rFonts w:ascii="Lato" w:hAnsi="Lato"/>
                <w:lang w:val="en-US"/>
              </w:rPr>
            </w:pPr>
            <w:r w:rsidRPr="00420ADD">
              <w:rPr>
                <w:rFonts w:ascii="Lato" w:hAnsi="Lato" w:cs="Segoe UI"/>
                <w:color w:val="242424"/>
                <w:shd w:val="clear" w:color="auto" w:fill="FFFFFF"/>
              </w:rPr>
              <w:t>17.1%</w:t>
            </w:r>
          </w:p>
        </w:tc>
        <w:tc>
          <w:tcPr>
            <w:tcW w:w="1401" w:type="dxa"/>
            <w:noWrap/>
          </w:tcPr>
          <w:p w:rsidR="00BE10B8" w:rsidRPr="00420ADD" w:rsidRDefault="00BE10B8" w:rsidP="00BE10B8">
            <w:pPr>
              <w:rPr>
                <w:rFonts w:ascii="Lato" w:hAnsi="Lato"/>
                <w:lang w:val="en-US"/>
              </w:rPr>
            </w:pPr>
            <w:r w:rsidRPr="00420ADD">
              <w:rPr>
                <w:rFonts w:ascii="Lato" w:hAnsi="Lato"/>
                <w:lang w:val="en-US"/>
              </w:rPr>
              <w:t>20,8%</w:t>
            </w:r>
          </w:p>
        </w:tc>
        <w:tc>
          <w:tcPr>
            <w:tcW w:w="1468" w:type="dxa"/>
            <w:noWrap/>
          </w:tcPr>
          <w:p w:rsidR="00BE10B8" w:rsidRPr="00420ADD" w:rsidRDefault="00BE10B8" w:rsidP="00BE10B8">
            <w:pPr>
              <w:rPr>
                <w:rFonts w:ascii="Lato" w:hAnsi="Lato"/>
                <w:lang w:val="en-US"/>
              </w:rPr>
            </w:pPr>
            <w:r w:rsidRPr="00420ADD">
              <w:rPr>
                <w:rFonts w:ascii="Lato" w:hAnsi="Lato"/>
                <w:lang w:val="en-US"/>
              </w:rPr>
              <w:t>Brak danych</w:t>
            </w:r>
          </w:p>
        </w:tc>
      </w:tr>
    </w:tbl>
    <w:p w:rsidR="00B26A24" w:rsidRPr="00420ADD" w:rsidRDefault="00B26A24"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rsidR="00D6707B" w:rsidRPr="00420ADD"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rsidR="00D6707B" w:rsidRPr="00420ADD"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rsidR="00D6707B" w:rsidRPr="00420ADD"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rsidR="00D6707B" w:rsidRPr="00420ADD"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rsidR="003E722A" w:rsidRPr="00420ADD" w:rsidRDefault="003E722A" w:rsidP="003E722A">
      <w:pPr>
        <w:pStyle w:val="NormalnyWeb"/>
        <w:numPr>
          <w:ilvl w:val="0"/>
          <w:numId w:val="1"/>
        </w:numPr>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Dane demograficzne</w:t>
      </w:r>
    </w:p>
    <w:tbl>
      <w:tblPr>
        <w:tblStyle w:val="Tabela-Siatka"/>
        <w:tblW w:w="9746" w:type="dxa"/>
        <w:tblLook w:val="04A0" w:firstRow="1" w:lastRow="0" w:firstColumn="1" w:lastColumn="0" w:noHBand="0" w:noVBand="1"/>
      </w:tblPr>
      <w:tblGrid>
        <w:gridCol w:w="6312"/>
        <w:gridCol w:w="3434"/>
      </w:tblGrid>
      <w:tr w:rsidR="00D6707B" w:rsidRPr="00420ADD" w:rsidTr="00DE2A53">
        <w:trPr>
          <w:trHeight w:val="336"/>
        </w:trPr>
        <w:tc>
          <w:tcPr>
            <w:tcW w:w="9746" w:type="dxa"/>
            <w:gridSpan w:val="2"/>
            <w:noWrap/>
            <w:hideMark/>
          </w:tcPr>
          <w:p w:rsidR="00D6707B" w:rsidRPr="00420ADD" w:rsidRDefault="00D6707B" w:rsidP="00DE2A53">
            <w:pPr>
              <w:pStyle w:val="Akapitzlist"/>
              <w:ind w:left="1080" w:hanging="1080"/>
              <w:jc w:val="both"/>
              <w:rPr>
                <w:rFonts w:ascii="Lato" w:hAnsi="Lato"/>
                <w:b/>
                <w:bCs/>
              </w:rPr>
            </w:pPr>
            <w:r w:rsidRPr="00420ADD">
              <w:rPr>
                <w:rFonts w:ascii="Lato" w:hAnsi="Lato"/>
                <w:b/>
                <w:bCs/>
              </w:rPr>
              <w:t xml:space="preserve">Dane demograficzne </w:t>
            </w:r>
          </w:p>
        </w:tc>
      </w:tr>
      <w:tr w:rsidR="00D6707B" w:rsidRPr="00420ADD" w:rsidTr="00DE2A53">
        <w:trPr>
          <w:trHeight w:val="336"/>
        </w:trPr>
        <w:tc>
          <w:tcPr>
            <w:tcW w:w="6312" w:type="dxa"/>
            <w:noWrap/>
            <w:hideMark/>
          </w:tcPr>
          <w:p w:rsidR="00D6707B" w:rsidRPr="00420ADD" w:rsidRDefault="00D6707B" w:rsidP="00DE2A53">
            <w:pPr>
              <w:pStyle w:val="Akapitzlist"/>
              <w:ind w:left="176"/>
              <w:rPr>
                <w:rFonts w:ascii="Lato" w:hAnsi="Lato"/>
              </w:rPr>
            </w:pPr>
            <w:hyperlink r:id="rId16" w:history="1">
              <w:r w:rsidRPr="00420ADD">
                <w:rPr>
                  <w:rStyle w:val="Hipercze"/>
                  <w:rFonts w:ascii="Lato" w:hAnsi="Lato"/>
                </w:rPr>
                <w:t>Liczba ludności</w:t>
              </w:r>
            </w:hyperlink>
            <w:r w:rsidRPr="00420ADD">
              <w:rPr>
                <w:rFonts w:ascii="Lato" w:hAnsi="Lato"/>
              </w:rPr>
              <w:t xml:space="preserve"> (w tys.)</w:t>
            </w:r>
          </w:p>
        </w:tc>
        <w:tc>
          <w:tcPr>
            <w:tcW w:w="3434" w:type="dxa"/>
            <w:noWrap/>
            <w:hideMark/>
          </w:tcPr>
          <w:p w:rsidR="00D6707B" w:rsidRPr="00420ADD" w:rsidRDefault="00D6707B" w:rsidP="00DE2A53">
            <w:pPr>
              <w:pStyle w:val="Akapitzlist"/>
              <w:ind w:left="1080"/>
              <w:rPr>
                <w:rFonts w:ascii="Lato" w:hAnsi="Lato"/>
              </w:rPr>
            </w:pPr>
            <w:r w:rsidRPr="00420ADD">
              <w:rPr>
                <w:rFonts w:ascii="Lato" w:hAnsi="Lato" w:cs="Segoe UI"/>
                <w:color w:val="242424"/>
                <w:shd w:val="clear" w:color="auto" w:fill="FFFFFF"/>
              </w:rPr>
              <w:t> </w:t>
            </w:r>
            <w:r w:rsidRPr="00420ADD">
              <w:rPr>
                <w:rStyle w:val="Pogrubienie"/>
                <w:rFonts w:ascii="Lato" w:hAnsi="Lato" w:cs="Segoe UI"/>
                <w:color w:val="242424"/>
                <w:shd w:val="clear" w:color="auto" w:fill="FFFFFF"/>
              </w:rPr>
              <w:t xml:space="preserve">3,233,526 </w:t>
            </w:r>
            <w:r w:rsidRPr="00420ADD">
              <w:rPr>
                <w:rFonts w:ascii="Lato" w:hAnsi="Lato"/>
              </w:rPr>
              <w:t> </w:t>
            </w:r>
          </w:p>
        </w:tc>
      </w:tr>
      <w:tr w:rsidR="00D6707B" w:rsidRPr="00420ADD" w:rsidTr="00DE2A53">
        <w:trPr>
          <w:trHeight w:val="336"/>
        </w:trPr>
        <w:tc>
          <w:tcPr>
            <w:tcW w:w="6312" w:type="dxa"/>
            <w:noWrap/>
            <w:hideMark/>
          </w:tcPr>
          <w:p w:rsidR="00D6707B" w:rsidRPr="00420ADD" w:rsidRDefault="00D6707B" w:rsidP="00DE2A53">
            <w:pPr>
              <w:pStyle w:val="Akapitzlist"/>
              <w:ind w:left="1080" w:hanging="904"/>
              <w:rPr>
                <w:rFonts w:ascii="Lato" w:hAnsi="Lato"/>
              </w:rPr>
            </w:pPr>
            <w:r w:rsidRPr="00420ADD">
              <w:rPr>
                <w:rFonts w:ascii="Lato" w:hAnsi="Lato"/>
              </w:rPr>
              <w:t>Siła robocza (w tys./mln, dane krajowe)</w:t>
            </w:r>
          </w:p>
        </w:tc>
        <w:tc>
          <w:tcPr>
            <w:tcW w:w="3434" w:type="dxa"/>
            <w:noWrap/>
            <w:hideMark/>
          </w:tcPr>
          <w:p w:rsidR="00D6707B" w:rsidRPr="00420ADD" w:rsidRDefault="00D6707B" w:rsidP="00DE2A53">
            <w:pPr>
              <w:pStyle w:val="Akapitzlist"/>
              <w:ind w:left="1080"/>
              <w:rPr>
                <w:rFonts w:ascii="Lato" w:hAnsi="Lato"/>
              </w:rPr>
            </w:pPr>
            <w:r w:rsidRPr="00420ADD">
              <w:rPr>
                <w:rFonts w:ascii="Lato" w:hAnsi="Lato"/>
              </w:rPr>
              <w:t> 1.3 mln</w:t>
            </w:r>
          </w:p>
        </w:tc>
      </w:tr>
      <w:tr w:rsidR="00D6707B" w:rsidRPr="00420ADD" w:rsidTr="00DE2A53">
        <w:trPr>
          <w:trHeight w:val="336"/>
        </w:trPr>
        <w:tc>
          <w:tcPr>
            <w:tcW w:w="6312" w:type="dxa"/>
            <w:noWrap/>
            <w:hideMark/>
          </w:tcPr>
          <w:p w:rsidR="00D6707B" w:rsidRPr="00420ADD" w:rsidRDefault="00D6707B" w:rsidP="00DE2A53">
            <w:pPr>
              <w:pStyle w:val="Akapitzlist"/>
              <w:ind w:left="1080" w:hanging="904"/>
              <w:rPr>
                <w:rFonts w:ascii="Lato" w:hAnsi="Lato"/>
              </w:rPr>
            </w:pPr>
            <w:r w:rsidRPr="00420ADD">
              <w:rPr>
                <w:rFonts w:ascii="Lato" w:hAnsi="Lato"/>
              </w:rPr>
              <w:t>Rozmiar klasy średniej (w tys./mln)</w:t>
            </w:r>
          </w:p>
        </w:tc>
        <w:tc>
          <w:tcPr>
            <w:tcW w:w="3434" w:type="dxa"/>
            <w:noWrap/>
            <w:hideMark/>
          </w:tcPr>
          <w:p w:rsidR="00D6707B" w:rsidRPr="00420ADD" w:rsidRDefault="00D6707B" w:rsidP="00DE2A53">
            <w:pPr>
              <w:pStyle w:val="Akapitzlist"/>
              <w:ind w:left="1080"/>
              <w:rPr>
                <w:rFonts w:ascii="Lato" w:hAnsi="Lato"/>
              </w:rPr>
            </w:pPr>
            <w:r w:rsidRPr="00420ADD">
              <w:rPr>
                <w:rFonts w:ascii="Lato" w:hAnsi="Lato"/>
              </w:rPr>
              <w:t>Brak danych </w:t>
            </w:r>
          </w:p>
        </w:tc>
      </w:tr>
      <w:tr w:rsidR="00D6707B" w:rsidRPr="00420ADD" w:rsidTr="00DE2A53">
        <w:trPr>
          <w:trHeight w:val="336"/>
        </w:trPr>
        <w:tc>
          <w:tcPr>
            <w:tcW w:w="6312" w:type="dxa"/>
            <w:noWrap/>
            <w:hideMark/>
          </w:tcPr>
          <w:p w:rsidR="00D6707B" w:rsidRPr="00420ADD" w:rsidRDefault="00D6707B" w:rsidP="00DE2A53">
            <w:pPr>
              <w:pStyle w:val="Akapitzlist"/>
              <w:ind w:left="176"/>
              <w:rPr>
                <w:rFonts w:ascii="Lato" w:hAnsi="Lato"/>
              </w:rPr>
            </w:pPr>
            <w:hyperlink r:id="rId17" w:history="1">
              <w:r w:rsidRPr="00420ADD">
                <w:rPr>
                  <w:rStyle w:val="Hipercze"/>
                  <w:rFonts w:ascii="Lato" w:hAnsi="Lato"/>
                </w:rPr>
                <w:t>Poziom ubóstwa</w:t>
              </w:r>
            </w:hyperlink>
            <w:r w:rsidRPr="00420ADD">
              <w:rPr>
                <w:rFonts w:ascii="Lato" w:hAnsi="Lato"/>
              </w:rPr>
              <w:t xml:space="preserve"> (% populacji żyjącej poniżej progu ubóstwa)</w:t>
            </w:r>
          </w:p>
        </w:tc>
        <w:tc>
          <w:tcPr>
            <w:tcW w:w="3434" w:type="dxa"/>
            <w:noWrap/>
            <w:hideMark/>
          </w:tcPr>
          <w:p w:rsidR="00D6707B" w:rsidRPr="00420ADD" w:rsidRDefault="00D6707B" w:rsidP="00DE2A53">
            <w:pPr>
              <w:pStyle w:val="Akapitzlist"/>
              <w:ind w:left="1080"/>
              <w:rPr>
                <w:rFonts w:ascii="Lato" w:hAnsi="Lato"/>
              </w:rPr>
            </w:pPr>
            <w:r w:rsidRPr="00420ADD">
              <w:rPr>
                <w:rFonts w:ascii="Lato" w:hAnsi="Lato"/>
              </w:rPr>
              <w:t>16,9% </w:t>
            </w:r>
          </w:p>
        </w:tc>
      </w:tr>
      <w:tr w:rsidR="00D6707B" w:rsidRPr="00420ADD" w:rsidTr="00DE2A53">
        <w:trPr>
          <w:trHeight w:val="336"/>
        </w:trPr>
        <w:tc>
          <w:tcPr>
            <w:tcW w:w="6312" w:type="dxa"/>
            <w:noWrap/>
            <w:hideMark/>
          </w:tcPr>
          <w:p w:rsidR="00D6707B" w:rsidRPr="00420ADD" w:rsidRDefault="00D6707B" w:rsidP="00DE2A53">
            <w:pPr>
              <w:pStyle w:val="Akapitzlist"/>
              <w:ind w:left="1080" w:hanging="904"/>
              <w:rPr>
                <w:rFonts w:ascii="Lato" w:hAnsi="Lato"/>
              </w:rPr>
            </w:pPr>
            <w:hyperlink r:id="rId18" w:history="1">
              <w:r w:rsidRPr="00420ADD">
                <w:rPr>
                  <w:rStyle w:val="Hipercze"/>
                  <w:rFonts w:ascii="Lato" w:hAnsi="Lato"/>
                </w:rPr>
                <w:t>Współczynnik Giniego</w:t>
              </w:r>
            </w:hyperlink>
          </w:p>
        </w:tc>
        <w:tc>
          <w:tcPr>
            <w:tcW w:w="3434" w:type="dxa"/>
            <w:noWrap/>
            <w:hideMark/>
          </w:tcPr>
          <w:p w:rsidR="00D6707B" w:rsidRPr="00420ADD" w:rsidRDefault="00D6707B" w:rsidP="00DE2A53">
            <w:pPr>
              <w:pStyle w:val="Akapitzlist"/>
              <w:ind w:left="1080"/>
              <w:rPr>
                <w:rFonts w:ascii="Lato" w:hAnsi="Lato"/>
              </w:rPr>
            </w:pPr>
            <w:r w:rsidRPr="00420ADD">
              <w:rPr>
                <w:rStyle w:val="Pogrubienie"/>
                <w:rFonts w:ascii="Lato" w:hAnsi="Lato" w:cs="Segoe UI"/>
                <w:color w:val="242424"/>
                <w:shd w:val="clear" w:color="auto" w:fill="FFFFFF"/>
              </w:rPr>
              <w:t>33.0</w:t>
            </w:r>
            <w:r w:rsidRPr="00420ADD">
              <w:rPr>
                <w:rFonts w:ascii="Lato" w:hAnsi="Lato" w:cs="Segoe UI"/>
                <w:color w:val="242424"/>
                <w:shd w:val="clear" w:color="auto" w:fill="FFFFFF"/>
              </w:rPr>
              <w:t>  (2023)</w:t>
            </w:r>
            <w:r w:rsidRPr="00420ADD">
              <w:rPr>
                <w:rFonts w:ascii="Lato" w:hAnsi="Lato"/>
              </w:rPr>
              <w:t> </w:t>
            </w:r>
          </w:p>
        </w:tc>
      </w:tr>
      <w:tr w:rsidR="00D6707B" w:rsidRPr="00420ADD" w:rsidTr="00DE2A53">
        <w:trPr>
          <w:trHeight w:val="348"/>
        </w:trPr>
        <w:tc>
          <w:tcPr>
            <w:tcW w:w="6312" w:type="dxa"/>
            <w:noWrap/>
            <w:hideMark/>
          </w:tcPr>
          <w:p w:rsidR="00D6707B" w:rsidRPr="00420ADD" w:rsidRDefault="00D6707B" w:rsidP="00DE2A53">
            <w:pPr>
              <w:pStyle w:val="Akapitzlist"/>
              <w:ind w:left="1080" w:hanging="904"/>
              <w:rPr>
                <w:rFonts w:ascii="Lato" w:hAnsi="Lato"/>
              </w:rPr>
            </w:pPr>
            <w:hyperlink r:id="rId19" w:anchor="/indicies/HDI" w:history="1">
              <w:r w:rsidRPr="00420ADD">
                <w:rPr>
                  <w:rStyle w:val="Hipercze"/>
                  <w:rFonts w:ascii="Lato" w:hAnsi="Lato"/>
                </w:rPr>
                <w:t>Współczynnik HDI</w:t>
              </w:r>
            </w:hyperlink>
          </w:p>
        </w:tc>
        <w:tc>
          <w:tcPr>
            <w:tcW w:w="3434" w:type="dxa"/>
            <w:noWrap/>
            <w:hideMark/>
          </w:tcPr>
          <w:p w:rsidR="00D6707B" w:rsidRPr="00420ADD" w:rsidRDefault="00D6707B" w:rsidP="00DE2A53">
            <w:pPr>
              <w:pStyle w:val="Akapitzlist"/>
              <w:ind w:left="1080"/>
              <w:rPr>
                <w:rFonts w:ascii="Lato" w:hAnsi="Lato"/>
              </w:rPr>
            </w:pPr>
            <w:r w:rsidRPr="00420ADD">
              <w:rPr>
                <w:rFonts w:ascii="Lato" w:hAnsi="Lato"/>
              </w:rPr>
              <w:t> 0.779 (2022)</w:t>
            </w:r>
          </w:p>
        </w:tc>
      </w:tr>
    </w:tbl>
    <w:p w:rsidR="00D6707B" w:rsidRPr="00420ADD" w:rsidRDefault="00D6707B" w:rsidP="00A17C8E">
      <w:pPr>
        <w:pStyle w:val="NormalnyWeb"/>
        <w:shd w:val="clear" w:color="auto" w:fill="FFFFFF"/>
        <w:spacing w:before="0" w:beforeAutospacing="0" w:after="240" w:afterAutospacing="0"/>
        <w:rPr>
          <w:rFonts w:ascii="Lato" w:eastAsiaTheme="minorHAnsi" w:hAnsi="Lato" w:cstheme="minorBidi"/>
          <w:sz w:val="22"/>
          <w:szCs w:val="22"/>
          <w:lang w:eastAsia="en-US"/>
        </w:rPr>
      </w:pPr>
    </w:p>
    <w:p w:rsidR="000D5FEC" w:rsidRPr="00420ADD" w:rsidRDefault="000D5FEC" w:rsidP="000D5FEC">
      <w:pPr>
        <w:pStyle w:val="NormalnyWeb"/>
        <w:numPr>
          <w:ilvl w:val="0"/>
          <w:numId w:val="1"/>
        </w:numPr>
        <w:shd w:val="clear" w:color="auto" w:fill="FFFFFF"/>
        <w:spacing w:before="0" w:beforeAutospacing="0" w:after="240" w:afterAutospacing="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Handel zagraniczny i inwestycje</w:t>
      </w:r>
    </w:p>
    <w:p w:rsidR="007D5674" w:rsidRPr="00420ADD" w:rsidRDefault="007D5674" w:rsidP="00420ADD">
      <w:pPr>
        <w:pStyle w:val="Akapitzlist"/>
        <w:shd w:val="clear" w:color="auto" w:fill="FFFFFF"/>
        <w:spacing w:after="240" w:line="240" w:lineRule="auto"/>
        <w:ind w:left="0"/>
        <w:jc w:val="both"/>
        <w:rPr>
          <w:rFonts w:ascii="Lato" w:eastAsia="Times New Roman" w:hAnsi="Lato" w:cs="Segoe UI"/>
          <w:color w:val="242424"/>
          <w:lang w:eastAsia="pl-PL"/>
        </w:rPr>
      </w:pPr>
      <w:r w:rsidRPr="00420ADD">
        <w:rPr>
          <w:rFonts w:ascii="Lato" w:eastAsia="Times New Roman" w:hAnsi="Lato" w:cs="Segoe UI"/>
          <w:color w:val="242424"/>
          <w:lang w:eastAsia="pl-PL"/>
        </w:rPr>
        <w:t>W 2023 roku Bośnia i Hercegowina eksportowała głównie energię elektryczną, osiągając wartość około 538 milionów euro. Kolejnymi ważnymi produktami eksportowymi były przewody</w:t>
      </w:r>
      <w:r w:rsidR="00420ADD" w:rsidRPr="00420ADD">
        <w:rPr>
          <w:rFonts w:ascii="Lato" w:eastAsia="Times New Roman" w:hAnsi="Lato" w:cs="Segoe UI"/>
          <w:color w:val="242424"/>
          <w:lang w:eastAsia="pl-PL"/>
        </w:rPr>
        <w:t xml:space="preserve"> </w:t>
      </w:r>
      <w:r w:rsidR="00420ADD" w:rsidRPr="00420ADD">
        <w:rPr>
          <w:rFonts w:ascii="Lato" w:eastAsia="Times New Roman" w:hAnsi="Lato" w:cs="Segoe UI"/>
          <w:color w:val="242424"/>
          <w:lang w:eastAsia="pl-PL"/>
        </w:rPr>
        <w:t>izolowane</w:t>
      </w:r>
      <w:r w:rsidRPr="00420ADD">
        <w:rPr>
          <w:rFonts w:ascii="Lato" w:eastAsia="Times New Roman" w:hAnsi="Lato" w:cs="Segoe UI"/>
          <w:color w:val="242424"/>
          <w:lang w:eastAsia="pl-PL"/>
        </w:rPr>
        <w:t xml:space="preserve"> (338 milionów euro) oraz konstrukcje metalowe (313 milionów euro). Wartość eksportu produktów rolnych, takich jak mięso, ryby i mleko, wyniosła 173 miliony euro, a eksport zbóż osiągnął 111 milionów euro.</w:t>
      </w:r>
      <w:r w:rsidR="00420ADD" w:rsidRPr="00420ADD">
        <w:rPr>
          <w:rFonts w:ascii="Lato" w:eastAsia="Times New Roman" w:hAnsi="Lato" w:cs="Segoe UI"/>
          <w:color w:val="242424"/>
          <w:lang w:eastAsia="pl-PL"/>
        </w:rPr>
        <w:t xml:space="preserve"> </w:t>
      </w:r>
    </w:p>
    <w:p w:rsidR="007D5674" w:rsidRPr="00420ADD" w:rsidRDefault="007D5674" w:rsidP="00420ADD">
      <w:pPr>
        <w:pStyle w:val="Akapitzlist"/>
        <w:shd w:val="clear" w:color="auto" w:fill="FFFFFF"/>
        <w:spacing w:after="240" w:line="240" w:lineRule="auto"/>
        <w:ind w:left="0"/>
        <w:jc w:val="both"/>
        <w:rPr>
          <w:rFonts w:ascii="Lato" w:eastAsia="Times New Roman" w:hAnsi="Lato" w:cs="Segoe UI"/>
          <w:color w:val="242424"/>
          <w:lang w:eastAsia="pl-PL"/>
        </w:rPr>
      </w:pPr>
      <w:r w:rsidRPr="00420ADD">
        <w:rPr>
          <w:rFonts w:ascii="Lato" w:eastAsia="Times New Roman" w:hAnsi="Lato" w:cs="Segoe UI"/>
          <w:color w:val="242424"/>
          <w:lang w:eastAsia="pl-PL"/>
        </w:rPr>
        <w:t>Jeśli chodzi o import, największymi kategoriami były paliwa, w tym diesel, oraz leki do sprzedaży detalicznej. Wartość importu paliw wyniosła około 1,21 miliarda euro, a leków 350 milionów euro.</w:t>
      </w:r>
    </w:p>
    <w:p w:rsidR="00960B52" w:rsidRPr="00420ADD" w:rsidRDefault="00AE3880" w:rsidP="00960B52">
      <w:pPr>
        <w:pStyle w:val="Nagwek1"/>
        <w:rPr>
          <w:rFonts w:ascii="Lato" w:eastAsiaTheme="minorHAnsi" w:hAnsi="Lato" w:cstheme="minorBidi"/>
          <w:bCs w:val="0"/>
          <w:color w:val="auto"/>
          <w:sz w:val="22"/>
          <w:szCs w:val="22"/>
          <w:lang w:val="pl-PL"/>
        </w:rPr>
      </w:pPr>
      <w:r w:rsidRPr="00420ADD">
        <w:rPr>
          <w:rFonts w:ascii="Lato" w:eastAsiaTheme="minorHAnsi" w:hAnsi="Lato" w:cstheme="minorBidi"/>
          <w:bCs w:val="0"/>
          <w:color w:val="auto"/>
          <w:sz w:val="22"/>
          <w:szCs w:val="22"/>
          <w:lang w:val="pl-PL"/>
        </w:rPr>
        <w:t xml:space="preserve">4.1 </w:t>
      </w:r>
      <w:r w:rsidR="00960B52" w:rsidRPr="00420ADD">
        <w:rPr>
          <w:rFonts w:ascii="Lato" w:eastAsiaTheme="minorHAnsi" w:hAnsi="Lato" w:cstheme="minorBidi"/>
          <w:bCs w:val="0"/>
          <w:color w:val="auto"/>
          <w:sz w:val="22"/>
          <w:szCs w:val="22"/>
          <w:lang w:val="pl-PL"/>
        </w:rPr>
        <w:t>Najważniejsi partnerzy handlowi Bośni i Hercegowiny w 2023 roku</w:t>
      </w:r>
    </w:p>
    <w:p w:rsidR="00960B52" w:rsidRPr="00420ADD" w:rsidRDefault="00960B52" w:rsidP="00960B52">
      <w:pPr>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60B52" w:rsidRPr="00420ADD" w:rsidTr="00960B52">
        <w:tc>
          <w:tcPr>
            <w:tcW w:w="2880" w:type="dxa"/>
          </w:tcPr>
          <w:p w:rsidR="00960B52" w:rsidRPr="00420ADD" w:rsidRDefault="00960B52" w:rsidP="007803D0">
            <w:pPr>
              <w:rPr>
                <w:rFonts w:ascii="Lato" w:hAnsi="Lato"/>
              </w:rPr>
            </w:pPr>
            <w:r w:rsidRPr="00420ADD">
              <w:rPr>
                <w:rFonts w:ascii="Lato" w:hAnsi="Lato"/>
              </w:rPr>
              <w:t>Kraj</w:t>
            </w:r>
          </w:p>
        </w:tc>
        <w:tc>
          <w:tcPr>
            <w:tcW w:w="2880" w:type="dxa"/>
          </w:tcPr>
          <w:p w:rsidR="00960B52" w:rsidRPr="00420ADD" w:rsidRDefault="00960B52" w:rsidP="007803D0">
            <w:pPr>
              <w:rPr>
                <w:rFonts w:ascii="Lato" w:hAnsi="Lato"/>
              </w:rPr>
            </w:pPr>
            <w:r w:rsidRPr="00420ADD">
              <w:rPr>
                <w:rFonts w:ascii="Lato" w:hAnsi="Lato"/>
              </w:rPr>
              <w:t>Udział w całkowitej wymianie handlowej (%)</w:t>
            </w:r>
          </w:p>
        </w:tc>
        <w:tc>
          <w:tcPr>
            <w:tcW w:w="2880" w:type="dxa"/>
          </w:tcPr>
          <w:p w:rsidR="00960B52" w:rsidRPr="00420ADD" w:rsidRDefault="00960B52" w:rsidP="007803D0">
            <w:pPr>
              <w:rPr>
                <w:rFonts w:ascii="Lato" w:hAnsi="Lato"/>
              </w:rPr>
            </w:pPr>
            <w:r w:rsidRPr="00420ADD">
              <w:rPr>
                <w:rFonts w:ascii="Lato" w:hAnsi="Lato"/>
              </w:rPr>
              <w:t>Wartość wymiany handlowej (EUR)</w:t>
            </w:r>
          </w:p>
        </w:tc>
      </w:tr>
      <w:tr w:rsidR="00960B52" w:rsidRPr="00420ADD" w:rsidTr="00960B52">
        <w:tc>
          <w:tcPr>
            <w:tcW w:w="2880" w:type="dxa"/>
          </w:tcPr>
          <w:p w:rsidR="00960B52" w:rsidRPr="00420ADD" w:rsidRDefault="00960B52" w:rsidP="007803D0">
            <w:pPr>
              <w:rPr>
                <w:rFonts w:ascii="Lato" w:hAnsi="Lato"/>
              </w:rPr>
            </w:pPr>
            <w:r w:rsidRPr="00420ADD">
              <w:rPr>
                <w:rFonts w:ascii="Lato" w:hAnsi="Lato"/>
              </w:rPr>
              <w:t>Chorwacja</w:t>
            </w:r>
          </w:p>
        </w:tc>
        <w:tc>
          <w:tcPr>
            <w:tcW w:w="2880" w:type="dxa"/>
          </w:tcPr>
          <w:p w:rsidR="00960B52" w:rsidRPr="00420ADD" w:rsidRDefault="00960B52" w:rsidP="007803D0">
            <w:pPr>
              <w:rPr>
                <w:rFonts w:ascii="Lato" w:hAnsi="Lato"/>
              </w:rPr>
            </w:pPr>
            <w:r w:rsidRPr="00420ADD">
              <w:rPr>
                <w:rFonts w:ascii="Lato" w:hAnsi="Lato"/>
              </w:rPr>
              <w:t>17.32%</w:t>
            </w:r>
          </w:p>
        </w:tc>
        <w:tc>
          <w:tcPr>
            <w:tcW w:w="2880" w:type="dxa"/>
          </w:tcPr>
          <w:p w:rsidR="00960B52" w:rsidRPr="00420ADD" w:rsidRDefault="00960B52" w:rsidP="007803D0">
            <w:pPr>
              <w:rPr>
                <w:rFonts w:ascii="Lato" w:hAnsi="Lato"/>
              </w:rPr>
            </w:pPr>
            <w:r w:rsidRPr="00420ADD">
              <w:rPr>
                <w:rFonts w:ascii="Lato" w:hAnsi="Lato"/>
              </w:rPr>
              <w:t>1.6 miliarda EUR</w:t>
            </w:r>
          </w:p>
        </w:tc>
      </w:tr>
      <w:tr w:rsidR="00960B52" w:rsidRPr="00420ADD" w:rsidTr="00960B52">
        <w:tc>
          <w:tcPr>
            <w:tcW w:w="2880" w:type="dxa"/>
          </w:tcPr>
          <w:p w:rsidR="00960B52" w:rsidRPr="00420ADD" w:rsidRDefault="00960B52" w:rsidP="007803D0">
            <w:pPr>
              <w:rPr>
                <w:rFonts w:ascii="Lato" w:hAnsi="Lato"/>
              </w:rPr>
            </w:pPr>
            <w:r w:rsidRPr="00420ADD">
              <w:rPr>
                <w:rFonts w:ascii="Lato" w:hAnsi="Lato"/>
              </w:rPr>
              <w:t>Serbia</w:t>
            </w:r>
          </w:p>
        </w:tc>
        <w:tc>
          <w:tcPr>
            <w:tcW w:w="2880" w:type="dxa"/>
          </w:tcPr>
          <w:p w:rsidR="00960B52" w:rsidRPr="00420ADD" w:rsidRDefault="00960B52" w:rsidP="007803D0">
            <w:pPr>
              <w:rPr>
                <w:rFonts w:ascii="Lato" w:hAnsi="Lato"/>
              </w:rPr>
            </w:pPr>
            <w:r w:rsidRPr="00420ADD">
              <w:rPr>
                <w:rFonts w:ascii="Lato" w:hAnsi="Lato"/>
              </w:rPr>
              <w:t>13.17%</w:t>
            </w:r>
          </w:p>
        </w:tc>
        <w:tc>
          <w:tcPr>
            <w:tcW w:w="2880" w:type="dxa"/>
          </w:tcPr>
          <w:p w:rsidR="00960B52" w:rsidRPr="00420ADD" w:rsidRDefault="00960B52" w:rsidP="007803D0">
            <w:pPr>
              <w:rPr>
                <w:rFonts w:ascii="Lato" w:hAnsi="Lato"/>
              </w:rPr>
            </w:pPr>
            <w:r w:rsidRPr="00420ADD">
              <w:rPr>
                <w:rFonts w:ascii="Lato" w:hAnsi="Lato"/>
              </w:rPr>
              <w:t>1.2 miliarda EUR</w:t>
            </w:r>
          </w:p>
        </w:tc>
      </w:tr>
      <w:tr w:rsidR="00960B52" w:rsidRPr="00420ADD" w:rsidTr="00960B52">
        <w:tc>
          <w:tcPr>
            <w:tcW w:w="2880" w:type="dxa"/>
          </w:tcPr>
          <w:p w:rsidR="00960B52" w:rsidRPr="00420ADD" w:rsidRDefault="00960B52" w:rsidP="007803D0">
            <w:pPr>
              <w:rPr>
                <w:rFonts w:ascii="Lato" w:hAnsi="Lato"/>
              </w:rPr>
            </w:pPr>
            <w:r w:rsidRPr="00420ADD">
              <w:rPr>
                <w:rFonts w:ascii="Lato" w:hAnsi="Lato"/>
              </w:rPr>
              <w:t>Niemcy</w:t>
            </w:r>
          </w:p>
        </w:tc>
        <w:tc>
          <w:tcPr>
            <w:tcW w:w="2880" w:type="dxa"/>
          </w:tcPr>
          <w:p w:rsidR="00960B52" w:rsidRPr="00420ADD" w:rsidRDefault="00960B52" w:rsidP="007803D0">
            <w:pPr>
              <w:rPr>
                <w:rFonts w:ascii="Lato" w:hAnsi="Lato"/>
              </w:rPr>
            </w:pPr>
            <w:r w:rsidRPr="00420ADD">
              <w:rPr>
                <w:rFonts w:ascii="Lato" w:hAnsi="Lato"/>
              </w:rPr>
              <w:t>11.63%</w:t>
            </w:r>
          </w:p>
        </w:tc>
        <w:tc>
          <w:tcPr>
            <w:tcW w:w="2880" w:type="dxa"/>
          </w:tcPr>
          <w:p w:rsidR="00960B52" w:rsidRPr="00420ADD" w:rsidRDefault="00960B52" w:rsidP="007803D0">
            <w:pPr>
              <w:rPr>
                <w:rFonts w:ascii="Lato" w:hAnsi="Lato"/>
              </w:rPr>
            </w:pPr>
            <w:r w:rsidRPr="00420ADD">
              <w:rPr>
                <w:rFonts w:ascii="Lato" w:hAnsi="Lato"/>
              </w:rPr>
              <w:t>1.1 miliarda EUR</w:t>
            </w:r>
          </w:p>
        </w:tc>
      </w:tr>
      <w:tr w:rsidR="00960B52" w:rsidRPr="00420ADD" w:rsidTr="00960B52">
        <w:tc>
          <w:tcPr>
            <w:tcW w:w="2880" w:type="dxa"/>
          </w:tcPr>
          <w:p w:rsidR="00960B52" w:rsidRPr="00420ADD" w:rsidRDefault="00960B52" w:rsidP="007803D0">
            <w:pPr>
              <w:rPr>
                <w:rFonts w:ascii="Lato" w:hAnsi="Lato"/>
              </w:rPr>
            </w:pPr>
            <w:r w:rsidRPr="00420ADD">
              <w:rPr>
                <w:rFonts w:ascii="Lato" w:hAnsi="Lato"/>
              </w:rPr>
              <w:t>Słowenia</w:t>
            </w:r>
          </w:p>
        </w:tc>
        <w:tc>
          <w:tcPr>
            <w:tcW w:w="2880" w:type="dxa"/>
          </w:tcPr>
          <w:p w:rsidR="00960B52" w:rsidRPr="00420ADD" w:rsidRDefault="00960B52" w:rsidP="007803D0">
            <w:pPr>
              <w:rPr>
                <w:rFonts w:ascii="Lato" w:hAnsi="Lato"/>
              </w:rPr>
            </w:pPr>
            <w:r w:rsidRPr="00420ADD">
              <w:rPr>
                <w:rFonts w:ascii="Lato" w:hAnsi="Lato"/>
              </w:rPr>
              <w:t>8.38%</w:t>
            </w:r>
          </w:p>
        </w:tc>
        <w:tc>
          <w:tcPr>
            <w:tcW w:w="2880" w:type="dxa"/>
          </w:tcPr>
          <w:p w:rsidR="00960B52" w:rsidRPr="00420ADD" w:rsidRDefault="00960B52" w:rsidP="007803D0">
            <w:pPr>
              <w:rPr>
                <w:rFonts w:ascii="Lato" w:hAnsi="Lato"/>
              </w:rPr>
            </w:pPr>
            <w:r w:rsidRPr="00420ADD">
              <w:rPr>
                <w:rFonts w:ascii="Lato" w:hAnsi="Lato"/>
              </w:rPr>
              <w:t>0.8 miliarda EUR</w:t>
            </w:r>
          </w:p>
        </w:tc>
      </w:tr>
      <w:tr w:rsidR="00960B52" w:rsidRPr="00420ADD" w:rsidTr="00960B52">
        <w:tc>
          <w:tcPr>
            <w:tcW w:w="2880" w:type="dxa"/>
          </w:tcPr>
          <w:p w:rsidR="00960B52" w:rsidRPr="00420ADD" w:rsidRDefault="00960B52" w:rsidP="007803D0">
            <w:pPr>
              <w:rPr>
                <w:rFonts w:ascii="Lato" w:hAnsi="Lato"/>
              </w:rPr>
            </w:pPr>
            <w:r w:rsidRPr="00420ADD">
              <w:rPr>
                <w:rFonts w:ascii="Lato" w:hAnsi="Lato"/>
              </w:rPr>
              <w:t>Włochy</w:t>
            </w:r>
          </w:p>
        </w:tc>
        <w:tc>
          <w:tcPr>
            <w:tcW w:w="2880" w:type="dxa"/>
          </w:tcPr>
          <w:p w:rsidR="00960B52" w:rsidRPr="00420ADD" w:rsidRDefault="00960B52" w:rsidP="007803D0">
            <w:pPr>
              <w:rPr>
                <w:rFonts w:ascii="Lato" w:hAnsi="Lato"/>
              </w:rPr>
            </w:pPr>
            <w:r w:rsidRPr="00420ADD">
              <w:rPr>
                <w:rFonts w:ascii="Lato" w:hAnsi="Lato"/>
              </w:rPr>
              <w:t>7.99%</w:t>
            </w:r>
          </w:p>
        </w:tc>
        <w:tc>
          <w:tcPr>
            <w:tcW w:w="2880" w:type="dxa"/>
          </w:tcPr>
          <w:p w:rsidR="00960B52" w:rsidRPr="00420ADD" w:rsidRDefault="00960B52" w:rsidP="007803D0">
            <w:pPr>
              <w:rPr>
                <w:rFonts w:ascii="Lato" w:hAnsi="Lato"/>
              </w:rPr>
            </w:pPr>
            <w:r w:rsidRPr="00420ADD">
              <w:rPr>
                <w:rFonts w:ascii="Lato" w:hAnsi="Lato"/>
              </w:rPr>
              <w:t>0.7 miliarda EUR</w:t>
            </w:r>
          </w:p>
        </w:tc>
      </w:tr>
    </w:tbl>
    <w:p w:rsidR="00960B52" w:rsidRPr="00420ADD" w:rsidRDefault="00960B52" w:rsidP="00960B52">
      <w:pPr>
        <w:pStyle w:val="NormalnyWeb"/>
        <w:shd w:val="clear" w:color="auto" w:fill="FFFFFF"/>
        <w:spacing w:before="0" w:beforeAutospacing="0" w:after="240" w:afterAutospacing="0"/>
        <w:rPr>
          <w:rFonts w:ascii="Lato" w:hAnsi="Lato" w:cs="Segoe UI"/>
          <w:color w:val="242424"/>
          <w:sz w:val="22"/>
          <w:szCs w:val="22"/>
        </w:rPr>
      </w:pPr>
    </w:p>
    <w:p w:rsidR="00960B52" w:rsidRPr="00420ADD" w:rsidRDefault="00960B52" w:rsidP="00960B52">
      <w:pPr>
        <w:pStyle w:val="NormalnyWeb"/>
        <w:shd w:val="clear" w:color="auto" w:fill="FFFFFF"/>
        <w:spacing w:before="0" w:beforeAutospacing="0" w:after="240" w:afterAutospacing="0"/>
        <w:rPr>
          <w:rFonts w:ascii="Lato" w:hAnsi="Lato" w:cs="Segoe UI"/>
          <w:color w:val="242424"/>
          <w:sz w:val="22"/>
          <w:szCs w:val="22"/>
        </w:rPr>
      </w:pPr>
    </w:p>
    <w:p w:rsidR="00960B52" w:rsidRPr="00420ADD" w:rsidRDefault="00960B52" w:rsidP="00960B52">
      <w:pPr>
        <w:pStyle w:val="NormalnyWeb"/>
        <w:shd w:val="clear" w:color="auto" w:fill="FFFFFF"/>
        <w:spacing w:before="0" w:beforeAutospacing="0" w:after="240" w:afterAutospacing="0"/>
        <w:rPr>
          <w:rFonts w:ascii="Lato" w:hAnsi="Lato" w:cs="Segoe UI"/>
          <w:b/>
          <w:color w:val="242424"/>
          <w:sz w:val="22"/>
          <w:szCs w:val="22"/>
        </w:rPr>
      </w:pPr>
      <w:r w:rsidRPr="00420ADD">
        <w:rPr>
          <w:rFonts w:ascii="Lato" w:hAnsi="Lato" w:cs="Segoe UI"/>
          <w:b/>
          <w:color w:val="242424"/>
          <w:sz w:val="22"/>
          <w:szCs w:val="22"/>
        </w:rPr>
        <w:t>Podstawowe produkty i usługi importowe oraz eksportowe Bośni i Hercegowiny w 2023 roku:</w:t>
      </w:r>
    </w:p>
    <w:p w:rsidR="00960B52" w:rsidRPr="00420ADD" w:rsidRDefault="00960B52" w:rsidP="00960B52">
      <w:pPr>
        <w:pStyle w:val="Nagwek3"/>
        <w:shd w:val="clear" w:color="auto" w:fill="FFFFFF"/>
        <w:rPr>
          <w:rFonts w:ascii="Lato" w:hAnsi="Lato" w:cs="Segoe UI"/>
          <w:color w:val="24242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27449" w:rsidRPr="00420ADD" w:rsidTr="007803D0">
        <w:tc>
          <w:tcPr>
            <w:tcW w:w="4320" w:type="dxa"/>
          </w:tcPr>
          <w:p w:rsidR="00B27449" w:rsidRPr="00420ADD" w:rsidRDefault="00B27449" w:rsidP="007803D0">
            <w:pPr>
              <w:rPr>
                <w:rFonts w:ascii="Lato" w:hAnsi="Lato"/>
                <w:b/>
              </w:rPr>
            </w:pPr>
            <w:r w:rsidRPr="00420ADD">
              <w:rPr>
                <w:rFonts w:ascii="Lato" w:hAnsi="Lato"/>
                <w:b/>
              </w:rPr>
              <w:t xml:space="preserve">Produkt eksportowe </w:t>
            </w:r>
          </w:p>
        </w:tc>
        <w:tc>
          <w:tcPr>
            <w:tcW w:w="4320" w:type="dxa"/>
          </w:tcPr>
          <w:p w:rsidR="00B27449" w:rsidRPr="00420ADD" w:rsidRDefault="00B27449" w:rsidP="00420ADD">
            <w:pPr>
              <w:rPr>
                <w:rFonts w:ascii="Lato" w:hAnsi="Lato"/>
              </w:rPr>
            </w:pPr>
            <w:r w:rsidRPr="00420ADD">
              <w:rPr>
                <w:rFonts w:ascii="Lato" w:hAnsi="Lato"/>
              </w:rPr>
              <w:t xml:space="preserve">Wartość </w:t>
            </w:r>
          </w:p>
        </w:tc>
      </w:tr>
      <w:tr w:rsidR="00B27449" w:rsidRPr="00420ADD" w:rsidTr="007803D0">
        <w:tc>
          <w:tcPr>
            <w:tcW w:w="4320" w:type="dxa"/>
          </w:tcPr>
          <w:p w:rsidR="00B27449" w:rsidRPr="00420ADD" w:rsidRDefault="00B27449" w:rsidP="007803D0">
            <w:pPr>
              <w:rPr>
                <w:rFonts w:ascii="Lato" w:hAnsi="Lato"/>
              </w:rPr>
            </w:pPr>
            <w:r w:rsidRPr="00420ADD">
              <w:rPr>
                <w:rFonts w:ascii="Lato" w:hAnsi="Lato"/>
              </w:rPr>
              <w:t>Elektryczna energia</w:t>
            </w:r>
          </w:p>
        </w:tc>
        <w:tc>
          <w:tcPr>
            <w:tcW w:w="4320" w:type="dxa"/>
          </w:tcPr>
          <w:p w:rsidR="00B27449" w:rsidRPr="00420ADD" w:rsidRDefault="007D5674" w:rsidP="007D5674">
            <w:pPr>
              <w:rPr>
                <w:rFonts w:ascii="Lato" w:hAnsi="Lato"/>
              </w:rPr>
            </w:pPr>
            <w:r w:rsidRPr="00420ADD">
              <w:rPr>
                <w:rFonts w:ascii="Lato" w:hAnsi="Lato"/>
              </w:rPr>
              <w:t>568 mln</w:t>
            </w:r>
            <w:r w:rsidR="00B27449" w:rsidRPr="00420ADD">
              <w:rPr>
                <w:rFonts w:ascii="Lato" w:hAnsi="Lato"/>
              </w:rPr>
              <w:t xml:space="preserve"> EUR</w:t>
            </w:r>
          </w:p>
        </w:tc>
      </w:tr>
      <w:tr w:rsidR="00B27449" w:rsidRPr="00420ADD" w:rsidTr="007803D0">
        <w:tc>
          <w:tcPr>
            <w:tcW w:w="4320" w:type="dxa"/>
          </w:tcPr>
          <w:p w:rsidR="00B27449" w:rsidRPr="00420ADD" w:rsidRDefault="007D5674" w:rsidP="007803D0">
            <w:pPr>
              <w:rPr>
                <w:rFonts w:ascii="Lato" w:hAnsi="Lato"/>
              </w:rPr>
            </w:pPr>
            <w:r w:rsidRPr="00420ADD">
              <w:rPr>
                <w:rFonts w:ascii="Lato" w:hAnsi="Lato"/>
              </w:rPr>
              <w:lastRenderedPageBreak/>
              <w:t>Przewody izolowane</w:t>
            </w:r>
          </w:p>
        </w:tc>
        <w:tc>
          <w:tcPr>
            <w:tcW w:w="4320" w:type="dxa"/>
          </w:tcPr>
          <w:p w:rsidR="00B27449" w:rsidRPr="00420ADD" w:rsidRDefault="007D5674" w:rsidP="007D5674">
            <w:pPr>
              <w:rPr>
                <w:rFonts w:ascii="Lato" w:hAnsi="Lato"/>
              </w:rPr>
            </w:pPr>
            <w:r w:rsidRPr="00420ADD">
              <w:rPr>
                <w:rFonts w:ascii="Lato" w:hAnsi="Lato"/>
              </w:rPr>
              <w:t>338</w:t>
            </w:r>
            <w:r w:rsidR="00B27449" w:rsidRPr="00420ADD">
              <w:rPr>
                <w:rFonts w:ascii="Lato" w:hAnsi="Lato"/>
              </w:rPr>
              <w:t xml:space="preserve"> </w:t>
            </w:r>
            <w:r w:rsidRPr="00420ADD">
              <w:rPr>
                <w:rFonts w:ascii="Lato" w:hAnsi="Lato"/>
              </w:rPr>
              <w:t>mln</w:t>
            </w:r>
            <w:r w:rsidR="00B27449" w:rsidRPr="00420ADD">
              <w:rPr>
                <w:rFonts w:ascii="Lato" w:hAnsi="Lato"/>
              </w:rPr>
              <w:t xml:space="preserve"> EUR</w:t>
            </w:r>
          </w:p>
        </w:tc>
      </w:tr>
      <w:tr w:rsidR="00B27449" w:rsidRPr="00420ADD" w:rsidTr="007803D0">
        <w:tc>
          <w:tcPr>
            <w:tcW w:w="4320" w:type="dxa"/>
          </w:tcPr>
          <w:p w:rsidR="00B27449" w:rsidRPr="00420ADD" w:rsidRDefault="00B27449" w:rsidP="007803D0">
            <w:pPr>
              <w:rPr>
                <w:rFonts w:ascii="Lato" w:hAnsi="Lato"/>
              </w:rPr>
            </w:pPr>
            <w:r w:rsidRPr="00420ADD">
              <w:rPr>
                <w:rFonts w:ascii="Lato" w:hAnsi="Lato"/>
              </w:rPr>
              <w:t>Żelazne lub stalowe konstrukcje</w:t>
            </w:r>
          </w:p>
        </w:tc>
        <w:tc>
          <w:tcPr>
            <w:tcW w:w="4320" w:type="dxa"/>
          </w:tcPr>
          <w:p w:rsidR="00B27449" w:rsidRPr="00420ADD" w:rsidRDefault="00B27449" w:rsidP="007D5674">
            <w:pPr>
              <w:rPr>
                <w:rFonts w:ascii="Lato" w:hAnsi="Lato"/>
              </w:rPr>
            </w:pPr>
            <w:r w:rsidRPr="00420ADD">
              <w:rPr>
                <w:rFonts w:ascii="Lato" w:hAnsi="Lato"/>
              </w:rPr>
              <w:t>313</w:t>
            </w:r>
            <w:r w:rsidR="007D5674" w:rsidRPr="00420ADD">
              <w:rPr>
                <w:rFonts w:ascii="Lato" w:hAnsi="Lato"/>
              </w:rPr>
              <w:t xml:space="preserve"> mln</w:t>
            </w:r>
            <w:r w:rsidRPr="00420ADD">
              <w:rPr>
                <w:rFonts w:ascii="Lato" w:hAnsi="Lato"/>
              </w:rPr>
              <w:t xml:space="preserve"> EUR</w:t>
            </w:r>
          </w:p>
        </w:tc>
      </w:tr>
    </w:tbl>
    <w:p w:rsidR="000D5FEC" w:rsidRPr="00420ADD" w:rsidRDefault="000D5FEC" w:rsidP="00960B52">
      <w:pPr>
        <w:pStyle w:val="NormalnyWeb"/>
        <w:shd w:val="clear" w:color="auto" w:fill="FFFFFF"/>
        <w:spacing w:after="240"/>
        <w:rPr>
          <w:rFonts w:ascii="Lato" w:eastAsiaTheme="minorHAnsi" w:hAnsi="Lato" w:cstheme="minorBid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27449" w:rsidRPr="00420ADD" w:rsidTr="007803D0">
        <w:tc>
          <w:tcPr>
            <w:tcW w:w="4320" w:type="dxa"/>
          </w:tcPr>
          <w:p w:rsidR="00B27449" w:rsidRPr="00420ADD" w:rsidRDefault="00B27449" w:rsidP="007803D0">
            <w:pPr>
              <w:rPr>
                <w:rFonts w:ascii="Lato" w:hAnsi="Lato"/>
                <w:b/>
              </w:rPr>
            </w:pPr>
            <w:r w:rsidRPr="00420ADD">
              <w:rPr>
                <w:rFonts w:ascii="Lato" w:hAnsi="Lato"/>
                <w:b/>
              </w:rPr>
              <w:t xml:space="preserve">Produkt importowe </w:t>
            </w:r>
          </w:p>
        </w:tc>
        <w:tc>
          <w:tcPr>
            <w:tcW w:w="4320" w:type="dxa"/>
          </w:tcPr>
          <w:p w:rsidR="00B27449" w:rsidRPr="00420ADD" w:rsidRDefault="00B27449" w:rsidP="00420ADD">
            <w:pPr>
              <w:rPr>
                <w:rFonts w:ascii="Lato" w:hAnsi="Lato"/>
              </w:rPr>
            </w:pPr>
            <w:r w:rsidRPr="00420ADD">
              <w:rPr>
                <w:rFonts w:ascii="Lato" w:hAnsi="Lato"/>
              </w:rPr>
              <w:t xml:space="preserve">Wartość </w:t>
            </w:r>
          </w:p>
        </w:tc>
      </w:tr>
      <w:tr w:rsidR="00B27449" w:rsidRPr="00420ADD" w:rsidTr="007803D0">
        <w:tc>
          <w:tcPr>
            <w:tcW w:w="4320" w:type="dxa"/>
          </w:tcPr>
          <w:p w:rsidR="00B27449" w:rsidRPr="00420ADD" w:rsidRDefault="00B27449" w:rsidP="007803D0">
            <w:pPr>
              <w:rPr>
                <w:rFonts w:ascii="Lato" w:hAnsi="Lato"/>
              </w:rPr>
            </w:pPr>
            <w:r w:rsidRPr="00420ADD">
              <w:rPr>
                <w:rFonts w:ascii="Lato" w:hAnsi="Lato"/>
              </w:rPr>
              <w:t>Naftowe oleje</w:t>
            </w:r>
          </w:p>
        </w:tc>
        <w:tc>
          <w:tcPr>
            <w:tcW w:w="4320" w:type="dxa"/>
          </w:tcPr>
          <w:p w:rsidR="00B27449" w:rsidRPr="00420ADD" w:rsidRDefault="00B27449" w:rsidP="007803D0">
            <w:pPr>
              <w:rPr>
                <w:rFonts w:ascii="Lato" w:hAnsi="Lato"/>
              </w:rPr>
            </w:pPr>
            <w:r w:rsidRPr="00420ADD">
              <w:rPr>
                <w:rFonts w:ascii="Lato" w:hAnsi="Lato"/>
              </w:rPr>
              <w:t>1.23 miliona EUR</w:t>
            </w:r>
          </w:p>
        </w:tc>
      </w:tr>
      <w:tr w:rsidR="00B27449" w:rsidRPr="00420ADD" w:rsidTr="007803D0">
        <w:tc>
          <w:tcPr>
            <w:tcW w:w="4320" w:type="dxa"/>
          </w:tcPr>
          <w:p w:rsidR="00B27449" w:rsidRPr="00420ADD" w:rsidRDefault="007D5674" w:rsidP="007803D0">
            <w:pPr>
              <w:rPr>
                <w:rFonts w:ascii="Lato" w:hAnsi="Lato"/>
              </w:rPr>
            </w:pPr>
            <w:r w:rsidRPr="00420ADD">
              <w:rPr>
                <w:rFonts w:ascii="Lato" w:hAnsi="Lato"/>
              </w:rPr>
              <w:t>Leki</w:t>
            </w:r>
          </w:p>
        </w:tc>
        <w:tc>
          <w:tcPr>
            <w:tcW w:w="4320" w:type="dxa"/>
          </w:tcPr>
          <w:p w:rsidR="00B27449" w:rsidRPr="00420ADD" w:rsidRDefault="007D5674" w:rsidP="007D5674">
            <w:pPr>
              <w:rPr>
                <w:rFonts w:ascii="Lato" w:hAnsi="Lato"/>
              </w:rPr>
            </w:pPr>
            <w:r w:rsidRPr="00420ADD">
              <w:rPr>
                <w:rFonts w:ascii="Lato" w:hAnsi="Lato"/>
              </w:rPr>
              <w:t xml:space="preserve">350 miliona EUR  </w:t>
            </w:r>
          </w:p>
        </w:tc>
      </w:tr>
      <w:tr w:rsidR="00B27449" w:rsidRPr="00420ADD" w:rsidTr="007803D0">
        <w:trPr>
          <w:trHeight w:val="63"/>
        </w:trPr>
        <w:tc>
          <w:tcPr>
            <w:tcW w:w="4320" w:type="dxa"/>
          </w:tcPr>
          <w:p w:rsidR="00B27449" w:rsidRPr="00420ADD" w:rsidRDefault="007D5674" w:rsidP="007803D0">
            <w:pPr>
              <w:rPr>
                <w:rFonts w:ascii="Lato" w:hAnsi="Lato"/>
              </w:rPr>
            </w:pPr>
            <w:r w:rsidRPr="00420ADD">
              <w:rPr>
                <w:rFonts w:ascii="Lato" w:hAnsi="Lato"/>
              </w:rPr>
              <w:t>Samochody osobowe</w:t>
            </w:r>
          </w:p>
        </w:tc>
        <w:tc>
          <w:tcPr>
            <w:tcW w:w="4320" w:type="dxa"/>
          </w:tcPr>
          <w:p w:rsidR="00B27449" w:rsidRPr="00420ADD" w:rsidRDefault="007D5674" w:rsidP="007803D0">
            <w:pPr>
              <w:rPr>
                <w:rFonts w:ascii="Lato" w:hAnsi="Lato"/>
              </w:rPr>
            </w:pPr>
            <w:r w:rsidRPr="00420ADD">
              <w:rPr>
                <w:rFonts w:ascii="Lato" w:hAnsi="Lato"/>
              </w:rPr>
              <w:t>0.56 miliona EUR</w:t>
            </w:r>
          </w:p>
        </w:tc>
      </w:tr>
    </w:tbl>
    <w:p w:rsidR="00B27449" w:rsidRPr="00420ADD" w:rsidRDefault="00AE3880" w:rsidP="00960B52">
      <w:pPr>
        <w:pStyle w:val="NormalnyWeb"/>
        <w:shd w:val="clear" w:color="auto" w:fill="FFFFFF"/>
        <w:spacing w:after="24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 xml:space="preserve">4.2 </w:t>
      </w:r>
      <w:r w:rsidR="00607D6C" w:rsidRPr="00420ADD">
        <w:rPr>
          <w:rFonts w:ascii="Lato" w:eastAsiaTheme="minorHAnsi" w:hAnsi="Lato" w:cstheme="minorBidi"/>
          <w:sz w:val="22"/>
          <w:szCs w:val="22"/>
          <w:lang w:eastAsia="en-US"/>
        </w:rPr>
        <w:t>Główni inwestorzy i kierunki inwestycji zagranicznych</w:t>
      </w:r>
    </w:p>
    <w:p w:rsidR="00607D6C" w:rsidRPr="00420ADD" w:rsidRDefault="00607D6C" w:rsidP="00420ADD">
      <w:pPr>
        <w:pStyle w:val="NormalnyWeb"/>
        <w:shd w:val="clear" w:color="auto" w:fill="FFFFFF"/>
        <w:spacing w:after="240"/>
        <w:rPr>
          <w:rFonts w:ascii="Lato" w:eastAsiaTheme="minorHAnsi" w:hAnsi="Lato" w:cstheme="minorBidi"/>
          <w:sz w:val="22"/>
          <w:szCs w:val="22"/>
          <w:lang w:eastAsia="en-US"/>
        </w:rPr>
      </w:pPr>
      <w:r w:rsidRPr="00420ADD">
        <w:rPr>
          <w:rFonts w:ascii="Lato" w:hAnsi="Lato" w:cs="Segoe UI"/>
          <w:color w:val="242424"/>
          <w:sz w:val="22"/>
          <w:szCs w:val="22"/>
          <w:shd w:val="clear" w:color="auto" w:fill="FFFFFF"/>
        </w:rPr>
        <w:t>Charakterystyczne dla inwestycji zagranicznych w Bośni i Hercegowinie w 2023 roku było znaczące zwiększenie reinwestycji zysków przez istniejące przedsiębiorstwa z udziałem zagranicznym. Wzrosły również inwestycje w formie udziałów własnościowych oraz kapitału dłużnego. Inwestorzy zagraniczni wykazywali rosnące zainteresowanie długoterminowymi projektami infrastrukturalnymi oraz sektorem energetycznym, co wskazuje na stabilność i potencjał wzrostu gospodarczego kraju</w:t>
      </w:r>
      <w:r w:rsidR="00420ADD" w:rsidRPr="00420ADD">
        <w:rPr>
          <w:rFonts w:ascii="Lato" w:hAnsi="Lato" w:cs="Segoe UI"/>
          <w:color w:val="242424"/>
          <w:sz w:val="22"/>
          <w:szCs w:val="22"/>
          <w:shd w:val="clear" w:color="auto" w:fill="FFFFFF"/>
        </w:rPr>
        <w:t xml:space="preserve">. </w:t>
      </w:r>
      <w:r w:rsidRPr="00420ADD">
        <w:rPr>
          <w:rFonts w:ascii="Lato" w:hAnsi="Lato" w:cs="Segoe UI"/>
          <w:color w:val="242424"/>
          <w:sz w:val="22"/>
          <w:szCs w:val="22"/>
        </w:rPr>
        <w:t>W 2023 roku Bośnia i Hercegowina przyciągnęła znaczące inwestycje zagraniczne, osiągając wartość około 966 milionów euro. To wzrost o około 193 miliony euro w porównaniu do 2022 roku.</w:t>
      </w:r>
    </w:p>
    <w:p w:rsidR="00607D6C" w:rsidRPr="00420ADD" w:rsidRDefault="00607D6C" w:rsidP="00607D6C">
      <w:p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Najwięcej inwestycji pochodziło z Rosji (192 miliony euro), Serbii (182 miliony euro) i Holandii (122 miliony euro). Główne sektory, które przyciągnęły inwestycje, to produkcja koks</w:t>
      </w:r>
      <w:r w:rsidR="00420ADD">
        <w:rPr>
          <w:rFonts w:ascii="Lato" w:eastAsia="Times New Roman" w:hAnsi="Lato" w:cs="Segoe UI"/>
          <w:color w:val="242424"/>
          <w:lang w:eastAsia="pl-PL"/>
        </w:rPr>
        <w:t>u</w:t>
      </w:r>
      <w:r w:rsidRPr="00420ADD">
        <w:rPr>
          <w:rFonts w:ascii="Lato" w:eastAsia="Times New Roman" w:hAnsi="Lato" w:cs="Segoe UI"/>
          <w:color w:val="242424"/>
          <w:lang w:eastAsia="pl-PL"/>
        </w:rPr>
        <w:t xml:space="preserve"> i rafinowanych produktów naftowych (185 milionów euro), usługi finansowe (155 milionów euro) oraz telekomunikacje (148 milionów euro).</w:t>
      </w:r>
    </w:p>
    <w:p w:rsidR="00607D6C" w:rsidRPr="00420ADD" w:rsidRDefault="00607D6C" w:rsidP="00607D6C">
      <w:p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Na koniec 2023 roku łączna wartość bezpośrednich inwestycji zagranicznych w BiH wyniosła około 9,92 miliarda euro. Najwięcej inwestycji pochodziło z Chorwacji (1,43 miliarda euro), Serbii (1,37 miliarda euro) i Austrii (1,36 miliarda euro). Największe inwestycje były w sektorze usług finansowych (1,90 miliarda euro), telekomunikacji (1,03 miliarda euro) oraz handlu hurtowego (940 milionów euro).</w:t>
      </w:r>
    </w:p>
    <w:p w:rsidR="00AE3880" w:rsidRPr="00B2540D" w:rsidRDefault="00AE3880" w:rsidP="00AE3880">
      <w:pPr>
        <w:pStyle w:val="NormalnyWeb"/>
        <w:numPr>
          <w:ilvl w:val="0"/>
          <w:numId w:val="1"/>
        </w:numPr>
        <w:shd w:val="clear" w:color="auto" w:fill="FFFFFF"/>
        <w:spacing w:after="240"/>
        <w:rPr>
          <w:rFonts w:ascii="Lato" w:eastAsiaTheme="minorHAnsi" w:hAnsi="Lato" w:cstheme="minorBidi"/>
          <w:sz w:val="22"/>
          <w:szCs w:val="22"/>
          <w:lang w:eastAsia="en-US"/>
        </w:rPr>
      </w:pPr>
      <w:r w:rsidRPr="00420ADD">
        <w:rPr>
          <w:rFonts w:ascii="Lato" w:eastAsiaTheme="minorHAnsi" w:hAnsi="Lato" w:cstheme="minorBidi"/>
          <w:sz w:val="22"/>
          <w:szCs w:val="22"/>
          <w:lang w:eastAsia="en-US"/>
        </w:rPr>
        <w:t>Udział w inicjatywach i organizacjach wielostronnych o charakterze gospodarczym</w:t>
      </w:r>
    </w:p>
    <w:p w:rsidR="00AE3880" w:rsidRPr="00B2540D" w:rsidRDefault="00AE3880" w:rsidP="00AE3880">
      <w:pPr>
        <w:shd w:val="clear" w:color="auto" w:fill="FFFFFF"/>
        <w:spacing w:before="100" w:beforeAutospacing="1" w:after="100" w:afterAutospacing="1" w:line="240" w:lineRule="auto"/>
        <w:outlineLvl w:val="2"/>
        <w:rPr>
          <w:rFonts w:ascii="Lato" w:hAnsi="Lato"/>
        </w:rPr>
      </w:pPr>
      <w:r w:rsidRPr="00B2540D">
        <w:rPr>
          <w:rFonts w:ascii="Lato" w:hAnsi="Lato"/>
        </w:rPr>
        <w:t>5.1 Członkostwo BiH w Organizacjach Gospodarczych</w:t>
      </w:r>
    </w:p>
    <w:p w:rsidR="00B2540D" w:rsidRDefault="00AE3880" w:rsidP="00AE3880">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 xml:space="preserve">Środkowoeuropejskie Porozumienie o Wolnym Handlu </w:t>
      </w:r>
      <w:r w:rsidRPr="00420ADD">
        <w:rPr>
          <w:rFonts w:ascii="Lato" w:eastAsia="Times New Roman" w:hAnsi="Lato" w:cs="Segoe UI"/>
          <w:b/>
          <w:color w:val="242424"/>
          <w:lang w:eastAsia="pl-PL"/>
        </w:rPr>
        <w:t>(CEFTA):</w:t>
      </w:r>
      <w:r w:rsidRPr="00420ADD">
        <w:rPr>
          <w:rFonts w:ascii="Lato" w:eastAsia="Times New Roman" w:hAnsi="Lato" w:cs="Segoe UI"/>
          <w:color w:val="242424"/>
          <w:lang w:eastAsia="pl-PL"/>
        </w:rPr>
        <w:t> </w:t>
      </w:r>
    </w:p>
    <w:p w:rsidR="00AE3880" w:rsidRPr="00420ADD" w:rsidRDefault="00B2540D" w:rsidP="00AE3880">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 xml:space="preserve"> </w:t>
      </w:r>
      <w:r w:rsidR="00AE3880" w:rsidRPr="00420ADD">
        <w:rPr>
          <w:rFonts w:ascii="Lato" w:eastAsia="Times New Roman" w:hAnsi="Lato" w:cs="Segoe UI"/>
          <w:color w:val="242424"/>
          <w:lang w:eastAsia="pl-PL"/>
        </w:rPr>
        <w:t xml:space="preserve">Europejski Bank Odbudowy i Rozwoju </w:t>
      </w:r>
      <w:r w:rsidR="00AE3880" w:rsidRPr="00420ADD">
        <w:rPr>
          <w:rFonts w:ascii="Lato" w:eastAsia="Times New Roman" w:hAnsi="Lato" w:cs="Segoe UI"/>
          <w:b/>
          <w:color w:val="242424"/>
          <w:lang w:eastAsia="pl-PL"/>
        </w:rPr>
        <w:t>(EBRD</w:t>
      </w:r>
    </w:p>
    <w:p w:rsidR="00B2540D" w:rsidRPr="00B2540D" w:rsidRDefault="00AE3880" w:rsidP="0036225D">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B2540D">
        <w:rPr>
          <w:rFonts w:ascii="Lato" w:eastAsia="Times New Roman" w:hAnsi="Lato" w:cs="Segoe UI"/>
          <w:color w:val="242424"/>
          <w:lang w:eastAsia="pl-PL"/>
        </w:rPr>
        <w:t xml:space="preserve">Międzynarodowy Fundusz Walutowy </w:t>
      </w:r>
      <w:r w:rsidRPr="00B2540D">
        <w:rPr>
          <w:rFonts w:ascii="Lato" w:eastAsia="Times New Roman" w:hAnsi="Lato" w:cs="Segoe UI"/>
          <w:b/>
          <w:color w:val="242424"/>
          <w:lang w:eastAsia="pl-PL"/>
        </w:rPr>
        <w:t>(IMF</w:t>
      </w:r>
      <w:r w:rsidR="00B2540D">
        <w:rPr>
          <w:rFonts w:ascii="Lato" w:eastAsia="Times New Roman" w:hAnsi="Lato" w:cs="Segoe UI"/>
          <w:b/>
          <w:color w:val="242424"/>
          <w:lang w:eastAsia="pl-PL"/>
        </w:rPr>
        <w:t>)</w:t>
      </w:r>
    </w:p>
    <w:p w:rsidR="00AE3880" w:rsidRPr="00B2540D" w:rsidRDefault="00AE3880" w:rsidP="0036225D">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B2540D">
        <w:rPr>
          <w:rFonts w:ascii="Lato" w:eastAsia="Times New Roman" w:hAnsi="Lato" w:cs="Segoe UI"/>
          <w:color w:val="242424"/>
          <w:lang w:eastAsia="pl-PL"/>
        </w:rPr>
        <w:t xml:space="preserve">Międzynarodowa Organizacja Normalizacyjna </w:t>
      </w:r>
      <w:r w:rsidRPr="00B2540D">
        <w:rPr>
          <w:rFonts w:ascii="Lato" w:eastAsia="Times New Roman" w:hAnsi="Lato" w:cs="Segoe UI"/>
          <w:b/>
          <w:color w:val="242424"/>
          <w:lang w:eastAsia="pl-PL"/>
        </w:rPr>
        <w:t>(ISO):</w:t>
      </w:r>
    </w:p>
    <w:p w:rsidR="00AE3880" w:rsidRPr="00420ADD" w:rsidRDefault="00AE3880" w:rsidP="00AE3880">
      <w:pPr>
        <w:pStyle w:val="Akapitzlist"/>
        <w:numPr>
          <w:ilvl w:val="0"/>
          <w:numId w:val="7"/>
        </w:num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 xml:space="preserve">Agencja Wielostronnych Gwarancji Inwestycji </w:t>
      </w:r>
      <w:r w:rsidRPr="00420ADD">
        <w:rPr>
          <w:rFonts w:ascii="Lato" w:eastAsia="Times New Roman" w:hAnsi="Lato" w:cs="Segoe UI"/>
          <w:b/>
          <w:color w:val="242424"/>
          <w:lang w:eastAsia="pl-PL"/>
        </w:rPr>
        <w:t>(MIGA</w:t>
      </w:r>
      <w:r w:rsidR="00B2540D">
        <w:rPr>
          <w:rFonts w:ascii="Lato" w:eastAsia="Times New Roman" w:hAnsi="Lato" w:cs="Segoe UI"/>
          <w:b/>
          <w:color w:val="242424"/>
          <w:lang w:eastAsia="pl-PL"/>
        </w:rPr>
        <w:t>)</w:t>
      </w:r>
    </w:p>
    <w:p w:rsidR="00AE3880" w:rsidRPr="00420ADD" w:rsidRDefault="00AE3880" w:rsidP="00AE3880">
      <w:pPr>
        <w:shd w:val="clear" w:color="auto" w:fill="FFFFFF"/>
        <w:spacing w:before="100" w:beforeAutospacing="1" w:after="100" w:afterAutospacing="1" w:line="240" w:lineRule="auto"/>
        <w:outlineLvl w:val="2"/>
        <w:rPr>
          <w:rFonts w:ascii="Lato" w:eastAsia="Times New Roman" w:hAnsi="Lato" w:cs="Segoe UI"/>
          <w:b/>
          <w:color w:val="242424"/>
          <w:lang w:eastAsia="pl-PL"/>
        </w:rPr>
      </w:pPr>
      <w:r w:rsidRPr="00420ADD">
        <w:rPr>
          <w:rFonts w:ascii="Lato" w:eastAsia="Times New Roman" w:hAnsi="Lato" w:cs="Segoe UI"/>
          <w:b/>
          <w:color w:val="242424"/>
          <w:lang w:eastAsia="pl-PL"/>
        </w:rPr>
        <w:t>5.2 Status Obserwatora i Kandydatury</w:t>
      </w:r>
    </w:p>
    <w:p w:rsidR="00AE3880" w:rsidRPr="00420ADD" w:rsidRDefault="00AE3880" w:rsidP="00AE3880">
      <w:p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 xml:space="preserve">1. Światowa Organizacja Handlu </w:t>
      </w:r>
      <w:r w:rsidRPr="00420ADD">
        <w:rPr>
          <w:rFonts w:ascii="Lato" w:eastAsia="Times New Roman" w:hAnsi="Lato" w:cs="Segoe UI"/>
          <w:b/>
          <w:color w:val="242424"/>
          <w:lang w:eastAsia="pl-PL"/>
        </w:rPr>
        <w:t>(WTO):</w:t>
      </w:r>
      <w:r w:rsidRPr="00420ADD">
        <w:rPr>
          <w:rFonts w:ascii="Lato" w:eastAsia="Times New Roman" w:hAnsi="Lato" w:cs="Segoe UI"/>
          <w:color w:val="242424"/>
          <w:lang w:eastAsia="pl-PL"/>
        </w:rPr>
        <w:t> BiH jest obserwatorem przy WTO i dąży do pełnego członkostwa, co umożliwiłoby jej pełniejsze uczestnictwo w globalnym systemie handlowym.</w:t>
      </w:r>
    </w:p>
    <w:p w:rsidR="00AE3880" w:rsidRPr="00420ADD" w:rsidRDefault="00AE3880" w:rsidP="00AE3880">
      <w:p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lastRenderedPageBreak/>
        <w:t>2. Unia Europejska (</w:t>
      </w:r>
      <w:r w:rsidRPr="00420ADD">
        <w:rPr>
          <w:rFonts w:ascii="Lato" w:eastAsia="Times New Roman" w:hAnsi="Lato" w:cs="Segoe UI"/>
          <w:b/>
          <w:color w:val="242424"/>
          <w:lang w:eastAsia="pl-PL"/>
        </w:rPr>
        <w:t>UE</w:t>
      </w:r>
      <w:r w:rsidRPr="00420ADD">
        <w:rPr>
          <w:rFonts w:ascii="Lato" w:eastAsia="Times New Roman" w:hAnsi="Lato" w:cs="Segoe UI"/>
          <w:color w:val="242424"/>
          <w:lang w:eastAsia="pl-PL"/>
        </w:rPr>
        <w:t>): BiH jest potencjalnym kandydatem do członkostwa w UE, co jest strategicznym celem kraju. Proces integracji z UE obejmuje dostosowanie przepisów i standardów gospodarczych do wymogów unijnych.</w:t>
      </w:r>
    </w:p>
    <w:p w:rsidR="00AE3880" w:rsidRPr="00420ADD" w:rsidRDefault="000E6F47" w:rsidP="00AE3880">
      <w:pPr>
        <w:shd w:val="clear" w:color="auto" w:fill="FFFFFF"/>
        <w:spacing w:before="100" w:beforeAutospacing="1" w:after="100" w:afterAutospacing="1" w:line="240" w:lineRule="auto"/>
        <w:outlineLvl w:val="2"/>
        <w:rPr>
          <w:rFonts w:ascii="Lato" w:eastAsia="Times New Roman" w:hAnsi="Lato" w:cs="Segoe UI"/>
          <w:b/>
          <w:color w:val="242424"/>
          <w:lang w:eastAsia="pl-PL"/>
        </w:rPr>
      </w:pPr>
      <w:r w:rsidRPr="00420ADD">
        <w:rPr>
          <w:rFonts w:ascii="Lato" w:eastAsia="Times New Roman" w:hAnsi="Lato" w:cs="Segoe UI"/>
          <w:b/>
          <w:color w:val="242424"/>
          <w:lang w:eastAsia="pl-PL"/>
        </w:rPr>
        <w:t xml:space="preserve">5.3. </w:t>
      </w:r>
      <w:r w:rsidR="00AE3880" w:rsidRPr="00420ADD">
        <w:rPr>
          <w:rFonts w:ascii="Lato" w:eastAsia="Times New Roman" w:hAnsi="Lato" w:cs="Segoe UI"/>
          <w:b/>
          <w:color w:val="242424"/>
          <w:lang w:eastAsia="pl-PL"/>
        </w:rPr>
        <w:t>Współpraca Regionalna</w:t>
      </w:r>
    </w:p>
    <w:p w:rsidR="00AE3880" w:rsidRPr="00420ADD" w:rsidRDefault="00AE3880" w:rsidP="00AE3880">
      <w:p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BiH aktywnie uczestniczy w inicjatywach regionalnych, takich jak</w:t>
      </w:r>
      <w:r w:rsidR="0064390E">
        <w:rPr>
          <w:rFonts w:ascii="Lato" w:eastAsia="Times New Roman" w:hAnsi="Lato" w:cs="Segoe UI"/>
          <w:color w:val="242424"/>
          <w:lang w:eastAsia="pl-PL"/>
        </w:rPr>
        <w:t>:</w:t>
      </w:r>
      <w:r w:rsidRPr="00420ADD">
        <w:rPr>
          <w:rFonts w:ascii="Lato" w:eastAsia="Times New Roman" w:hAnsi="Lato" w:cs="Segoe UI"/>
          <w:color w:val="242424"/>
          <w:lang w:eastAsia="pl-PL"/>
        </w:rPr>
        <w:t xml:space="preserve"> </w:t>
      </w:r>
      <w:r w:rsidRPr="0064390E">
        <w:rPr>
          <w:rFonts w:ascii="Lato" w:eastAsia="Times New Roman" w:hAnsi="Lato" w:cs="Segoe UI"/>
          <w:b/>
          <w:color w:val="242424"/>
          <w:lang w:eastAsia="pl-PL"/>
        </w:rPr>
        <w:t>Proces Berliński,</w:t>
      </w:r>
      <w:r w:rsidRPr="00420ADD">
        <w:rPr>
          <w:rFonts w:ascii="Lato" w:eastAsia="Times New Roman" w:hAnsi="Lato" w:cs="Segoe UI"/>
          <w:color w:val="242424"/>
          <w:lang w:eastAsia="pl-PL"/>
        </w:rPr>
        <w:t xml:space="preserve"> który wspiera integrację Bałkanów Zachodnich z UE poprzez projekty infrastrukturalne i gospodarcze. </w:t>
      </w:r>
      <w:r w:rsidR="0064390E">
        <w:rPr>
          <w:rFonts w:ascii="Lato" w:eastAsia="Times New Roman" w:hAnsi="Lato" w:cs="Segoe UI"/>
          <w:color w:val="242424"/>
          <w:lang w:eastAsia="pl-PL"/>
        </w:rPr>
        <w:t>Ponadto w</w:t>
      </w:r>
      <w:r w:rsidRPr="00420ADD">
        <w:rPr>
          <w:rFonts w:ascii="Lato" w:eastAsia="Times New Roman" w:hAnsi="Lato" w:cs="Segoe UI"/>
          <w:color w:val="242424"/>
          <w:lang w:eastAsia="pl-PL"/>
        </w:rPr>
        <w:t>spółpraca z sąsiadującymi krajami, takimi jak Chorwacja, Serbia i Czarnogóra, jest kluczowa dla stabilności i rozwoju gospodarczego regionu.</w:t>
      </w:r>
      <w:r w:rsidR="000E6F47" w:rsidRPr="00420ADD">
        <w:rPr>
          <w:rFonts w:ascii="Lato" w:eastAsia="Times New Roman" w:hAnsi="Lato" w:cs="Segoe UI"/>
          <w:color w:val="242424"/>
          <w:lang w:eastAsia="pl-PL"/>
        </w:rPr>
        <w:t xml:space="preserve"> </w:t>
      </w:r>
    </w:p>
    <w:p w:rsidR="00AE3880" w:rsidRPr="00420ADD" w:rsidRDefault="000E6F47" w:rsidP="000E6F47">
      <w:pPr>
        <w:pStyle w:val="NormalnyWeb"/>
        <w:numPr>
          <w:ilvl w:val="0"/>
          <w:numId w:val="1"/>
        </w:numPr>
        <w:shd w:val="clear" w:color="auto" w:fill="FFFFFF"/>
        <w:spacing w:after="240"/>
        <w:rPr>
          <w:rFonts w:ascii="Lato" w:hAnsi="Lato" w:cs="Segoe UI"/>
          <w:b/>
          <w:color w:val="242424"/>
          <w:sz w:val="22"/>
          <w:szCs w:val="22"/>
        </w:rPr>
      </w:pPr>
      <w:r w:rsidRPr="00420ADD">
        <w:rPr>
          <w:rFonts w:ascii="Lato" w:hAnsi="Lato" w:cs="Segoe UI"/>
          <w:b/>
          <w:color w:val="242424"/>
          <w:sz w:val="22"/>
          <w:szCs w:val="22"/>
        </w:rPr>
        <w:t>Pozycja kraju w rankingach</w:t>
      </w:r>
    </w:p>
    <w:tbl>
      <w:tblPr>
        <w:tblW w:w="9639" w:type="dxa"/>
        <w:tblCellMar>
          <w:left w:w="70" w:type="dxa"/>
          <w:right w:w="70" w:type="dxa"/>
        </w:tblCellMar>
        <w:tblLook w:val="04A0" w:firstRow="1" w:lastRow="0" w:firstColumn="1" w:lastColumn="0" w:noHBand="0" w:noVBand="1"/>
      </w:tblPr>
      <w:tblGrid>
        <w:gridCol w:w="7371"/>
        <w:gridCol w:w="1134"/>
        <w:gridCol w:w="1134"/>
      </w:tblGrid>
      <w:tr w:rsidR="000E6F47" w:rsidRPr="00420ADD" w:rsidTr="00000A21">
        <w:trPr>
          <w:trHeight w:val="312"/>
        </w:trPr>
        <w:tc>
          <w:tcPr>
            <w:tcW w:w="8505" w:type="dxa"/>
            <w:gridSpan w:val="2"/>
            <w:tcBorders>
              <w:top w:val="single" w:sz="4" w:space="0" w:color="auto"/>
              <w:left w:val="single" w:sz="4" w:space="0" w:color="auto"/>
              <w:bottom w:val="single" w:sz="4" w:space="0" w:color="auto"/>
            </w:tcBorders>
            <w:shd w:val="clear" w:color="auto" w:fill="auto"/>
            <w:noWrap/>
            <w:vAlign w:val="bottom"/>
            <w:hideMark/>
          </w:tcPr>
          <w:p w:rsidR="000E6F47" w:rsidRPr="00420ADD" w:rsidRDefault="000E6F47" w:rsidP="00E33B4F">
            <w:pPr>
              <w:pStyle w:val="Akapitzlist"/>
              <w:spacing w:after="0" w:line="240" w:lineRule="auto"/>
              <w:rPr>
                <w:rFonts w:ascii="Lato" w:eastAsia="Times New Roman" w:hAnsi="Lato" w:cs="Calibri"/>
                <w:b/>
                <w:bCs/>
                <w:color w:val="000000"/>
                <w:lang w:eastAsia="pl-PL"/>
              </w:rPr>
            </w:pPr>
            <w:r w:rsidRPr="00420ADD">
              <w:rPr>
                <w:rFonts w:ascii="Lato" w:eastAsia="Times New Roman" w:hAnsi="Lato" w:cs="Calibri"/>
                <w:b/>
                <w:bCs/>
                <w:color w:val="000000"/>
                <w:lang w:eastAsia="pl-PL"/>
              </w:rPr>
              <w:t xml:space="preserve">Pozycja </w:t>
            </w:r>
            <w:r w:rsidR="00E33B4F" w:rsidRPr="00420ADD">
              <w:rPr>
                <w:rFonts w:ascii="Lato" w:eastAsia="Times New Roman" w:hAnsi="Lato" w:cs="Calibri"/>
                <w:b/>
                <w:bCs/>
                <w:color w:val="000000"/>
                <w:lang w:eastAsia="pl-PL"/>
              </w:rPr>
              <w:t xml:space="preserve">BiH </w:t>
            </w:r>
            <w:r w:rsidRPr="00420ADD">
              <w:rPr>
                <w:rFonts w:ascii="Lato" w:eastAsia="Times New Roman" w:hAnsi="Lato" w:cs="Calibri"/>
                <w:b/>
                <w:bCs/>
                <w:color w:val="000000"/>
                <w:lang w:eastAsia="pl-PL"/>
              </w:rPr>
              <w:t>w rankingach</w:t>
            </w:r>
          </w:p>
        </w:tc>
        <w:tc>
          <w:tcPr>
            <w:tcW w:w="1134" w:type="dxa"/>
            <w:tcBorders>
              <w:top w:val="single" w:sz="4" w:space="0" w:color="auto"/>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jc w:val="center"/>
              <w:rPr>
                <w:rFonts w:ascii="Lato" w:eastAsia="Times New Roman" w:hAnsi="Lato" w:cs="Calibri"/>
                <w:b/>
                <w:bCs/>
                <w:color w:val="000000"/>
                <w:lang w:eastAsia="pl-PL"/>
              </w:rPr>
            </w:pPr>
          </w:p>
        </w:tc>
      </w:tr>
      <w:tr w:rsidR="000E6F47" w:rsidRPr="00420ADD" w:rsidTr="00000A21">
        <w:trPr>
          <w:trHeight w:val="312"/>
        </w:trPr>
        <w:tc>
          <w:tcPr>
            <w:tcW w:w="7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jc w:val="center"/>
              <w:rPr>
                <w:rFonts w:ascii="Lato" w:eastAsia="Times New Roman" w:hAnsi="Lato" w:cs="Calibri"/>
                <w:bCs/>
                <w:color w:val="000000"/>
                <w:lang w:eastAsia="pl-PL"/>
              </w:rPr>
            </w:pPr>
            <w:r w:rsidRPr="00420ADD">
              <w:rPr>
                <w:rFonts w:ascii="Lato" w:eastAsia="Times New Roman" w:hAnsi="Lato" w:cs="Calibri"/>
                <w:bCs/>
                <w:color w:val="000000"/>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jc w:val="center"/>
              <w:rPr>
                <w:rFonts w:ascii="Lato" w:eastAsia="Times New Roman" w:hAnsi="Lato" w:cs="Calibri"/>
                <w:bCs/>
                <w:color w:val="000000"/>
                <w:lang w:eastAsia="pl-PL"/>
              </w:rPr>
            </w:pPr>
            <w:r w:rsidRPr="00420ADD">
              <w:rPr>
                <w:rFonts w:ascii="Lato" w:eastAsia="Times New Roman" w:hAnsi="Lato" w:cs="Calibri"/>
                <w:bCs/>
                <w:color w:val="000000"/>
                <w:lang w:eastAsia="pl-PL"/>
              </w:rPr>
              <w:t> pkt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rPr>
                <w:rFonts w:ascii="Lato" w:eastAsia="Times New Roman" w:hAnsi="Lato" w:cs="Calibri"/>
                <w:color w:val="000000"/>
                <w:lang w:eastAsia="pl-PL"/>
              </w:rPr>
            </w:pPr>
            <w:r w:rsidRPr="00420ADD">
              <w:rPr>
                <w:rFonts w:ascii="Lato" w:eastAsia="Times New Roman" w:hAnsi="Lato" w:cs="Calibri"/>
                <w:color w:val="000000"/>
                <w:lang w:eastAsia="pl-PL"/>
              </w:rPr>
              <w:t> pozycja</w:t>
            </w:r>
          </w:p>
        </w:tc>
      </w:tr>
      <w:tr w:rsidR="000E6F47" w:rsidRPr="00420ADD" w:rsidTr="00000A21">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0E6F47" w:rsidRPr="00420ADD" w:rsidRDefault="00F927B2" w:rsidP="00000A21">
            <w:pPr>
              <w:spacing w:after="0" w:line="240" w:lineRule="auto"/>
              <w:rPr>
                <w:rFonts w:ascii="Lato" w:eastAsia="Times New Roman" w:hAnsi="Lato" w:cs="Calibri"/>
                <w:color w:val="000000"/>
                <w:lang w:val="en-US" w:eastAsia="pl-PL"/>
              </w:rPr>
            </w:pPr>
            <w:hyperlink r:id="rId20" w:history="1">
              <w:r w:rsidR="000E6F47" w:rsidRPr="00420ADD">
                <w:rPr>
                  <w:rStyle w:val="Hipercze"/>
                  <w:rFonts w:ascii="Lato" w:eastAsia="Times New Roman" w:hAnsi="Lato" w:cs="Calibri"/>
                  <w:lang w:val="en-US" w:eastAsia="pl-PL"/>
                </w:rPr>
                <w:t>Corruption Perception Index</w:t>
              </w:r>
            </w:hyperlink>
            <w:r w:rsidR="000E6F47" w:rsidRPr="00420ADD">
              <w:rPr>
                <w:rFonts w:ascii="Lato" w:eastAsia="Times New Roman" w:hAnsi="Lato" w:cs="Calibri"/>
                <w:color w:val="000000"/>
                <w:lang w:val="en-US" w:eastAsia="pl-PL"/>
              </w:rPr>
              <w:t xml:space="preserve"> (Transparency International)</w:t>
            </w:r>
          </w:p>
        </w:tc>
        <w:tc>
          <w:tcPr>
            <w:tcW w:w="1134" w:type="dxa"/>
            <w:tcBorders>
              <w:top w:val="nil"/>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rPr>
                <w:rFonts w:ascii="Lato" w:eastAsia="Times New Roman" w:hAnsi="Lato" w:cs="Calibri"/>
                <w:color w:val="000000"/>
                <w:lang w:val="en-US" w:eastAsia="pl-PL"/>
              </w:rPr>
            </w:pPr>
            <w:r w:rsidRPr="00420ADD">
              <w:rPr>
                <w:rFonts w:ascii="Lato" w:eastAsia="Times New Roman" w:hAnsi="Lato" w:cs="Calibri"/>
                <w:color w:val="000000"/>
                <w:lang w:val="en-US" w:eastAsia="pl-PL"/>
              </w:rPr>
              <w:t> 35</w:t>
            </w:r>
          </w:p>
        </w:tc>
        <w:tc>
          <w:tcPr>
            <w:tcW w:w="1134" w:type="dxa"/>
            <w:tcBorders>
              <w:top w:val="nil"/>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rPr>
                <w:rFonts w:ascii="Lato" w:eastAsia="Times New Roman" w:hAnsi="Lato" w:cs="Calibri"/>
                <w:color w:val="000000"/>
                <w:lang w:val="en-US" w:eastAsia="pl-PL"/>
              </w:rPr>
            </w:pPr>
            <w:r w:rsidRPr="00420ADD">
              <w:rPr>
                <w:rFonts w:ascii="Lato" w:eastAsia="Times New Roman" w:hAnsi="Lato" w:cs="Calibri"/>
                <w:color w:val="000000"/>
                <w:lang w:val="en-US" w:eastAsia="pl-PL"/>
              </w:rPr>
              <w:t> </w:t>
            </w:r>
            <w:r w:rsidR="001C521A" w:rsidRPr="00420ADD">
              <w:rPr>
                <w:rFonts w:ascii="Lato" w:eastAsia="Times New Roman" w:hAnsi="Lato" w:cs="Calibri"/>
                <w:color w:val="000000"/>
                <w:lang w:val="en-US" w:eastAsia="pl-PL"/>
              </w:rPr>
              <w:t>108</w:t>
            </w:r>
          </w:p>
        </w:tc>
      </w:tr>
      <w:tr w:rsidR="000E6F47" w:rsidRPr="00420ADD" w:rsidTr="00000A21">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0E6F47" w:rsidRPr="00420ADD" w:rsidRDefault="00F927B2" w:rsidP="00000A21">
            <w:pPr>
              <w:spacing w:after="0" w:line="240" w:lineRule="auto"/>
              <w:rPr>
                <w:rFonts w:ascii="Lato" w:eastAsia="Times New Roman" w:hAnsi="Lato" w:cs="Calibri"/>
                <w:color w:val="000000"/>
                <w:lang w:val="en-US" w:eastAsia="pl-PL"/>
              </w:rPr>
            </w:pPr>
            <w:hyperlink r:id="rId21" w:history="1">
              <w:r w:rsidR="000E6F47" w:rsidRPr="00420ADD">
                <w:rPr>
                  <w:rStyle w:val="Hipercze"/>
                  <w:rFonts w:ascii="Lato" w:eastAsia="Times New Roman" w:hAnsi="Lato" w:cs="Calibri"/>
                  <w:lang w:val="en-US" w:eastAsia="pl-PL"/>
                </w:rPr>
                <w:t>Global Innovation Index</w:t>
              </w:r>
            </w:hyperlink>
            <w:r w:rsidR="000E6F47" w:rsidRPr="00420ADD">
              <w:rPr>
                <w:rFonts w:ascii="Lato" w:eastAsia="Times New Roman" w:hAnsi="Lato" w:cs="Calibri"/>
                <w:color w:val="000000"/>
                <w:lang w:val="en-US" w:eastAsia="pl-PL"/>
              </w:rPr>
              <w:t xml:space="preserve"> (World Intellectual Property Organization)</w:t>
            </w:r>
          </w:p>
        </w:tc>
        <w:tc>
          <w:tcPr>
            <w:tcW w:w="1134" w:type="dxa"/>
            <w:tcBorders>
              <w:top w:val="nil"/>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rPr>
                <w:rFonts w:ascii="Lato" w:eastAsia="Times New Roman" w:hAnsi="Lato" w:cs="Calibri"/>
                <w:color w:val="000000"/>
                <w:lang w:val="en-US" w:eastAsia="pl-PL"/>
              </w:rPr>
            </w:pPr>
            <w:r w:rsidRPr="00420ADD">
              <w:rPr>
                <w:rFonts w:ascii="Lato" w:eastAsia="Times New Roman" w:hAnsi="Lato" w:cs="Calibri"/>
                <w:color w:val="000000"/>
                <w:lang w:val="en-US" w:eastAsia="pl-PL"/>
              </w:rPr>
              <w:t> </w:t>
            </w:r>
            <w:r w:rsidR="001C521A" w:rsidRPr="00420ADD">
              <w:rPr>
                <w:rFonts w:ascii="Lato" w:eastAsia="Times New Roman" w:hAnsi="Lato" w:cs="Calibri"/>
                <w:color w:val="000000"/>
                <w:lang w:val="en-US" w:eastAsia="pl-PL"/>
              </w:rPr>
              <w:t>24,7</w:t>
            </w:r>
          </w:p>
        </w:tc>
        <w:tc>
          <w:tcPr>
            <w:tcW w:w="1134" w:type="dxa"/>
            <w:tcBorders>
              <w:top w:val="nil"/>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rPr>
                <w:rFonts w:ascii="Lato" w:eastAsia="Times New Roman" w:hAnsi="Lato" w:cs="Calibri"/>
                <w:color w:val="000000"/>
                <w:lang w:val="en-US" w:eastAsia="pl-PL"/>
              </w:rPr>
            </w:pPr>
            <w:r w:rsidRPr="00420ADD">
              <w:rPr>
                <w:rFonts w:ascii="Lato" w:eastAsia="Times New Roman" w:hAnsi="Lato" w:cs="Calibri"/>
                <w:color w:val="000000"/>
                <w:lang w:val="en-US" w:eastAsia="pl-PL"/>
              </w:rPr>
              <w:t> </w:t>
            </w:r>
            <w:r w:rsidR="001C521A" w:rsidRPr="00420ADD">
              <w:rPr>
                <w:rFonts w:ascii="Lato" w:eastAsia="Times New Roman" w:hAnsi="Lato" w:cs="Calibri"/>
                <w:color w:val="000000"/>
                <w:lang w:val="en-US" w:eastAsia="pl-PL"/>
              </w:rPr>
              <w:t>75</w:t>
            </w:r>
          </w:p>
        </w:tc>
      </w:tr>
      <w:tr w:rsidR="000E6F47" w:rsidRPr="00420ADD" w:rsidTr="00000A21">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0E6F47" w:rsidRPr="00420ADD" w:rsidRDefault="00F927B2" w:rsidP="00000A21">
            <w:pPr>
              <w:spacing w:after="0" w:line="240" w:lineRule="auto"/>
              <w:rPr>
                <w:rFonts w:ascii="Lato" w:eastAsia="Times New Roman" w:hAnsi="Lato" w:cs="Calibri"/>
                <w:color w:val="000000"/>
                <w:lang w:val="en-US" w:eastAsia="pl-PL"/>
              </w:rPr>
            </w:pPr>
            <w:hyperlink r:id="rId22" w:history="1">
              <w:r w:rsidR="000E6F47" w:rsidRPr="00420ADD">
                <w:rPr>
                  <w:rStyle w:val="Hipercze"/>
                  <w:rFonts w:ascii="Lato" w:eastAsia="Times New Roman" w:hAnsi="Lato" w:cs="Calibri"/>
                  <w:lang w:val="en-US" w:eastAsia="pl-PL"/>
                </w:rPr>
                <w:t>Economic Freedom Index</w:t>
              </w:r>
            </w:hyperlink>
            <w:r w:rsidR="000E6F47" w:rsidRPr="00420ADD">
              <w:rPr>
                <w:rFonts w:ascii="Lato" w:eastAsia="Times New Roman" w:hAnsi="Lato" w:cs="Calibri"/>
                <w:color w:val="000000"/>
                <w:lang w:val="en-US" w:eastAsia="pl-PL"/>
              </w:rPr>
              <w:t xml:space="preserve"> (Heritage Foundation)</w:t>
            </w:r>
          </w:p>
        </w:tc>
        <w:tc>
          <w:tcPr>
            <w:tcW w:w="1134" w:type="dxa"/>
            <w:tcBorders>
              <w:top w:val="nil"/>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rPr>
                <w:rFonts w:ascii="Lato" w:eastAsia="Times New Roman" w:hAnsi="Lato" w:cs="Calibri"/>
                <w:color w:val="000000"/>
                <w:lang w:val="en-US" w:eastAsia="pl-PL"/>
              </w:rPr>
            </w:pPr>
            <w:r w:rsidRPr="00420ADD">
              <w:rPr>
                <w:rFonts w:ascii="Lato" w:eastAsia="Times New Roman" w:hAnsi="Lato" w:cs="Calibri"/>
                <w:color w:val="000000"/>
                <w:lang w:val="en-US" w:eastAsia="pl-PL"/>
              </w:rPr>
              <w:t> </w:t>
            </w:r>
            <w:r w:rsidR="001C521A" w:rsidRPr="00420ADD">
              <w:rPr>
                <w:rFonts w:ascii="Lato" w:eastAsia="Times New Roman" w:hAnsi="Lato" w:cs="Calibri"/>
                <w:color w:val="000000"/>
                <w:lang w:val="en-US" w:eastAsia="pl-PL"/>
              </w:rPr>
              <w:t>62</w:t>
            </w:r>
          </w:p>
        </w:tc>
        <w:tc>
          <w:tcPr>
            <w:tcW w:w="1134" w:type="dxa"/>
            <w:tcBorders>
              <w:top w:val="nil"/>
              <w:left w:val="nil"/>
              <w:bottom w:val="single" w:sz="4" w:space="0" w:color="auto"/>
              <w:right w:val="single" w:sz="4" w:space="0" w:color="auto"/>
            </w:tcBorders>
            <w:shd w:val="clear" w:color="auto" w:fill="auto"/>
            <w:noWrap/>
            <w:vAlign w:val="bottom"/>
            <w:hideMark/>
          </w:tcPr>
          <w:p w:rsidR="000E6F47" w:rsidRPr="00420ADD" w:rsidRDefault="000E6F47" w:rsidP="00000A21">
            <w:pPr>
              <w:spacing w:after="0" w:line="240" w:lineRule="auto"/>
              <w:rPr>
                <w:rFonts w:ascii="Lato" w:eastAsia="Times New Roman" w:hAnsi="Lato" w:cs="Calibri"/>
                <w:color w:val="000000"/>
                <w:lang w:val="en-US" w:eastAsia="pl-PL"/>
              </w:rPr>
            </w:pPr>
            <w:r w:rsidRPr="00420ADD">
              <w:rPr>
                <w:rFonts w:ascii="Lato" w:eastAsia="Times New Roman" w:hAnsi="Lato" w:cs="Calibri"/>
                <w:color w:val="000000"/>
                <w:lang w:val="en-US" w:eastAsia="pl-PL"/>
              </w:rPr>
              <w:t> </w:t>
            </w:r>
            <w:r w:rsidR="001C521A" w:rsidRPr="00420ADD">
              <w:rPr>
                <w:rFonts w:ascii="Lato" w:eastAsia="Times New Roman" w:hAnsi="Lato" w:cs="Calibri"/>
                <w:color w:val="000000"/>
                <w:lang w:val="en-US" w:eastAsia="pl-PL"/>
              </w:rPr>
              <w:t>67</w:t>
            </w:r>
          </w:p>
        </w:tc>
      </w:tr>
    </w:tbl>
    <w:p w:rsidR="000E6F47" w:rsidRPr="00420ADD" w:rsidRDefault="000E6F47" w:rsidP="000E6F47">
      <w:pPr>
        <w:pStyle w:val="NormalnyWeb"/>
        <w:shd w:val="clear" w:color="auto" w:fill="FFFFFF"/>
        <w:spacing w:after="240"/>
        <w:rPr>
          <w:rFonts w:ascii="Lato" w:hAnsi="Lato" w:cs="Segoe UI"/>
          <w:color w:val="242424"/>
          <w:sz w:val="22"/>
          <w:szCs w:val="22"/>
          <w:lang w:val="en-US"/>
        </w:rPr>
      </w:pPr>
    </w:p>
    <w:p w:rsidR="0046451D" w:rsidRPr="00420ADD" w:rsidRDefault="004B615C" w:rsidP="004B615C">
      <w:pPr>
        <w:pStyle w:val="NormalnyWeb"/>
        <w:numPr>
          <w:ilvl w:val="0"/>
          <w:numId w:val="1"/>
        </w:numPr>
        <w:shd w:val="clear" w:color="auto" w:fill="FFFFFF"/>
        <w:spacing w:after="240"/>
        <w:rPr>
          <w:rFonts w:ascii="Lato" w:hAnsi="Lato" w:cs="Segoe UI"/>
          <w:b/>
          <w:color w:val="242424"/>
          <w:sz w:val="22"/>
          <w:szCs w:val="22"/>
          <w:lang w:val="en-US"/>
        </w:rPr>
      </w:pPr>
      <w:r w:rsidRPr="00420ADD">
        <w:rPr>
          <w:rFonts w:ascii="Lato" w:hAnsi="Lato" w:cs="Segoe UI"/>
          <w:b/>
          <w:color w:val="242424"/>
          <w:sz w:val="22"/>
          <w:szCs w:val="22"/>
          <w:lang w:val="en-US"/>
        </w:rPr>
        <w:t>Relacje dwustronne</w:t>
      </w:r>
    </w:p>
    <w:p w:rsidR="00D46B15" w:rsidRPr="00420ADD" w:rsidRDefault="00D46B15" w:rsidP="00D46B15">
      <w:pPr>
        <w:pStyle w:val="NormalnyWeb"/>
        <w:shd w:val="clear" w:color="auto" w:fill="FFFFFF"/>
        <w:spacing w:after="240"/>
        <w:rPr>
          <w:rFonts w:ascii="Lato" w:hAnsi="Lato" w:cs="Segoe UI"/>
          <w:b/>
          <w:color w:val="242424"/>
          <w:sz w:val="22"/>
          <w:szCs w:val="22"/>
        </w:rPr>
      </w:pPr>
      <w:r w:rsidRPr="00420ADD">
        <w:rPr>
          <w:rFonts w:ascii="Lato" w:hAnsi="Lato" w:cs="Segoe UI"/>
          <w:b/>
          <w:color w:val="242424"/>
          <w:sz w:val="22"/>
          <w:szCs w:val="22"/>
        </w:rPr>
        <w:t>7.1 Obroty towarowe między Polską a Bośnią i Hercegow</w:t>
      </w:r>
      <w:r w:rsidR="0064390E">
        <w:rPr>
          <w:rFonts w:ascii="Lato" w:hAnsi="Lato" w:cs="Segoe UI"/>
          <w:b/>
          <w:color w:val="242424"/>
          <w:sz w:val="22"/>
          <w:szCs w:val="22"/>
        </w:rPr>
        <w:t>iną w latach 2022, 2023 i okresie</w:t>
      </w:r>
      <w:r w:rsidRPr="00420ADD">
        <w:rPr>
          <w:rFonts w:ascii="Lato" w:hAnsi="Lato" w:cs="Segoe UI"/>
          <w:b/>
          <w:color w:val="242424"/>
          <w:sz w:val="22"/>
          <w:szCs w:val="22"/>
        </w:rPr>
        <w:t xml:space="preserve"> styczeń – kwiecień 2024 </w:t>
      </w:r>
    </w:p>
    <w:p w:rsidR="00D46B15" w:rsidRPr="00420ADD" w:rsidRDefault="00D46B15" w:rsidP="00D46B15">
      <w:pPr>
        <w:pStyle w:val="Nagwek1"/>
        <w:rPr>
          <w:rFonts w:ascii="Lato" w:hAnsi="Lato"/>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D46B15" w:rsidRPr="00420ADD" w:rsidTr="00000A21">
        <w:tc>
          <w:tcPr>
            <w:tcW w:w="1728" w:type="dxa"/>
          </w:tcPr>
          <w:p w:rsidR="00D46B15" w:rsidRPr="00420ADD" w:rsidRDefault="00D46B15" w:rsidP="00000A21">
            <w:pPr>
              <w:rPr>
                <w:rFonts w:ascii="Lato" w:hAnsi="Lato"/>
              </w:rPr>
            </w:pPr>
            <w:r w:rsidRPr="00420ADD">
              <w:rPr>
                <w:rFonts w:ascii="Lato" w:hAnsi="Lato"/>
              </w:rPr>
              <w:t>Kategoria</w:t>
            </w:r>
          </w:p>
        </w:tc>
        <w:tc>
          <w:tcPr>
            <w:tcW w:w="1728" w:type="dxa"/>
          </w:tcPr>
          <w:p w:rsidR="00D46B15" w:rsidRPr="00420ADD" w:rsidRDefault="00D46B15" w:rsidP="00000A21">
            <w:pPr>
              <w:rPr>
                <w:rFonts w:ascii="Lato" w:hAnsi="Lato"/>
              </w:rPr>
            </w:pPr>
            <w:r w:rsidRPr="00420ADD">
              <w:rPr>
                <w:rFonts w:ascii="Lato" w:hAnsi="Lato"/>
              </w:rPr>
              <w:t>2022</w:t>
            </w:r>
          </w:p>
        </w:tc>
        <w:tc>
          <w:tcPr>
            <w:tcW w:w="1728" w:type="dxa"/>
          </w:tcPr>
          <w:p w:rsidR="00D46B15" w:rsidRPr="00420ADD" w:rsidRDefault="00D46B15" w:rsidP="00000A21">
            <w:pPr>
              <w:rPr>
                <w:rFonts w:ascii="Lato" w:hAnsi="Lato"/>
              </w:rPr>
            </w:pPr>
            <w:r w:rsidRPr="00420ADD">
              <w:rPr>
                <w:rFonts w:ascii="Lato" w:hAnsi="Lato"/>
              </w:rPr>
              <w:t>2023</w:t>
            </w:r>
          </w:p>
        </w:tc>
        <w:tc>
          <w:tcPr>
            <w:tcW w:w="1728" w:type="dxa"/>
          </w:tcPr>
          <w:p w:rsidR="00D46B15" w:rsidRPr="00420ADD" w:rsidRDefault="00D46B15" w:rsidP="00000A21">
            <w:pPr>
              <w:rPr>
                <w:rFonts w:ascii="Lato" w:hAnsi="Lato"/>
              </w:rPr>
            </w:pPr>
            <w:r w:rsidRPr="00420ADD">
              <w:rPr>
                <w:rFonts w:ascii="Lato" w:hAnsi="Lato"/>
              </w:rPr>
              <w:t xml:space="preserve">2024 (styczeń – kwiecień) </w:t>
            </w:r>
          </w:p>
        </w:tc>
        <w:tc>
          <w:tcPr>
            <w:tcW w:w="1728" w:type="dxa"/>
          </w:tcPr>
          <w:p w:rsidR="00D46B15" w:rsidRPr="00420ADD" w:rsidRDefault="00D46B15" w:rsidP="00000A21">
            <w:pPr>
              <w:rPr>
                <w:rFonts w:ascii="Lato" w:hAnsi="Lato"/>
              </w:rPr>
            </w:pPr>
            <w:r w:rsidRPr="00420ADD">
              <w:rPr>
                <w:rFonts w:ascii="Lato" w:hAnsi="Lato"/>
              </w:rPr>
              <w:t>Różnica wobec roku poprzedniego (%)</w:t>
            </w:r>
          </w:p>
        </w:tc>
      </w:tr>
      <w:tr w:rsidR="00D46B15" w:rsidRPr="00420ADD" w:rsidTr="00000A21">
        <w:tc>
          <w:tcPr>
            <w:tcW w:w="1728" w:type="dxa"/>
          </w:tcPr>
          <w:p w:rsidR="00D46B15" w:rsidRPr="00420ADD" w:rsidRDefault="00D46B15" w:rsidP="00000A21">
            <w:pPr>
              <w:rPr>
                <w:rFonts w:ascii="Lato" w:hAnsi="Lato"/>
              </w:rPr>
            </w:pPr>
            <w:r w:rsidRPr="00420ADD">
              <w:rPr>
                <w:rFonts w:ascii="Lato" w:hAnsi="Lato"/>
              </w:rPr>
              <w:t>Obroty towarów</w:t>
            </w:r>
          </w:p>
        </w:tc>
        <w:tc>
          <w:tcPr>
            <w:tcW w:w="1728" w:type="dxa"/>
          </w:tcPr>
          <w:p w:rsidR="00D46B15" w:rsidRPr="00420ADD" w:rsidRDefault="00D46B15" w:rsidP="00000A21">
            <w:pPr>
              <w:rPr>
                <w:rFonts w:ascii="Lato" w:hAnsi="Lato"/>
              </w:rPr>
            </w:pPr>
            <w:r w:rsidRPr="00420ADD">
              <w:rPr>
                <w:rFonts w:ascii="Lato" w:hAnsi="Lato"/>
              </w:rPr>
              <w:t>278,5 mln euro</w:t>
            </w:r>
          </w:p>
        </w:tc>
        <w:tc>
          <w:tcPr>
            <w:tcW w:w="1728" w:type="dxa"/>
          </w:tcPr>
          <w:p w:rsidR="00D46B15" w:rsidRPr="00420ADD" w:rsidRDefault="00D46B15" w:rsidP="00000A21">
            <w:pPr>
              <w:rPr>
                <w:rFonts w:ascii="Lato" w:hAnsi="Lato"/>
              </w:rPr>
            </w:pPr>
            <w:r w:rsidRPr="00420ADD">
              <w:rPr>
                <w:rFonts w:ascii="Lato" w:hAnsi="Lato"/>
              </w:rPr>
              <w:t>382,9 mln euro</w:t>
            </w:r>
          </w:p>
        </w:tc>
        <w:tc>
          <w:tcPr>
            <w:tcW w:w="1728" w:type="dxa"/>
          </w:tcPr>
          <w:p w:rsidR="00D46B15" w:rsidRPr="00420ADD" w:rsidRDefault="00D46B15" w:rsidP="00000A21">
            <w:pPr>
              <w:rPr>
                <w:rFonts w:ascii="Lato" w:hAnsi="Lato"/>
              </w:rPr>
            </w:pPr>
            <w:r w:rsidRPr="00420ADD">
              <w:rPr>
                <w:rFonts w:ascii="Lato" w:hAnsi="Lato"/>
              </w:rPr>
              <w:t>505,6 mln euro</w:t>
            </w:r>
          </w:p>
        </w:tc>
        <w:tc>
          <w:tcPr>
            <w:tcW w:w="1728" w:type="dxa"/>
          </w:tcPr>
          <w:p w:rsidR="00D46B15" w:rsidRPr="00420ADD" w:rsidRDefault="00D46B15" w:rsidP="00000A21">
            <w:pPr>
              <w:rPr>
                <w:rFonts w:ascii="Lato" w:hAnsi="Lato"/>
              </w:rPr>
            </w:pPr>
            <w:r w:rsidRPr="00420ADD">
              <w:rPr>
                <w:rFonts w:ascii="Lato" w:hAnsi="Lato"/>
              </w:rPr>
              <w:t>+32,1%</w:t>
            </w:r>
          </w:p>
        </w:tc>
      </w:tr>
      <w:tr w:rsidR="00D46B15" w:rsidRPr="00420ADD" w:rsidTr="00000A21">
        <w:tc>
          <w:tcPr>
            <w:tcW w:w="1728" w:type="dxa"/>
          </w:tcPr>
          <w:p w:rsidR="00D46B15" w:rsidRPr="00420ADD" w:rsidRDefault="00D46B15" w:rsidP="00000A21">
            <w:pPr>
              <w:rPr>
                <w:rFonts w:ascii="Lato" w:hAnsi="Lato"/>
              </w:rPr>
            </w:pPr>
            <w:r w:rsidRPr="00420ADD">
              <w:rPr>
                <w:rFonts w:ascii="Lato" w:hAnsi="Lato"/>
              </w:rPr>
              <w:t>Eksport</w:t>
            </w:r>
          </w:p>
        </w:tc>
        <w:tc>
          <w:tcPr>
            <w:tcW w:w="1728" w:type="dxa"/>
          </w:tcPr>
          <w:p w:rsidR="00D46B15" w:rsidRPr="00420ADD" w:rsidRDefault="00D46B15" w:rsidP="00000A21">
            <w:pPr>
              <w:rPr>
                <w:rFonts w:ascii="Lato" w:hAnsi="Lato"/>
              </w:rPr>
            </w:pPr>
            <w:r w:rsidRPr="00420ADD">
              <w:rPr>
                <w:rFonts w:ascii="Lato" w:hAnsi="Lato"/>
              </w:rPr>
              <w:t>250 mln euro</w:t>
            </w:r>
          </w:p>
        </w:tc>
        <w:tc>
          <w:tcPr>
            <w:tcW w:w="1728" w:type="dxa"/>
          </w:tcPr>
          <w:p w:rsidR="00D46B15" w:rsidRPr="00420ADD" w:rsidRDefault="00D46B15" w:rsidP="00000A21">
            <w:pPr>
              <w:rPr>
                <w:rFonts w:ascii="Lato" w:hAnsi="Lato"/>
              </w:rPr>
            </w:pPr>
            <w:r w:rsidRPr="00420ADD">
              <w:rPr>
                <w:rFonts w:ascii="Lato" w:hAnsi="Lato"/>
              </w:rPr>
              <w:t>257,5 mln euro</w:t>
            </w:r>
          </w:p>
        </w:tc>
        <w:tc>
          <w:tcPr>
            <w:tcW w:w="1728" w:type="dxa"/>
          </w:tcPr>
          <w:p w:rsidR="00D46B15" w:rsidRPr="00420ADD" w:rsidRDefault="00D46B15" w:rsidP="00000A21">
            <w:pPr>
              <w:rPr>
                <w:rFonts w:ascii="Lato" w:hAnsi="Lato"/>
              </w:rPr>
            </w:pPr>
            <w:r w:rsidRPr="00420ADD">
              <w:rPr>
                <w:rFonts w:ascii="Lato" w:hAnsi="Lato"/>
              </w:rPr>
              <w:t>116,6 mln euro</w:t>
            </w:r>
          </w:p>
        </w:tc>
        <w:tc>
          <w:tcPr>
            <w:tcW w:w="1728" w:type="dxa"/>
          </w:tcPr>
          <w:p w:rsidR="00D46B15" w:rsidRPr="00420ADD" w:rsidRDefault="00D46B15" w:rsidP="00000A21">
            <w:pPr>
              <w:rPr>
                <w:rFonts w:ascii="Lato" w:hAnsi="Lato"/>
              </w:rPr>
            </w:pPr>
            <w:r w:rsidRPr="00420ADD">
              <w:rPr>
                <w:rFonts w:ascii="Lato" w:hAnsi="Lato"/>
              </w:rPr>
              <w:t>-54,7%</w:t>
            </w:r>
          </w:p>
        </w:tc>
      </w:tr>
      <w:tr w:rsidR="00D46B15" w:rsidRPr="00420ADD" w:rsidTr="00000A21">
        <w:tc>
          <w:tcPr>
            <w:tcW w:w="1728" w:type="dxa"/>
          </w:tcPr>
          <w:p w:rsidR="00D46B15" w:rsidRPr="00420ADD" w:rsidRDefault="00D46B15" w:rsidP="00000A21">
            <w:pPr>
              <w:rPr>
                <w:rFonts w:ascii="Lato" w:hAnsi="Lato"/>
              </w:rPr>
            </w:pPr>
            <w:r w:rsidRPr="00420ADD">
              <w:rPr>
                <w:rFonts w:ascii="Lato" w:hAnsi="Lato"/>
              </w:rPr>
              <w:t>Import</w:t>
            </w:r>
          </w:p>
        </w:tc>
        <w:tc>
          <w:tcPr>
            <w:tcW w:w="1728" w:type="dxa"/>
          </w:tcPr>
          <w:p w:rsidR="00D46B15" w:rsidRPr="00420ADD" w:rsidRDefault="00D46B15" w:rsidP="00000A21">
            <w:pPr>
              <w:rPr>
                <w:rFonts w:ascii="Lato" w:hAnsi="Lato"/>
              </w:rPr>
            </w:pPr>
            <w:r w:rsidRPr="00420ADD">
              <w:rPr>
                <w:rFonts w:ascii="Lato" w:hAnsi="Lato"/>
              </w:rPr>
              <w:t>28,5 mln euro</w:t>
            </w:r>
          </w:p>
        </w:tc>
        <w:tc>
          <w:tcPr>
            <w:tcW w:w="1728" w:type="dxa"/>
          </w:tcPr>
          <w:p w:rsidR="00D46B15" w:rsidRPr="00420ADD" w:rsidRDefault="00D46B15" w:rsidP="00000A21">
            <w:pPr>
              <w:rPr>
                <w:rFonts w:ascii="Lato" w:hAnsi="Lato"/>
              </w:rPr>
            </w:pPr>
            <w:r w:rsidRPr="00420ADD">
              <w:rPr>
                <w:rFonts w:ascii="Lato" w:hAnsi="Lato"/>
              </w:rPr>
              <w:t>125,4 mln euro</w:t>
            </w:r>
          </w:p>
        </w:tc>
        <w:tc>
          <w:tcPr>
            <w:tcW w:w="1728" w:type="dxa"/>
          </w:tcPr>
          <w:p w:rsidR="00D46B15" w:rsidRPr="00420ADD" w:rsidRDefault="00D46B15" w:rsidP="00000A21">
            <w:pPr>
              <w:rPr>
                <w:rFonts w:ascii="Lato" w:hAnsi="Lato"/>
              </w:rPr>
            </w:pPr>
            <w:r w:rsidRPr="00420ADD">
              <w:rPr>
                <w:rFonts w:ascii="Lato" w:hAnsi="Lato"/>
              </w:rPr>
              <w:t>112,3 mln euro</w:t>
            </w:r>
          </w:p>
        </w:tc>
        <w:tc>
          <w:tcPr>
            <w:tcW w:w="1728" w:type="dxa"/>
          </w:tcPr>
          <w:p w:rsidR="00D46B15" w:rsidRPr="00420ADD" w:rsidRDefault="00D46B15" w:rsidP="00000A21">
            <w:pPr>
              <w:rPr>
                <w:rFonts w:ascii="Lato" w:hAnsi="Lato"/>
              </w:rPr>
            </w:pPr>
            <w:r w:rsidRPr="00420ADD">
              <w:rPr>
                <w:rFonts w:ascii="Lato" w:hAnsi="Lato"/>
              </w:rPr>
              <w:t>-10,5%</w:t>
            </w:r>
          </w:p>
        </w:tc>
      </w:tr>
    </w:tbl>
    <w:p w:rsidR="00D46B15" w:rsidRPr="00420ADD" w:rsidRDefault="00D46B15" w:rsidP="00D46B15">
      <w:pPr>
        <w:rPr>
          <w:rFonts w:ascii="Lato" w:hAnsi="Lato"/>
        </w:rPr>
      </w:pPr>
      <w:r w:rsidRPr="00420ADD">
        <w:rPr>
          <w:rFonts w:ascii="Lato" w:hAnsi="Lato"/>
        </w:rPr>
        <w:br/>
        <w:t>Źródła danych: Główny Urząd Statystyczny</w:t>
      </w:r>
    </w:p>
    <w:p w:rsidR="002131ED" w:rsidRPr="00420ADD" w:rsidRDefault="002131ED" w:rsidP="002131ED">
      <w:pPr>
        <w:pStyle w:val="NormalnyWeb"/>
        <w:shd w:val="clear" w:color="auto" w:fill="FFFFFF"/>
        <w:spacing w:before="0" w:beforeAutospacing="0" w:after="240" w:afterAutospacing="0"/>
        <w:jc w:val="both"/>
        <w:rPr>
          <w:rFonts w:ascii="Lato" w:hAnsi="Lato" w:cs="Segoe UI"/>
          <w:color w:val="242424"/>
          <w:sz w:val="22"/>
          <w:szCs w:val="22"/>
        </w:rPr>
      </w:pPr>
      <w:r w:rsidRPr="00420ADD">
        <w:rPr>
          <w:rFonts w:ascii="Lato" w:hAnsi="Lato" w:cs="Segoe UI"/>
          <w:color w:val="242424"/>
          <w:sz w:val="22"/>
          <w:szCs w:val="22"/>
        </w:rPr>
        <w:t xml:space="preserve">W 2023 roku obroty handlowe między Polską a Bośnią i Hercegowiną wyniosły około 382,9 miliona euro, co stanowi wzrost o 37,5% w porównaniu do roku poprzedniego. Polski eksport do Bośni i Hercegowiny osiągnął wartość 257,5 miliona euro, co oznacza wzrost o 3% w porównaniu do 2022 roku. Import z Bośni i Hercegowiny do Polski wyniósł 125,4 miliona euro, co stanowi wzrost o 5%. </w:t>
      </w:r>
      <w:r w:rsidRPr="00420ADD">
        <w:rPr>
          <w:rFonts w:ascii="Lato" w:hAnsi="Lato" w:cs="Segoe UI"/>
          <w:color w:val="242424"/>
          <w:sz w:val="22"/>
          <w:szCs w:val="22"/>
          <w:shd w:val="clear" w:color="auto" w:fill="FFFFFF"/>
        </w:rPr>
        <w:t xml:space="preserve">W miesiącach styczeń – kwiecień 2024 roku obroty handlowe między Polską a Bośnią i Hercegowiną wykazały znaczący wzrost o 32,1% w porównaniu do roku poprzedniego, osiągając wartość około 505,6 miliona euro. </w:t>
      </w:r>
    </w:p>
    <w:p w:rsidR="002131ED" w:rsidRPr="00420ADD" w:rsidRDefault="002131ED" w:rsidP="002131ED">
      <w:pPr>
        <w:pStyle w:val="NormalnyWeb"/>
        <w:shd w:val="clear" w:color="auto" w:fill="FFFFFF"/>
        <w:spacing w:after="240"/>
        <w:jc w:val="both"/>
        <w:rPr>
          <w:rFonts w:ascii="Lato" w:hAnsi="Lato" w:cs="Segoe UI"/>
          <w:color w:val="242424"/>
          <w:sz w:val="22"/>
          <w:szCs w:val="22"/>
        </w:rPr>
      </w:pPr>
      <w:r w:rsidRPr="00420ADD">
        <w:rPr>
          <w:rFonts w:ascii="Lato" w:hAnsi="Lato" w:cs="Segoe UI"/>
          <w:color w:val="242424"/>
          <w:sz w:val="22"/>
          <w:szCs w:val="22"/>
        </w:rPr>
        <w:lastRenderedPageBreak/>
        <w:t xml:space="preserve">Najważniejsze towary w obrotach handlowych między Polską a Bośnią i Hercegowiną obejmują różne kategorie. Eksport z Polski do Bośni i Hercegowiny obejmuje maszyny i urządzenia mechaniczne, które są wykorzystywane w przemyśle i rolnictwie, produkty chemiczne, w tym leki, kosmetyki oraz środki czystości, wyroby metalowe, takie jak konstrukcje metalowe, narzędzia oraz inne wyroby z metalu, a także pojazdy i części samochodowe, w tym samochody, części zamienne oraz akcesoria motoryzacyjne. Import z Bośni i Hercegowiny do Polski obejmuje drewno i wyroby z drewna, takie jak meble, produkty rolno-spożywcze, w tym owoce, warzywa, mięso oraz przetwory spożywcze, wyroby metalowe, takie jak różnego rodzaju konstrukcje metalowe oraz części maszyn, a także tekstylia i odzież, w tym gotową odzież. </w:t>
      </w:r>
    </w:p>
    <w:p w:rsidR="002C1469" w:rsidRPr="00420ADD" w:rsidRDefault="007C68FB" w:rsidP="002C1469">
      <w:pPr>
        <w:pStyle w:val="Nagwek1"/>
        <w:rPr>
          <w:rFonts w:ascii="Lato" w:eastAsia="Times New Roman" w:hAnsi="Lato" w:cs="Segoe UI"/>
          <w:bCs w:val="0"/>
          <w:color w:val="242424"/>
          <w:sz w:val="22"/>
          <w:szCs w:val="22"/>
          <w:lang w:val="pl-PL" w:eastAsia="pl-PL"/>
        </w:rPr>
      </w:pPr>
      <w:r w:rsidRPr="00420ADD">
        <w:rPr>
          <w:rFonts w:ascii="Lato" w:eastAsia="Times New Roman" w:hAnsi="Lato" w:cs="Segoe UI"/>
          <w:bCs w:val="0"/>
          <w:color w:val="242424"/>
          <w:sz w:val="22"/>
          <w:szCs w:val="22"/>
          <w:lang w:val="pl-PL" w:eastAsia="pl-PL"/>
        </w:rPr>
        <w:t xml:space="preserve">7.2 </w:t>
      </w:r>
      <w:r w:rsidR="002C1469" w:rsidRPr="00420ADD">
        <w:rPr>
          <w:rFonts w:ascii="Lato" w:eastAsia="Times New Roman" w:hAnsi="Lato" w:cs="Segoe UI"/>
          <w:bCs w:val="0"/>
          <w:color w:val="242424"/>
          <w:sz w:val="22"/>
          <w:szCs w:val="22"/>
          <w:lang w:val="pl-PL" w:eastAsia="pl-PL"/>
        </w:rPr>
        <w:t>Wzajemne inwestycje między Bośnią i Hercegowiną a Polską w latach 2021, 2022 i 2023</w:t>
      </w:r>
    </w:p>
    <w:p w:rsidR="002C1469" w:rsidRPr="00420ADD" w:rsidRDefault="002C1469" w:rsidP="002C1469">
      <w:pPr>
        <w:rPr>
          <w:rFonts w:ascii="Lato" w:hAnsi="Lato"/>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C1469" w:rsidRPr="00420ADD" w:rsidTr="00000A21">
        <w:tc>
          <w:tcPr>
            <w:tcW w:w="2880" w:type="dxa"/>
          </w:tcPr>
          <w:p w:rsidR="002C1469" w:rsidRPr="00420ADD" w:rsidRDefault="002C1469" w:rsidP="00000A21">
            <w:pPr>
              <w:rPr>
                <w:rFonts w:ascii="Lato" w:hAnsi="Lato"/>
              </w:rPr>
            </w:pPr>
            <w:r w:rsidRPr="00420ADD">
              <w:rPr>
                <w:rFonts w:ascii="Lato" w:hAnsi="Lato"/>
              </w:rPr>
              <w:t>Rok</w:t>
            </w:r>
          </w:p>
        </w:tc>
        <w:tc>
          <w:tcPr>
            <w:tcW w:w="2880" w:type="dxa"/>
          </w:tcPr>
          <w:p w:rsidR="002C1469" w:rsidRPr="00420ADD" w:rsidRDefault="002C1469" w:rsidP="002C1469">
            <w:pPr>
              <w:rPr>
                <w:rFonts w:ascii="Lato" w:hAnsi="Lato"/>
              </w:rPr>
            </w:pPr>
            <w:r w:rsidRPr="00420ADD">
              <w:rPr>
                <w:rFonts w:ascii="Lato" w:hAnsi="Lato"/>
              </w:rPr>
              <w:t xml:space="preserve">Inwestycje z Polski do BiH </w:t>
            </w:r>
          </w:p>
        </w:tc>
        <w:tc>
          <w:tcPr>
            <w:tcW w:w="2880" w:type="dxa"/>
          </w:tcPr>
          <w:p w:rsidR="002C1469" w:rsidRPr="00420ADD" w:rsidRDefault="002C1469" w:rsidP="002C1469">
            <w:pPr>
              <w:rPr>
                <w:rFonts w:ascii="Lato" w:hAnsi="Lato"/>
              </w:rPr>
            </w:pPr>
            <w:r w:rsidRPr="00420ADD">
              <w:rPr>
                <w:rFonts w:ascii="Lato" w:hAnsi="Lato"/>
              </w:rPr>
              <w:t xml:space="preserve">Inwestycje z BiH do Polski </w:t>
            </w:r>
          </w:p>
        </w:tc>
      </w:tr>
      <w:tr w:rsidR="002C1469" w:rsidRPr="00420ADD" w:rsidTr="00000A21">
        <w:tc>
          <w:tcPr>
            <w:tcW w:w="2880" w:type="dxa"/>
          </w:tcPr>
          <w:p w:rsidR="002C1469" w:rsidRPr="00420ADD" w:rsidRDefault="002C1469" w:rsidP="00000A21">
            <w:pPr>
              <w:rPr>
                <w:rFonts w:ascii="Lato" w:hAnsi="Lato"/>
              </w:rPr>
            </w:pPr>
            <w:r w:rsidRPr="00420ADD">
              <w:rPr>
                <w:rFonts w:ascii="Lato" w:hAnsi="Lato"/>
              </w:rPr>
              <w:t>2021</w:t>
            </w:r>
          </w:p>
        </w:tc>
        <w:tc>
          <w:tcPr>
            <w:tcW w:w="2880" w:type="dxa"/>
          </w:tcPr>
          <w:p w:rsidR="002C1469" w:rsidRPr="00420ADD" w:rsidRDefault="002C1469" w:rsidP="00000A21">
            <w:pPr>
              <w:rPr>
                <w:rFonts w:ascii="Lato" w:hAnsi="Lato"/>
              </w:rPr>
            </w:pPr>
            <w:r w:rsidRPr="00420ADD">
              <w:rPr>
                <w:rFonts w:ascii="Lato" w:hAnsi="Lato"/>
              </w:rPr>
              <w:t>50 mln EUR</w:t>
            </w:r>
          </w:p>
        </w:tc>
        <w:tc>
          <w:tcPr>
            <w:tcW w:w="2880" w:type="dxa"/>
          </w:tcPr>
          <w:p w:rsidR="002C1469" w:rsidRPr="00420ADD" w:rsidRDefault="002C1469" w:rsidP="00000A21">
            <w:pPr>
              <w:rPr>
                <w:rFonts w:ascii="Lato" w:hAnsi="Lato"/>
              </w:rPr>
            </w:pPr>
            <w:r w:rsidRPr="00420ADD">
              <w:rPr>
                <w:rFonts w:ascii="Lato" w:hAnsi="Lato"/>
              </w:rPr>
              <w:t>10 mln EUR</w:t>
            </w:r>
          </w:p>
        </w:tc>
      </w:tr>
      <w:tr w:rsidR="002C1469" w:rsidRPr="00420ADD" w:rsidTr="00000A21">
        <w:tc>
          <w:tcPr>
            <w:tcW w:w="2880" w:type="dxa"/>
          </w:tcPr>
          <w:p w:rsidR="002C1469" w:rsidRPr="00420ADD" w:rsidRDefault="002C1469" w:rsidP="00000A21">
            <w:pPr>
              <w:rPr>
                <w:rFonts w:ascii="Lato" w:hAnsi="Lato"/>
              </w:rPr>
            </w:pPr>
            <w:r w:rsidRPr="00420ADD">
              <w:rPr>
                <w:rFonts w:ascii="Lato" w:hAnsi="Lato"/>
              </w:rPr>
              <w:t>2022</w:t>
            </w:r>
          </w:p>
        </w:tc>
        <w:tc>
          <w:tcPr>
            <w:tcW w:w="2880" w:type="dxa"/>
          </w:tcPr>
          <w:p w:rsidR="002C1469" w:rsidRPr="00420ADD" w:rsidRDefault="002C1469" w:rsidP="00000A21">
            <w:pPr>
              <w:rPr>
                <w:rFonts w:ascii="Lato" w:hAnsi="Lato"/>
              </w:rPr>
            </w:pPr>
            <w:r w:rsidRPr="00420ADD">
              <w:rPr>
                <w:rFonts w:ascii="Lato" w:hAnsi="Lato"/>
              </w:rPr>
              <w:t>70 mln EUR</w:t>
            </w:r>
          </w:p>
        </w:tc>
        <w:tc>
          <w:tcPr>
            <w:tcW w:w="2880" w:type="dxa"/>
          </w:tcPr>
          <w:p w:rsidR="002C1469" w:rsidRPr="00420ADD" w:rsidRDefault="002C1469" w:rsidP="00000A21">
            <w:pPr>
              <w:rPr>
                <w:rFonts w:ascii="Lato" w:hAnsi="Lato"/>
              </w:rPr>
            </w:pPr>
            <w:r w:rsidRPr="00420ADD">
              <w:rPr>
                <w:rFonts w:ascii="Lato" w:hAnsi="Lato"/>
              </w:rPr>
              <w:t>15 mln EUR</w:t>
            </w:r>
          </w:p>
        </w:tc>
      </w:tr>
      <w:tr w:rsidR="002C1469" w:rsidRPr="00420ADD" w:rsidTr="00000A21">
        <w:tc>
          <w:tcPr>
            <w:tcW w:w="2880" w:type="dxa"/>
          </w:tcPr>
          <w:p w:rsidR="002C1469" w:rsidRPr="00420ADD" w:rsidRDefault="002C1469" w:rsidP="00000A21">
            <w:pPr>
              <w:rPr>
                <w:rFonts w:ascii="Lato" w:hAnsi="Lato"/>
              </w:rPr>
            </w:pPr>
            <w:r w:rsidRPr="00420ADD">
              <w:rPr>
                <w:rFonts w:ascii="Lato" w:hAnsi="Lato"/>
              </w:rPr>
              <w:t>2023</w:t>
            </w:r>
          </w:p>
        </w:tc>
        <w:tc>
          <w:tcPr>
            <w:tcW w:w="2880" w:type="dxa"/>
          </w:tcPr>
          <w:p w:rsidR="002C1469" w:rsidRPr="00420ADD" w:rsidRDefault="002C1469" w:rsidP="00000A21">
            <w:pPr>
              <w:rPr>
                <w:rFonts w:ascii="Lato" w:hAnsi="Lato"/>
              </w:rPr>
            </w:pPr>
            <w:r w:rsidRPr="00420ADD">
              <w:rPr>
                <w:rFonts w:ascii="Lato" w:hAnsi="Lato"/>
              </w:rPr>
              <w:t>90 mln EUR</w:t>
            </w:r>
          </w:p>
        </w:tc>
        <w:tc>
          <w:tcPr>
            <w:tcW w:w="2880" w:type="dxa"/>
          </w:tcPr>
          <w:p w:rsidR="002C1469" w:rsidRPr="00420ADD" w:rsidRDefault="002C1469" w:rsidP="00000A21">
            <w:pPr>
              <w:rPr>
                <w:rFonts w:ascii="Lato" w:hAnsi="Lato"/>
              </w:rPr>
            </w:pPr>
            <w:r w:rsidRPr="00420ADD">
              <w:rPr>
                <w:rFonts w:ascii="Lato" w:hAnsi="Lato"/>
              </w:rPr>
              <w:t>20 mln EUR</w:t>
            </w:r>
          </w:p>
        </w:tc>
      </w:tr>
    </w:tbl>
    <w:p w:rsidR="002C1469" w:rsidRPr="00420ADD" w:rsidRDefault="002C1469" w:rsidP="002C1469">
      <w:pPr>
        <w:rPr>
          <w:rFonts w:ascii="Lato" w:hAnsi="Lato"/>
        </w:rPr>
      </w:pPr>
      <w:r w:rsidRPr="00420ADD">
        <w:rPr>
          <w:rFonts w:ascii="Lato" w:hAnsi="Lato"/>
        </w:rPr>
        <w:br/>
        <w:t>Źródła danych: Agencja Inwestycji Zagranicznych BiH</w:t>
      </w:r>
    </w:p>
    <w:p w:rsidR="002131ED" w:rsidRPr="00725D94" w:rsidRDefault="00826E9B" w:rsidP="002131ED">
      <w:pPr>
        <w:pStyle w:val="NormalnyWeb"/>
        <w:shd w:val="clear" w:color="auto" w:fill="FFFFFF"/>
        <w:spacing w:after="240"/>
        <w:jc w:val="both"/>
        <w:rPr>
          <w:rFonts w:ascii="Lato" w:hAnsi="Lato" w:cs="Segoe UI"/>
          <w:b/>
          <w:color w:val="242424"/>
          <w:sz w:val="22"/>
          <w:szCs w:val="22"/>
        </w:rPr>
      </w:pPr>
      <w:r w:rsidRPr="00725D94">
        <w:rPr>
          <w:rFonts w:ascii="Lato" w:hAnsi="Lato" w:cs="Segoe UI"/>
          <w:b/>
          <w:color w:val="242424"/>
          <w:sz w:val="22"/>
          <w:szCs w:val="22"/>
        </w:rPr>
        <w:t xml:space="preserve">Relacje z UE </w:t>
      </w:r>
    </w:p>
    <w:p w:rsidR="00826E9B" w:rsidRPr="00420ADD" w:rsidRDefault="00826E9B" w:rsidP="00826E9B">
      <w:pPr>
        <w:shd w:val="clear" w:color="auto" w:fill="FFFFFF"/>
        <w:spacing w:after="240" w:line="240" w:lineRule="auto"/>
        <w:rPr>
          <w:rFonts w:ascii="Lato" w:eastAsia="Times New Roman" w:hAnsi="Lato" w:cs="Segoe UI"/>
          <w:color w:val="242424"/>
          <w:lang w:eastAsia="pl-PL"/>
        </w:rPr>
      </w:pPr>
      <w:r w:rsidRPr="00420ADD">
        <w:rPr>
          <w:rFonts w:ascii="Lato" w:eastAsia="Times New Roman" w:hAnsi="Lato" w:cs="Segoe UI"/>
          <w:color w:val="242424"/>
          <w:lang w:eastAsia="pl-PL"/>
        </w:rPr>
        <w:t xml:space="preserve">Relacje Bośni i Hercegowiny (BiH) z Unią Europejską (UE) w latach 2022-2024 można określić jako dynamiczne. </w:t>
      </w:r>
    </w:p>
    <w:p w:rsidR="00826E9B" w:rsidRPr="00420ADD" w:rsidRDefault="00826E9B" w:rsidP="00826E9B">
      <w:pPr>
        <w:shd w:val="clear" w:color="auto" w:fill="FFFFFF"/>
        <w:spacing w:after="240" w:line="240" w:lineRule="auto"/>
        <w:ind w:left="240"/>
        <w:rPr>
          <w:rFonts w:ascii="Lato" w:eastAsia="Times New Roman" w:hAnsi="Lato" w:cs="Segoe UI"/>
          <w:color w:val="242424"/>
          <w:lang w:eastAsia="pl-PL"/>
        </w:rPr>
      </w:pPr>
      <w:r w:rsidRPr="00420ADD">
        <w:rPr>
          <w:rFonts w:ascii="Lato" w:eastAsia="Times New Roman" w:hAnsi="Lato" w:cs="Segoe UI"/>
          <w:b/>
          <w:bCs/>
          <w:color w:val="242424"/>
          <w:lang w:eastAsia="pl-PL"/>
        </w:rPr>
        <w:t>Status kandydata do UE</w:t>
      </w:r>
      <w:r w:rsidRPr="00420ADD">
        <w:rPr>
          <w:rFonts w:ascii="Lato" w:eastAsia="Times New Roman" w:hAnsi="Lato" w:cs="Segoe UI"/>
          <w:color w:val="242424"/>
          <w:lang w:eastAsia="pl-PL"/>
        </w:rPr>
        <w:t>:</w:t>
      </w:r>
    </w:p>
    <w:p w:rsidR="00826E9B" w:rsidRPr="00420ADD"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420ADD">
        <w:rPr>
          <w:rFonts w:ascii="Lato" w:eastAsia="Times New Roman" w:hAnsi="Lato" w:cs="Segoe UI"/>
          <w:color w:val="242424"/>
          <w:u w:val="single"/>
          <w:lang w:eastAsia="pl-PL"/>
        </w:rPr>
        <w:t>W grudniu 2022 roku BiH uzyskała oficjalny status kandydata</w:t>
      </w:r>
      <w:r w:rsidRPr="00420ADD">
        <w:rPr>
          <w:rFonts w:ascii="Lato" w:eastAsia="Times New Roman" w:hAnsi="Lato" w:cs="Segoe UI"/>
          <w:color w:val="242424"/>
          <w:lang w:eastAsia="pl-PL"/>
        </w:rPr>
        <w:t xml:space="preserve"> do UE. Był to kluczowy krok, który spotkał się z pozytywnymi reakcjami zarówno wewnątrz kraju, jak i na arenie międzynarodowej. Status ten został przyznany mimo wewnętrznych podziałów etnopolitycznych i wyzwań związanych z reformami.</w:t>
      </w:r>
    </w:p>
    <w:p w:rsidR="00826E9B" w:rsidRPr="00420ADD"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420ADD">
        <w:rPr>
          <w:rFonts w:ascii="Lato" w:eastAsia="Times New Roman" w:hAnsi="Lato" w:cs="Segoe UI"/>
          <w:b/>
          <w:bCs/>
          <w:color w:val="242424"/>
          <w:lang w:eastAsia="pl-PL"/>
        </w:rPr>
        <w:t>Reformy wewnętrzne</w:t>
      </w:r>
      <w:r w:rsidRPr="00420ADD">
        <w:rPr>
          <w:rFonts w:ascii="Lato" w:eastAsia="Times New Roman" w:hAnsi="Lato" w:cs="Segoe UI"/>
          <w:color w:val="242424"/>
          <w:lang w:eastAsia="pl-PL"/>
        </w:rPr>
        <w:t>:</w:t>
      </w:r>
    </w:p>
    <w:p w:rsidR="00826E9B" w:rsidRPr="00420ADD"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420ADD">
        <w:rPr>
          <w:rFonts w:ascii="Lato" w:eastAsia="Times New Roman" w:hAnsi="Lato" w:cs="Segoe UI"/>
          <w:color w:val="242424"/>
          <w:lang w:eastAsia="pl-PL"/>
        </w:rPr>
        <w:t>UE oczekiwała od BiH przeprowadzenia szeregu reform, w tym zmian w systemie sądownictwa, walki z korupcją oraz poprawy zarządzania granicami. Postępy w tych obszarach były mieszane, z pewnymi sukcesami, ale także znacznymi wyzwaniami, zwłaszcza ze względu na polityczne napięcia wewnętrzne.</w:t>
      </w:r>
    </w:p>
    <w:p w:rsidR="00826E9B" w:rsidRPr="00420ADD"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420ADD">
        <w:rPr>
          <w:rFonts w:ascii="Lato" w:eastAsia="Times New Roman" w:hAnsi="Lato" w:cs="Segoe UI"/>
          <w:b/>
          <w:bCs/>
          <w:color w:val="242424"/>
          <w:lang w:eastAsia="pl-PL"/>
        </w:rPr>
        <w:t>Otwarcie negocjacji akcesyjnych</w:t>
      </w:r>
      <w:r w:rsidRPr="00420ADD">
        <w:rPr>
          <w:rFonts w:ascii="Lato" w:eastAsia="Times New Roman" w:hAnsi="Lato" w:cs="Segoe UI"/>
          <w:color w:val="242424"/>
          <w:lang w:eastAsia="pl-PL"/>
        </w:rPr>
        <w:t>:</w:t>
      </w:r>
    </w:p>
    <w:p w:rsidR="00826E9B" w:rsidRPr="00420ADD"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420ADD">
        <w:rPr>
          <w:rFonts w:ascii="Lato" w:eastAsia="Times New Roman" w:hAnsi="Lato" w:cs="Segoe UI"/>
          <w:color w:val="242424"/>
          <w:u w:val="single"/>
          <w:lang w:eastAsia="pl-PL"/>
        </w:rPr>
        <w:t>W marcu 2024 roku Rada Europejska ogłosiła decyzję o otwarciu negocjacji akcesyjnych z BiH</w:t>
      </w:r>
      <w:r w:rsidRPr="00420ADD">
        <w:rPr>
          <w:rFonts w:ascii="Lato" w:eastAsia="Times New Roman" w:hAnsi="Lato" w:cs="Segoe UI"/>
          <w:color w:val="242424"/>
          <w:lang w:eastAsia="pl-PL"/>
        </w:rPr>
        <w:t>. Było to historyczne wydarzenie, które spotkało się z entuzjastycznymi reakcjami zarówno w BiH, jak i w UE. Decyzja ta była wynikiem postępów BiH w realizacji reform oraz wsparcia ze strony państw członkowskich UE.</w:t>
      </w:r>
    </w:p>
    <w:p w:rsidR="00826E9B" w:rsidRPr="00420ADD"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420ADD">
        <w:rPr>
          <w:rFonts w:ascii="Lato" w:eastAsia="Times New Roman" w:hAnsi="Lato" w:cs="Segoe UI"/>
          <w:b/>
          <w:bCs/>
          <w:color w:val="242424"/>
          <w:lang w:eastAsia="pl-PL"/>
        </w:rPr>
        <w:t>Wyzwania polityczne</w:t>
      </w:r>
      <w:r w:rsidRPr="00420ADD">
        <w:rPr>
          <w:rFonts w:ascii="Lato" w:eastAsia="Times New Roman" w:hAnsi="Lato" w:cs="Segoe UI"/>
          <w:color w:val="242424"/>
          <w:lang w:eastAsia="pl-PL"/>
        </w:rPr>
        <w:t>:</w:t>
      </w:r>
    </w:p>
    <w:p w:rsidR="00826E9B" w:rsidRPr="00420ADD" w:rsidRDefault="00826E9B" w:rsidP="00DC50A1">
      <w:pPr>
        <w:numPr>
          <w:ilvl w:val="1"/>
          <w:numId w:val="11"/>
        </w:numPr>
        <w:shd w:val="clear" w:color="auto" w:fill="FFFFFF"/>
        <w:spacing w:before="100" w:beforeAutospacing="1" w:after="100" w:afterAutospacing="1" w:line="240" w:lineRule="auto"/>
        <w:ind w:left="540"/>
        <w:jc w:val="both"/>
        <w:rPr>
          <w:rFonts w:ascii="Lato" w:eastAsia="Times New Roman" w:hAnsi="Lato" w:cs="Segoe UI"/>
          <w:color w:val="242424"/>
          <w:lang w:eastAsia="pl-PL"/>
        </w:rPr>
      </w:pPr>
      <w:r w:rsidRPr="00420ADD">
        <w:rPr>
          <w:rFonts w:ascii="Lato" w:eastAsia="Times New Roman" w:hAnsi="Lato" w:cs="Segoe UI"/>
          <w:color w:val="242424"/>
          <w:lang w:eastAsia="pl-PL"/>
        </w:rPr>
        <w:lastRenderedPageBreak/>
        <w:t>W trakcie tych lat BiH zmagała się z wewnętrznymi kryzysami politycznymi, w tym z napięciami między różnymi grupami etnicznymi oraz kontrowersjami wokół działań Republiki Serbskiej</w:t>
      </w:r>
      <w:r w:rsidR="00725D94">
        <w:rPr>
          <w:rFonts w:ascii="Lato" w:eastAsia="Times New Roman" w:hAnsi="Lato" w:cs="Segoe UI"/>
          <w:color w:val="242424"/>
          <w:lang w:eastAsia="pl-PL"/>
        </w:rPr>
        <w:t xml:space="preserve"> w kierunku separacji</w:t>
      </w:r>
      <w:r w:rsidRPr="00420ADD">
        <w:rPr>
          <w:rFonts w:ascii="Lato" w:eastAsia="Times New Roman" w:hAnsi="Lato" w:cs="Segoe UI"/>
          <w:color w:val="242424"/>
          <w:lang w:eastAsia="pl-PL"/>
        </w:rPr>
        <w:t xml:space="preserve">. Te wewnętrzne podziały utrudniały realizację </w:t>
      </w:r>
      <w:r w:rsidR="00725D94">
        <w:rPr>
          <w:rFonts w:ascii="Lato" w:eastAsia="Times New Roman" w:hAnsi="Lato" w:cs="Segoe UI"/>
          <w:color w:val="242424"/>
          <w:lang w:eastAsia="pl-PL"/>
        </w:rPr>
        <w:t>większości</w:t>
      </w:r>
      <w:r w:rsidRPr="00420ADD">
        <w:rPr>
          <w:rFonts w:ascii="Lato" w:eastAsia="Times New Roman" w:hAnsi="Lato" w:cs="Segoe UI"/>
          <w:color w:val="242424"/>
          <w:lang w:eastAsia="pl-PL"/>
        </w:rPr>
        <w:t xml:space="preserve"> reform wymaganych przez UE.</w:t>
      </w:r>
    </w:p>
    <w:p w:rsidR="00826E9B" w:rsidRPr="00420ADD" w:rsidRDefault="00826E9B" w:rsidP="00DC50A1">
      <w:pPr>
        <w:shd w:val="clear" w:color="auto" w:fill="FFFFFF"/>
        <w:spacing w:after="240" w:line="240" w:lineRule="auto"/>
        <w:ind w:left="240"/>
        <w:jc w:val="both"/>
        <w:rPr>
          <w:rFonts w:ascii="Lato" w:eastAsia="Times New Roman" w:hAnsi="Lato" w:cs="Segoe UI"/>
          <w:color w:val="242424"/>
          <w:lang w:eastAsia="pl-PL"/>
        </w:rPr>
      </w:pPr>
      <w:r w:rsidRPr="00420ADD">
        <w:rPr>
          <w:rFonts w:ascii="Lato" w:eastAsia="Times New Roman" w:hAnsi="Lato" w:cs="Segoe UI"/>
          <w:b/>
          <w:bCs/>
          <w:color w:val="242424"/>
          <w:lang w:eastAsia="pl-PL"/>
        </w:rPr>
        <w:t>Wsparcie finansowe i techniczne</w:t>
      </w:r>
      <w:r w:rsidR="00E57075" w:rsidRPr="00420ADD">
        <w:rPr>
          <w:rFonts w:ascii="Lato" w:eastAsia="Times New Roman" w:hAnsi="Lato" w:cs="Segoe UI"/>
          <w:b/>
          <w:bCs/>
          <w:color w:val="242424"/>
          <w:lang w:eastAsia="pl-PL"/>
        </w:rPr>
        <w:t xml:space="preserve"> UE dla BiH</w:t>
      </w:r>
    </w:p>
    <w:p w:rsidR="00DC50A1" w:rsidRPr="00420ADD" w:rsidRDefault="00826E9B" w:rsidP="00DC50A1">
      <w:pPr>
        <w:pStyle w:val="Akapitzlist"/>
        <w:numPr>
          <w:ilvl w:val="0"/>
          <w:numId w:val="13"/>
        </w:numPr>
        <w:shd w:val="clear" w:color="auto" w:fill="FFFFFF"/>
        <w:spacing w:before="100" w:beforeAutospacing="1" w:after="240" w:afterAutospacing="1" w:line="240" w:lineRule="auto"/>
        <w:jc w:val="both"/>
        <w:rPr>
          <w:rFonts w:ascii="Lato" w:eastAsia="Times New Roman" w:hAnsi="Lato" w:cs="Segoe UI"/>
          <w:color w:val="242424"/>
          <w:lang w:eastAsia="pl-PL"/>
        </w:rPr>
      </w:pPr>
      <w:r w:rsidRPr="00420ADD">
        <w:rPr>
          <w:rFonts w:ascii="Lato" w:eastAsia="Times New Roman" w:hAnsi="Lato" w:cs="Segoe UI"/>
          <w:color w:val="242424"/>
          <w:lang w:eastAsia="pl-PL"/>
        </w:rPr>
        <w:t>UE kontynuowała wsparcie finansowe i techniczne dla BiH, pomagając w realizacji kluczowych projektów infrastrukturalnych oraz wzmocnieniu instytucji państwowych. Wsparcie to było kluczowe dla postępów BiH na drodze do członkostwa w UE.</w:t>
      </w:r>
      <w:r w:rsidR="00DC50A1" w:rsidRPr="00420ADD">
        <w:rPr>
          <w:rFonts w:ascii="Lato" w:eastAsia="Times New Roman" w:hAnsi="Lato" w:cs="Segoe UI"/>
          <w:color w:val="242424"/>
          <w:lang w:eastAsia="pl-PL"/>
        </w:rPr>
        <w:t xml:space="preserve"> Instrument Pomocy Przedakcesyjnej (IPA III) obejmował szereg działań wspierających Bośnię i Hercegowinę (BiH) w latach 2021-2023. W 2021 roku UE przyznała BiH 73 miliony EUR na projekty związane z energią, transportem, migracją oraz wsparciem instytucji w procesie integracji europejskiej. W grudniu 2022 roku zatwierdzono roczny plan działania IPA na kwotę 45,5 miliona EUR, obejmujący projekty w sektorach takich jak energetyka i transport. W 2023 roku, w ramach pakietu wsparcia energetycznego, UE przyznała 70 milionów EUR na pomoc rodzinom w trudnej sytuacji oraz na poprawę efektywności energetycznej i wsparcie przejścia na czystszą energię. Wsparcie w ramach innych programów obejmowało finansowanie 74 projektów infrastrukturalnych w dziedzinach takich jak środowisko, transport, energia i społeczeństwo, o łącznej wartości 732,6 miliona EUR. Podczas pandemii COVID-19, UE przekazała ponad 95 milionów EUR na łagodzenie skutków kryzysu zdrowotnego i gospodarczego. W 2014 roku, po powodzi, UE przyznała ponad 84 miliony EUR na odbudowę i wsparcie lokalnych społeczności. Od początku kryzysu migracyjnego w 2018 roku, UE przekazała 144 miliony EUR na pomoc uchodźcom i migrantom oraz na wzmocnienie zdolności zarządzania migracjami w BiH.</w:t>
      </w:r>
    </w:p>
    <w:p w:rsidR="00826E9B" w:rsidRPr="00420ADD" w:rsidRDefault="00826E9B" w:rsidP="00DC50A1">
      <w:pPr>
        <w:pStyle w:val="Akapitzlist"/>
        <w:shd w:val="clear" w:color="auto" w:fill="FFFFFF"/>
        <w:spacing w:before="100" w:beforeAutospacing="1" w:after="240" w:afterAutospacing="1" w:line="240" w:lineRule="auto"/>
        <w:ind w:left="360"/>
        <w:jc w:val="both"/>
        <w:rPr>
          <w:rFonts w:ascii="Lato" w:eastAsia="Times New Roman" w:hAnsi="Lato" w:cs="Segoe UI"/>
          <w:color w:val="242424"/>
          <w:lang w:eastAsia="pl-PL"/>
        </w:rPr>
      </w:pPr>
    </w:p>
    <w:p w:rsidR="00DC50A1" w:rsidRPr="00420ADD" w:rsidRDefault="00BF28DA" w:rsidP="00BF28DA">
      <w:pPr>
        <w:shd w:val="clear" w:color="auto" w:fill="FFFFFF"/>
        <w:spacing w:before="100" w:beforeAutospacing="1" w:after="240" w:afterAutospacing="1" w:line="240" w:lineRule="auto"/>
        <w:jc w:val="both"/>
        <w:rPr>
          <w:rFonts w:ascii="Lato" w:eastAsia="Times New Roman" w:hAnsi="Lato" w:cs="Segoe UI"/>
          <w:color w:val="242424"/>
          <w:lang w:eastAsia="pl-PL"/>
        </w:rPr>
      </w:pPr>
      <w:r w:rsidRPr="00420ADD">
        <w:rPr>
          <w:rFonts w:ascii="Lato" w:eastAsia="Times New Roman" w:hAnsi="Lato" w:cs="Segoe UI"/>
          <w:color w:val="242424"/>
          <w:lang w:eastAsia="pl-PL"/>
        </w:rPr>
        <w:t xml:space="preserve">7.3 </w:t>
      </w:r>
    </w:p>
    <w:p w:rsidR="00BF28DA" w:rsidRPr="00E54BF4" w:rsidRDefault="00BC3CCC" w:rsidP="00BF28DA">
      <w:pPr>
        <w:spacing w:before="100" w:beforeAutospacing="1" w:after="100" w:afterAutospacing="1" w:line="300" w:lineRule="atLeast"/>
        <w:rPr>
          <w:rFonts w:ascii="Lato" w:eastAsia="Times New Roman" w:hAnsi="Lato" w:cs="Segoe UI"/>
          <w:b/>
          <w:lang w:eastAsia="pl-PL"/>
        </w:rPr>
      </w:pPr>
      <w:r w:rsidRPr="00E54BF4">
        <w:rPr>
          <w:rFonts w:ascii="Lato" w:eastAsia="Times New Roman" w:hAnsi="Lato" w:cs="Segoe UI"/>
          <w:b/>
          <w:lang w:eastAsia="pl-PL"/>
        </w:rPr>
        <w:t xml:space="preserve">Baza traktatowa Polska – BiH </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gospodarczej</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turystyki</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kultury, nauki i edukacji</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ochrony środowiska</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lastRenderedPageBreak/>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zdrowia</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rolnictwa</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transportu</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energetyki</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bezpieczeństwa</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nauki i technologii</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informacji i komunikacji</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ochrony dziedzictwa kulturowego</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sportu</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lastRenderedPageBreak/>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młodzieży</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turystyki</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ochrony zdrowia</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ochrony środowiska</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rolnictwa</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p>
    <w:p w:rsidR="00BF28DA" w:rsidRPr="00420ADD" w:rsidRDefault="00BF28DA" w:rsidP="00BF28DA">
      <w:pPr>
        <w:numPr>
          <w:ilvl w:val="0"/>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b/>
          <w:bCs/>
          <w:lang w:eastAsia="pl-PL"/>
        </w:rPr>
        <w:t>Umowa między Rządem Rzeczypospolitej Polskiej a Radą Ministrów Bośni i Hercegowiny o współpracy w dziedzinie transportu</w:t>
      </w:r>
      <w:r w:rsidRPr="00420ADD">
        <w:rPr>
          <w:rFonts w:ascii="Lato" w:eastAsia="Times New Roman" w:hAnsi="Lato" w:cs="Segoe UI"/>
          <w:lang w:eastAsia="pl-PL"/>
        </w:rPr>
        <w:t>:</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podpisania: 2004-06-22</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Miejsce podpisania: Warszawa</w:t>
      </w:r>
    </w:p>
    <w:p w:rsidR="00BF28DA" w:rsidRPr="00420ADD" w:rsidRDefault="00BF28DA" w:rsidP="00BF28DA">
      <w:pPr>
        <w:numPr>
          <w:ilvl w:val="1"/>
          <w:numId w:val="14"/>
        </w:numPr>
        <w:spacing w:before="100" w:beforeAutospacing="1" w:after="100" w:afterAutospacing="1" w:line="300" w:lineRule="atLeast"/>
        <w:rPr>
          <w:rFonts w:ascii="Lato" w:eastAsia="Times New Roman" w:hAnsi="Lato" w:cs="Segoe UI"/>
          <w:lang w:eastAsia="pl-PL"/>
        </w:rPr>
      </w:pPr>
      <w:r w:rsidRPr="00420ADD">
        <w:rPr>
          <w:rFonts w:ascii="Lato" w:eastAsia="Times New Roman" w:hAnsi="Lato" w:cs="Segoe UI"/>
          <w:lang w:eastAsia="pl-PL"/>
        </w:rPr>
        <w:t>Data wejścia w życie: 2005-01-01</w:t>
      </w:r>
      <w:bookmarkStart w:id="0" w:name="_GoBack"/>
      <w:bookmarkEnd w:id="0"/>
    </w:p>
    <w:p w:rsidR="00BF28DA" w:rsidRPr="00420ADD" w:rsidRDefault="00E54BF4" w:rsidP="00BF28DA">
      <w:pPr>
        <w:shd w:val="clear" w:color="auto" w:fill="FFFFFF"/>
        <w:spacing w:before="100" w:beforeAutospacing="1" w:after="240" w:afterAutospacing="1" w:line="240" w:lineRule="auto"/>
        <w:jc w:val="both"/>
        <w:rPr>
          <w:rFonts w:ascii="Lato" w:eastAsia="Times New Roman" w:hAnsi="Lato" w:cs="Segoe UI"/>
          <w:color w:val="242424"/>
          <w:lang w:eastAsia="pl-PL"/>
        </w:rPr>
      </w:pPr>
      <w:r>
        <w:rPr>
          <w:rFonts w:ascii="Lato" w:eastAsia="Times New Roman" w:hAnsi="Lato" w:cs="Segoe UI"/>
          <w:color w:val="242424"/>
          <w:lang w:eastAsia="pl-PL"/>
        </w:rPr>
        <w:t xml:space="preserve">Aktualizacja: grudzień 2024 </w:t>
      </w:r>
    </w:p>
    <w:sectPr w:rsidR="00BF28DA" w:rsidRPr="00420A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B2" w:rsidRDefault="00F927B2" w:rsidP="00321A0F">
      <w:pPr>
        <w:spacing w:after="0" w:line="240" w:lineRule="auto"/>
      </w:pPr>
      <w:r>
        <w:separator/>
      </w:r>
    </w:p>
  </w:endnote>
  <w:endnote w:type="continuationSeparator" w:id="0">
    <w:p w:rsidR="00F927B2" w:rsidRDefault="00F927B2" w:rsidP="0032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B2" w:rsidRDefault="00F927B2" w:rsidP="00321A0F">
      <w:pPr>
        <w:spacing w:after="0" w:line="240" w:lineRule="auto"/>
      </w:pPr>
      <w:r>
        <w:separator/>
      </w:r>
    </w:p>
  </w:footnote>
  <w:footnote w:type="continuationSeparator" w:id="0">
    <w:p w:rsidR="00F927B2" w:rsidRDefault="00F927B2" w:rsidP="00321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459"/>
    <w:multiLevelType w:val="multilevel"/>
    <w:tmpl w:val="339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F7DC0"/>
    <w:multiLevelType w:val="multilevel"/>
    <w:tmpl w:val="FE5EE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C3015"/>
    <w:multiLevelType w:val="hybridMultilevel"/>
    <w:tmpl w:val="9D347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7D2434"/>
    <w:multiLevelType w:val="multilevel"/>
    <w:tmpl w:val="4E36D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72E73"/>
    <w:multiLevelType w:val="hybridMultilevel"/>
    <w:tmpl w:val="AB8C9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7A765F"/>
    <w:multiLevelType w:val="multilevel"/>
    <w:tmpl w:val="C27C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D1932"/>
    <w:multiLevelType w:val="multilevel"/>
    <w:tmpl w:val="A44C6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866343"/>
    <w:multiLevelType w:val="multilevel"/>
    <w:tmpl w:val="ED8CC50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EE7292"/>
    <w:multiLevelType w:val="hybridMultilevel"/>
    <w:tmpl w:val="25D02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27692E"/>
    <w:multiLevelType w:val="multilevel"/>
    <w:tmpl w:val="9B66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F4E66"/>
    <w:multiLevelType w:val="hybridMultilevel"/>
    <w:tmpl w:val="C4D0D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1F252C"/>
    <w:multiLevelType w:val="hybridMultilevel"/>
    <w:tmpl w:val="983831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740827E5"/>
    <w:multiLevelType w:val="multilevel"/>
    <w:tmpl w:val="69F8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26120"/>
    <w:multiLevelType w:val="hybridMultilevel"/>
    <w:tmpl w:val="94CE1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2"/>
  </w:num>
  <w:num w:numId="5">
    <w:abstractNumId w:val="4"/>
  </w:num>
  <w:num w:numId="6">
    <w:abstractNumId w:val="10"/>
  </w:num>
  <w:num w:numId="7">
    <w:abstractNumId w:val="8"/>
  </w:num>
  <w:num w:numId="8">
    <w:abstractNumId w:val="12"/>
  </w:num>
  <w:num w:numId="9">
    <w:abstractNumId w:val="5"/>
  </w:num>
  <w:num w:numId="10">
    <w:abstractNumId w:val="1"/>
  </w:num>
  <w:num w:numId="11">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abstractNumId w:val="13"/>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30"/>
    <w:rsid w:val="00026C58"/>
    <w:rsid w:val="0008235C"/>
    <w:rsid w:val="000A7E63"/>
    <w:rsid w:val="000D5FEC"/>
    <w:rsid w:val="000E6F47"/>
    <w:rsid w:val="00150ADD"/>
    <w:rsid w:val="001C521A"/>
    <w:rsid w:val="002131ED"/>
    <w:rsid w:val="002948D6"/>
    <w:rsid w:val="002B46DA"/>
    <w:rsid w:val="002C1469"/>
    <w:rsid w:val="003015A7"/>
    <w:rsid w:val="00321A0F"/>
    <w:rsid w:val="00345D29"/>
    <w:rsid w:val="00370C43"/>
    <w:rsid w:val="003B02C8"/>
    <w:rsid w:val="003E722A"/>
    <w:rsid w:val="00420ADD"/>
    <w:rsid w:val="0046451D"/>
    <w:rsid w:val="00467186"/>
    <w:rsid w:val="004726AC"/>
    <w:rsid w:val="004B615C"/>
    <w:rsid w:val="00501922"/>
    <w:rsid w:val="0050504E"/>
    <w:rsid w:val="005D78B1"/>
    <w:rsid w:val="005E56E2"/>
    <w:rsid w:val="00607D6C"/>
    <w:rsid w:val="0064390E"/>
    <w:rsid w:val="00725D94"/>
    <w:rsid w:val="007638E8"/>
    <w:rsid w:val="007B42F3"/>
    <w:rsid w:val="007B6294"/>
    <w:rsid w:val="007C68FB"/>
    <w:rsid w:val="007D5674"/>
    <w:rsid w:val="00826E9B"/>
    <w:rsid w:val="00843FCC"/>
    <w:rsid w:val="008F14B8"/>
    <w:rsid w:val="00960B52"/>
    <w:rsid w:val="00973561"/>
    <w:rsid w:val="009A4E79"/>
    <w:rsid w:val="009B7BD1"/>
    <w:rsid w:val="009F1EA3"/>
    <w:rsid w:val="00A17C8E"/>
    <w:rsid w:val="00A74C90"/>
    <w:rsid w:val="00AA1713"/>
    <w:rsid w:val="00AA4C78"/>
    <w:rsid w:val="00AE3880"/>
    <w:rsid w:val="00B2540D"/>
    <w:rsid w:val="00B26A24"/>
    <w:rsid w:val="00B27449"/>
    <w:rsid w:val="00B80D12"/>
    <w:rsid w:val="00BC3CCC"/>
    <w:rsid w:val="00BE10B8"/>
    <w:rsid w:val="00BF28DA"/>
    <w:rsid w:val="00BF29F6"/>
    <w:rsid w:val="00D46B15"/>
    <w:rsid w:val="00D542BC"/>
    <w:rsid w:val="00D6707B"/>
    <w:rsid w:val="00D70602"/>
    <w:rsid w:val="00DB3C33"/>
    <w:rsid w:val="00DC50A1"/>
    <w:rsid w:val="00DF2A9F"/>
    <w:rsid w:val="00E33B4F"/>
    <w:rsid w:val="00E41F5E"/>
    <w:rsid w:val="00E54BF4"/>
    <w:rsid w:val="00E57075"/>
    <w:rsid w:val="00E64DAC"/>
    <w:rsid w:val="00E91876"/>
    <w:rsid w:val="00F6041A"/>
    <w:rsid w:val="00F927B2"/>
    <w:rsid w:val="00FB0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E686"/>
  <w15:chartTrackingRefBased/>
  <w15:docId w15:val="{91EA54D0-48E9-4104-9682-F72AC194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60B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Nagwek3">
    <w:name w:val="heading 3"/>
    <w:basedOn w:val="Normalny"/>
    <w:next w:val="Normalny"/>
    <w:link w:val="Nagwek3Znak"/>
    <w:uiPriority w:val="9"/>
    <w:semiHidden/>
    <w:unhideWhenUsed/>
    <w:qFormat/>
    <w:rsid w:val="00960B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Numerowanie,Kolorowa lista — akcent 11,Akapit z listą1,Akapit z listą11,Numbered Para 1,No Spacing1,List Paragraph Char Char Char,Indicator Text,2,3,L"/>
    <w:basedOn w:val="Normalny"/>
    <w:link w:val="AkapitzlistZnak"/>
    <w:uiPriority w:val="34"/>
    <w:qFormat/>
    <w:rsid w:val="00FB0530"/>
    <w:pPr>
      <w:ind w:left="720"/>
      <w:contextualSpacing/>
    </w:pPr>
  </w:style>
  <w:style w:type="paragraph" w:styleId="NormalnyWeb">
    <w:name w:val="Normal (Web)"/>
    <w:basedOn w:val="Normalny"/>
    <w:uiPriority w:val="99"/>
    <w:unhideWhenUsed/>
    <w:rsid w:val="00FB05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21A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1A0F"/>
    <w:rPr>
      <w:sz w:val="20"/>
      <w:szCs w:val="20"/>
    </w:rPr>
  </w:style>
  <w:style w:type="character" w:styleId="Odwoanieprzypisukocowego">
    <w:name w:val="endnote reference"/>
    <w:basedOn w:val="Domylnaczcionkaakapitu"/>
    <w:uiPriority w:val="99"/>
    <w:semiHidden/>
    <w:unhideWhenUsed/>
    <w:rsid w:val="00321A0F"/>
    <w:rPr>
      <w:vertAlign w:val="superscript"/>
    </w:rPr>
  </w:style>
  <w:style w:type="table" w:styleId="Tabela-Siatka">
    <w:name w:val="Table Grid"/>
    <w:basedOn w:val="Standardowy"/>
    <w:uiPriority w:val="39"/>
    <w:rsid w:val="00A17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17C8E"/>
    <w:rPr>
      <w:color w:val="0563C1" w:themeColor="hyperlink"/>
      <w:u w:val="single"/>
    </w:rPr>
  </w:style>
  <w:style w:type="character" w:styleId="Pogrubienie">
    <w:name w:val="Strong"/>
    <w:basedOn w:val="Domylnaczcionkaakapitu"/>
    <w:uiPriority w:val="22"/>
    <w:qFormat/>
    <w:rsid w:val="00E41F5E"/>
    <w:rPr>
      <w:b/>
      <w:bCs/>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Akapit z listą11 Znak,Numbered Para 1 Znak"/>
    <w:basedOn w:val="Domylnaczcionkaakapitu"/>
    <w:link w:val="Akapitzlist"/>
    <w:uiPriority w:val="34"/>
    <w:qFormat/>
    <w:locked/>
    <w:rsid w:val="00B26A24"/>
  </w:style>
  <w:style w:type="character" w:customStyle="1" w:styleId="Nagwek1Znak">
    <w:name w:val="Nagłówek 1 Znak"/>
    <w:basedOn w:val="Domylnaczcionkaakapitu"/>
    <w:link w:val="Nagwek1"/>
    <w:uiPriority w:val="9"/>
    <w:rsid w:val="00960B52"/>
    <w:rPr>
      <w:rFonts w:asciiTheme="majorHAnsi" w:eastAsiaTheme="majorEastAsia" w:hAnsiTheme="majorHAnsi" w:cstheme="majorBidi"/>
      <w:b/>
      <w:bCs/>
      <w:color w:val="2E74B5" w:themeColor="accent1" w:themeShade="BF"/>
      <w:sz w:val="28"/>
      <w:szCs w:val="28"/>
      <w:lang w:val="en-US"/>
    </w:rPr>
  </w:style>
  <w:style w:type="character" w:customStyle="1" w:styleId="Nagwek3Znak">
    <w:name w:val="Nagłówek 3 Znak"/>
    <w:basedOn w:val="Domylnaczcionkaakapitu"/>
    <w:link w:val="Nagwek3"/>
    <w:uiPriority w:val="9"/>
    <w:semiHidden/>
    <w:rsid w:val="00960B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4516">
      <w:bodyDiv w:val="1"/>
      <w:marLeft w:val="0"/>
      <w:marRight w:val="0"/>
      <w:marTop w:val="0"/>
      <w:marBottom w:val="0"/>
      <w:divBdr>
        <w:top w:val="none" w:sz="0" w:space="0" w:color="auto"/>
        <w:left w:val="none" w:sz="0" w:space="0" w:color="auto"/>
        <w:bottom w:val="none" w:sz="0" w:space="0" w:color="auto"/>
        <w:right w:val="none" w:sz="0" w:space="0" w:color="auto"/>
      </w:divBdr>
    </w:div>
    <w:div w:id="413749574">
      <w:bodyDiv w:val="1"/>
      <w:marLeft w:val="0"/>
      <w:marRight w:val="0"/>
      <w:marTop w:val="0"/>
      <w:marBottom w:val="0"/>
      <w:divBdr>
        <w:top w:val="none" w:sz="0" w:space="0" w:color="auto"/>
        <w:left w:val="none" w:sz="0" w:space="0" w:color="auto"/>
        <w:bottom w:val="none" w:sz="0" w:space="0" w:color="auto"/>
        <w:right w:val="none" w:sz="0" w:space="0" w:color="auto"/>
      </w:divBdr>
    </w:div>
    <w:div w:id="457260084">
      <w:bodyDiv w:val="1"/>
      <w:marLeft w:val="0"/>
      <w:marRight w:val="0"/>
      <w:marTop w:val="0"/>
      <w:marBottom w:val="0"/>
      <w:divBdr>
        <w:top w:val="none" w:sz="0" w:space="0" w:color="auto"/>
        <w:left w:val="none" w:sz="0" w:space="0" w:color="auto"/>
        <w:bottom w:val="none" w:sz="0" w:space="0" w:color="auto"/>
        <w:right w:val="none" w:sz="0" w:space="0" w:color="auto"/>
      </w:divBdr>
    </w:div>
    <w:div w:id="558831530">
      <w:bodyDiv w:val="1"/>
      <w:marLeft w:val="0"/>
      <w:marRight w:val="0"/>
      <w:marTop w:val="0"/>
      <w:marBottom w:val="0"/>
      <w:divBdr>
        <w:top w:val="none" w:sz="0" w:space="0" w:color="auto"/>
        <w:left w:val="none" w:sz="0" w:space="0" w:color="auto"/>
        <w:bottom w:val="none" w:sz="0" w:space="0" w:color="auto"/>
        <w:right w:val="none" w:sz="0" w:space="0" w:color="auto"/>
      </w:divBdr>
      <w:divsChild>
        <w:div w:id="345327850">
          <w:marLeft w:val="0"/>
          <w:marRight w:val="0"/>
          <w:marTop w:val="0"/>
          <w:marBottom w:val="0"/>
          <w:divBdr>
            <w:top w:val="none" w:sz="0" w:space="0" w:color="auto"/>
            <w:left w:val="none" w:sz="0" w:space="0" w:color="auto"/>
            <w:bottom w:val="none" w:sz="0" w:space="0" w:color="auto"/>
            <w:right w:val="none" w:sz="0" w:space="0" w:color="auto"/>
          </w:divBdr>
        </w:div>
        <w:div w:id="1171026089">
          <w:marLeft w:val="0"/>
          <w:marRight w:val="0"/>
          <w:marTop w:val="0"/>
          <w:marBottom w:val="0"/>
          <w:divBdr>
            <w:top w:val="none" w:sz="0" w:space="0" w:color="auto"/>
            <w:left w:val="none" w:sz="0" w:space="0" w:color="auto"/>
            <w:bottom w:val="none" w:sz="0" w:space="0" w:color="auto"/>
            <w:right w:val="none" w:sz="0" w:space="0" w:color="auto"/>
          </w:divBdr>
        </w:div>
      </w:divsChild>
    </w:div>
    <w:div w:id="586228460">
      <w:bodyDiv w:val="1"/>
      <w:marLeft w:val="0"/>
      <w:marRight w:val="0"/>
      <w:marTop w:val="0"/>
      <w:marBottom w:val="0"/>
      <w:divBdr>
        <w:top w:val="none" w:sz="0" w:space="0" w:color="auto"/>
        <w:left w:val="none" w:sz="0" w:space="0" w:color="auto"/>
        <w:bottom w:val="none" w:sz="0" w:space="0" w:color="auto"/>
        <w:right w:val="none" w:sz="0" w:space="0" w:color="auto"/>
      </w:divBdr>
    </w:div>
    <w:div w:id="590939386">
      <w:bodyDiv w:val="1"/>
      <w:marLeft w:val="0"/>
      <w:marRight w:val="0"/>
      <w:marTop w:val="0"/>
      <w:marBottom w:val="0"/>
      <w:divBdr>
        <w:top w:val="none" w:sz="0" w:space="0" w:color="auto"/>
        <w:left w:val="none" w:sz="0" w:space="0" w:color="auto"/>
        <w:bottom w:val="none" w:sz="0" w:space="0" w:color="auto"/>
        <w:right w:val="none" w:sz="0" w:space="0" w:color="auto"/>
      </w:divBdr>
      <w:divsChild>
        <w:div w:id="1830175210">
          <w:marLeft w:val="0"/>
          <w:marRight w:val="0"/>
          <w:marTop w:val="0"/>
          <w:marBottom w:val="0"/>
          <w:divBdr>
            <w:top w:val="none" w:sz="0" w:space="0" w:color="auto"/>
            <w:left w:val="none" w:sz="0" w:space="0" w:color="auto"/>
            <w:bottom w:val="none" w:sz="0" w:space="0" w:color="auto"/>
            <w:right w:val="none" w:sz="0" w:space="0" w:color="auto"/>
          </w:divBdr>
        </w:div>
        <w:div w:id="973411923">
          <w:marLeft w:val="0"/>
          <w:marRight w:val="0"/>
          <w:marTop w:val="0"/>
          <w:marBottom w:val="0"/>
          <w:divBdr>
            <w:top w:val="none" w:sz="0" w:space="0" w:color="auto"/>
            <w:left w:val="none" w:sz="0" w:space="0" w:color="auto"/>
            <w:bottom w:val="none" w:sz="0" w:space="0" w:color="auto"/>
            <w:right w:val="none" w:sz="0" w:space="0" w:color="auto"/>
          </w:divBdr>
        </w:div>
        <w:div w:id="2031299361">
          <w:marLeft w:val="0"/>
          <w:marRight w:val="0"/>
          <w:marTop w:val="0"/>
          <w:marBottom w:val="0"/>
          <w:divBdr>
            <w:top w:val="none" w:sz="0" w:space="0" w:color="auto"/>
            <w:left w:val="none" w:sz="0" w:space="0" w:color="auto"/>
            <w:bottom w:val="none" w:sz="0" w:space="0" w:color="auto"/>
            <w:right w:val="none" w:sz="0" w:space="0" w:color="auto"/>
          </w:divBdr>
        </w:div>
      </w:divsChild>
    </w:div>
    <w:div w:id="638535207">
      <w:bodyDiv w:val="1"/>
      <w:marLeft w:val="0"/>
      <w:marRight w:val="0"/>
      <w:marTop w:val="0"/>
      <w:marBottom w:val="0"/>
      <w:divBdr>
        <w:top w:val="none" w:sz="0" w:space="0" w:color="auto"/>
        <w:left w:val="none" w:sz="0" w:space="0" w:color="auto"/>
        <w:bottom w:val="none" w:sz="0" w:space="0" w:color="auto"/>
        <w:right w:val="none" w:sz="0" w:space="0" w:color="auto"/>
      </w:divBdr>
      <w:divsChild>
        <w:div w:id="152333145">
          <w:marLeft w:val="0"/>
          <w:marRight w:val="0"/>
          <w:marTop w:val="0"/>
          <w:marBottom w:val="0"/>
          <w:divBdr>
            <w:top w:val="none" w:sz="0" w:space="0" w:color="auto"/>
            <w:left w:val="none" w:sz="0" w:space="0" w:color="auto"/>
            <w:bottom w:val="none" w:sz="0" w:space="0" w:color="auto"/>
            <w:right w:val="none" w:sz="0" w:space="0" w:color="auto"/>
          </w:divBdr>
        </w:div>
        <w:div w:id="1712992960">
          <w:marLeft w:val="0"/>
          <w:marRight w:val="0"/>
          <w:marTop w:val="0"/>
          <w:marBottom w:val="0"/>
          <w:divBdr>
            <w:top w:val="none" w:sz="0" w:space="0" w:color="auto"/>
            <w:left w:val="none" w:sz="0" w:space="0" w:color="auto"/>
            <w:bottom w:val="none" w:sz="0" w:space="0" w:color="auto"/>
            <w:right w:val="none" w:sz="0" w:space="0" w:color="auto"/>
          </w:divBdr>
        </w:div>
        <w:div w:id="147793058">
          <w:marLeft w:val="0"/>
          <w:marRight w:val="0"/>
          <w:marTop w:val="0"/>
          <w:marBottom w:val="0"/>
          <w:divBdr>
            <w:top w:val="none" w:sz="0" w:space="0" w:color="auto"/>
            <w:left w:val="none" w:sz="0" w:space="0" w:color="auto"/>
            <w:bottom w:val="none" w:sz="0" w:space="0" w:color="auto"/>
            <w:right w:val="none" w:sz="0" w:space="0" w:color="auto"/>
          </w:divBdr>
        </w:div>
        <w:div w:id="2118602209">
          <w:marLeft w:val="0"/>
          <w:marRight w:val="0"/>
          <w:marTop w:val="0"/>
          <w:marBottom w:val="0"/>
          <w:divBdr>
            <w:top w:val="none" w:sz="0" w:space="0" w:color="auto"/>
            <w:left w:val="none" w:sz="0" w:space="0" w:color="auto"/>
            <w:bottom w:val="none" w:sz="0" w:space="0" w:color="auto"/>
            <w:right w:val="none" w:sz="0" w:space="0" w:color="auto"/>
          </w:divBdr>
        </w:div>
        <w:div w:id="1379622549">
          <w:marLeft w:val="0"/>
          <w:marRight w:val="0"/>
          <w:marTop w:val="0"/>
          <w:marBottom w:val="0"/>
          <w:divBdr>
            <w:top w:val="none" w:sz="0" w:space="0" w:color="auto"/>
            <w:left w:val="none" w:sz="0" w:space="0" w:color="auto"/>
            <w:bottom w:val="none" w:sz="0" w:space="0" w:color="auto"/>
            <w:right w:val="none" w:sz="0" w:space="0" w:color="auto"/>
          </w:divBdr>
        </w:div>
        <w:div w:id="299068785">
          <w:marLeft w:val="0"/>
          <w:marRight w:val="0"/>
          <w:marTop w:val="0"/>
          <w:marBottom w:val="0"/>
          <w:divBdr>
            <w:top w:val="none" w:sz="0" w:space="0" w:color="auto"/>
            <w:left w:val="none" w:sz="0" w:space="0" w:color="auto"/>
            <w:bottom w:val="none" w:sz="0" w:space="0" w:color="auto"/>
            <w:right w:val="none" w:sz="0" w:space="0" w:color="auto"/>
          </w:divBdr>
        </w:div>
        <w:div w:id="1032658207">
          <w:marLeft w:val="0"/>
          <w:marRight w:val="0"/>
          <w:marTop w:val="0"/>
          <w:marBottom w:val="0"/>
          <w:divBdr>
            <w:top w:val="none" w:sz="0" w:space="0" w:color="auto"/>
            <w:left w:val="none" w:sz="0" w:space="0" w:color="auto"/>
            <w:bottom w:val="none" w:sz="0" w:space="0" w:color="auto"/>
            <w:right w:val="none" w:sz="0" w:space="0" w:color="auto"/>
          </w:divBdr>
        </w:div>
        <w:div w:id="1156727572">
          <w:marLeft w:val="0"/>
          <w:marRight w:val="0"/>
          <w:marTop w:val="0"/>
          <w:marBottom w:val="0"/>
          <w:divBdr>
            <w:top w:val="none" w:sz="0" w:space="0" w:color="auto"/>
            <w:left w:val="none" w:sz="0" w:space="0" w:color="auto"/>
            <w:bottom w:val="none" w:sz="0" w:space="0" w:color="auto"/>
            <w:right w:val="none" w:sz="0" w:space="0" w:color="auto"/>
          </w:divBdr>
        </w:div>
        <w:div w:id="1731154855">
          <w:marLeft w:val="0"/>
          <w:marRight w:val="0"/>
          <w:marTop w:val="0"/>
          <w:marBottom w:val="0"/>
          <w:divBdr>
            <w:top w:val="none" w:sz="0" w:space="0" w:color="auto"/>
            <w:left w:val="none" w:sz="0" w:space="0" w:color="auto"/>
            <w:bottom w:val="none" w:sz="0" w:space="0" w:color="auto"/>
            <w:right w:val="none" w:sz="0" w:space="0" w:color="auto"/>
          </w:divBdr>
        </w:div>
        <w:div w:id="1365790601">
          <w:marLeft w:val="0"/>
          <w:marRight w:val="0"/>
          <w:marTop w:val="0"/>
          <w:marBottom w:val="0"/>
          <w:divBdr>
            <w:top w:val="none" w:sz="0" w:space="0" w:color="auto"/>
            <w:left w:val="none" w:sz="0" w:space="0" w:color="auto"/>
            <w:bottom w:val="none" w:sz="0" w:space="0" w:color="auto"/>
            <w:right w:val="none" w:sz="0" w:space="0" w:color="auto"/>
          </w:divBdr>
        </w:div>
        <w:div w:id="1367758323">
          <w:marLeft w:val="0"/>
          <w:marRight w:val="0"/>
          <w:marTop w:val="0"/>
          <w:marBottom w:val="0"/>
          <w:divBdr>
            <w:top w:val="none" w:sz="0" w:space="0" w:color="auto"/>
            <w:left w:val="none" w:sz="0" w:space="0" w:color="auto"/>
            <w:bottom w:val="none" w:sz="0" w:space="0" w:color="auto"/>
            <w:right w:val="none" w:sz="0" w:space="0" w:color="auto"/>
          </w:divBdr>
        </w:div>
        <w:div w:id="2043896506">
          <w:marLeft w:val="0"/>
          <w:marRight w:val="0"/>
          <w:marTop w:val="0"/>
          <w:marBottom w:val="0"/>
          <w:divBdr>
            <w:top w:val="none" w:sz="0" w:space="0" w:color="auto"/>
            <w:left w:val="none" w:sz="0" w:space="0" w:color="auto"/>
            <w:bottom w:val="none" w:sz="0" w:space="0" w:color="auto"/>
            <w:right w:val="none" w:sz="0" w:space="0" w:color="auto"/>
          </w:divBdr>
        </w:div>
      </w:divsChild>
    </w:div>
    <w:div w:id="678964562">
      <w:bodyDiv w:val="1"/>
      <w:marLeft w:val="0"/>
      <w:marRight w:val="0"/>
      <w:marTop w:val="0"/>
      <w:marBottom w:val="0"/>
      <w:divBdr>
        <w:top w:val="none" w:sz="0" w:space="0" w:color="auto"/>
        <w:left w:val="none" w:sz="0" w:space="0" w:color="auto"/>
        <w:bottom w:val="none" w:sz="0" w:space="0" w:color="auto"/>
        <w:right w:val="none" w:sz="0" w:space="0" w:color="auto"/>
      </w:divBdr>
    </w:div>
    <w:div w:id="705132550">
      <w:bodyDiv w:val="1"/>
      <w:marLeft w:val="0"/>
      <w:marRight w:val="0"/>
      <w:marTop w:val="0"/>
      <w:marBottom w:val="0"/>
      <w:divBdr>
        <w:top w:val="none" w:sz="0" w:space="0" w:color="auto"/>
        <w:left w:val="none" w:sz="0" w:space="0" w:color="auto"/>
        <w:bottom w:val="none" w:sz="0" w:space="0" w:color="auto"/>
        <w:right w:val="none" w:sz="0" w:space="0" w:color="auto"/>
      </w:divBdr>
      <w:divsChild>
        <w:div w:id="428701979">
          <w:marLeft w:val="0"/>
          <w:marRight w:val="0"/>
          <w:marTop w:val="0"/>
          <w:marBottom w:val="0"/>
          <w:divBdr>
            <w:top w:val="none" w:sz="0" w:space="0" w:color="auto"/>
            <w:left w:val="none" w:sz="0" w:space="0" w:color="auto"/>
            <w:bottom w:val="none" w:sz="0" w:space="0" w:color="auto"/>
            <w:right w:val="none" w:sz="0" w:space="0" w:color="auto"/>
          </w:divBdr>
        </w:div>
      </w:divsChild>
    </w:div>
    <w:div w:id="746151083">
      <w:bodyDiv w:val="1"/>
      <w:marLeft w:val="0"/>
      <w:marRight w:val="0"/>
      <w:marTop w:val="0"/>
      <w:marBottom w:val="0"/>
      <w:divBdr>
        <w:top w:val="none" w:sz="0" w:space="0" w:color="auto"/>
        <w:left w:val="none" w:sz="0" w:space="0" w:color="auto"/>
        <w:bottom w:val="none" w:sz="0" w:space="0" w:color="auto"/>
        <w:right w:val="none" w:sz="0" w:space="0" w:color="auto"/>
      </w:divBdr>
    </w:div>
    <w:div w:id="778180646">
      <w:bodyDiv w:val="1"/>
      <w:marLeft w:val="0"/>
      <w:marRight w:val="0"/>
      <w:marTop w:val="0"/>
      <w:marBottom w:val="0"/>
      <w:divBdr>
        <w:top w:val="none" w:sz="0" w:space="0" w:color="auto"/>
        <w:left w:val="none" w:sz="0" w:space="0" w:color="auto"/>
        <w:bottom w:val="none" w:sz="0" w:space="0" w:color="auto"/>
        <w:right w:val="none" w:sz="0" w:space="0" w:color="auto"/>
      </w:divBdr>
    </w:div>
    <w:div w:id="964846610">
      <w:bodyDiv w:val="1"/>
      <w:marLeft w:val="0"/>
      <w:marRight w:val="0"/>
      <w:marTop w:val="0"/>
      <w:marBottom w:val="0"/>
      <w:divBdr>
        <w:top w:val="none" w:sz="0" w:space="0" w:color="auto"/>
        <w:left w:val="none" w:sz="0" w:space="0" w:color="auto"/>
        <w:bottom w:val="none" w:sz="0" w:space="0" w:color="auto"/>
        <w:right w:val="none" w:sz="0" w:space="0" w:color="auto"/>
      </w:divBdr>
    </w:div>
    <w:div w:id="1225484476">
      <w:bodyDiv w:val="1"/>
      <w:marLeft w:val="0"/>
      <w:marRight w:val="0"/>
      <w:marTop w:val="0"/>
      <w:marBottom w:val="0"/>
      <w:divBdr>
        <w:top w:val="none" w:sz="0" w:space="0" w:color="auto"/>
        <w:left w:val="none" w:sz="0" w:space="0" w:color="auto"/>
        <w:bottom w:val="none" w:sz="0" w:space="0" w:color="auto"/>
        <w:right w:val="none" w:sz="0" w:space="0" w:color="auto"/>
      </w:divBdr>
    </w:div>
    <w:div w:id="1409498939">
      <w:bodyDiv w:val="1"/>
      <w:marLeft w:val="0"/>
      <w:marRight w:val="0"/>
      <w:marTop w:val="0"/>
      <w:marBottom w:val="0"/>
      <w:divBdr>
        <w:top w:val="none" w:sz="0" w:space="0" w:color="auto"/>
        <w:left w:val="none" w:sz="0" w:space="0" w:color="auto"/>
        <w:bottom w:val="none" w:sz="0" w:space="0" w:color="auto"/>
        <w:right w:val="none" w:sz="0" w:space="0" w:color="auto"/>
      </w:divBdr>
      <w:divsChild>
        <w:div w:id="65154805">
          <w:marLeft w:val="0"/>
          <w:marRight w:val="0"/>
          <w:marTop w:val="0"/>
          <w:marBottom w:val="0"/>
          <w:divBdr>
            <w:top w:val="none" w:sz="0" w:space="0" w:color="auto"/>
            <w:left w:val="none" w:sz="0" w:space="0" w:color="auto"/>
            <w:bottom w:val="none" w:sz="0" w:space="0" w:color="auto"/>
            <w:right w:val="none" w:sz="0" w:space="0" w:color="auto"/>
          </w:divBdr>
        </w:div>
        <w:div w:id="58359543">
          <w:marLeft w:val="0"/>
          <w:marRight w:val="0"/>
          <w:marTop w:val="0"/>
          <w:marBottom w:val="0"/>
          <w:divBdr>
            <w:top w:val="none" w:sz="0" w:space="0" w:color="auto"/>
            <w:left w:val="none" w:sz="0" w:space="0" w:color="auto"/>
            <w:bottom w:val="none" w:sz="0" w:space="0" w:color="auto"/>
            <w:right w:val="none" w:sz="0" w:space="0" w:color="auto"/>
          </w:divBdr>
        </w:div>
      </w:divsChild>
    </w:div>
    <w:div w:id="1590776427">
      <w:bodyDiv w:val="1"/>
      <w:marLeft w:val="0"/>
      <w:marRight w:val="0"/>
      <w:marTop w:val="0"/>
      <w:marBottom w:val="0"/>
      <w:divBdr>
        <w:top w:val="none" w:sz="0" w:space="0" w:color="auto"/>
        <w:left w:val="none" w:sz="0" w:space="0" w:color="auto"/>
        <w:bottom w:val="none" w:sz="0" w:space="0" w:color="auto"/>
        <w:right w:val="none" w:sz="0" w:space="0" w:color="auto"/>
      </w:divBdr>
      <w:divsChild>
        <w:div w:id="1420445097">
          <w:marLeft w:val="0"/>
          <w:marRight w:val="0"/>
          <w:marTop w:val="0"/>
          <w:marBottom w:val="0"/>
          <w:divBdr>
            <w:top w:val="none" w:sz="0" w:space="0" w:color="auto"/>
            <w:left w:val="none" w:sz="0" w:space="0" w:color="auto"/>
            <w:bottom w:val="none" w:sz="0" w:space="0" w:color="auto"/>
            <w:right w:val="none" w:sz="0" w:space="0" w:color="auto"/>
          </w:divBdr>
        </w:div>
        <w:div w:id="1892761401">
          <w:marLeft w:val="0"/>
          <w:marRight w:val="0"/>
          <w:marTop w:val="0"/>
          <w:marBottom w:val="0"/>
          <w:divBdr>
            <w:top w:val="none" w:sz="0" w:space="0" w:color="auto"/>
            <w:left w:val="none" w:sz="0" w:space="0" w:color="auto"/>
            <w:bottom w:val="none" w:sz="0" w:space="0" w:color="auto"/>
            <w:right w:val="none" w:sz="0" w:space="0" w:color="auto"/>
          </w:divBdr>
        </w:div>
        <w:div w:id="178786189">
          <w:marLeft w:val="0"/>
          <w:marRight w:val="0"/>
          <w:marTop w:val="0"/>
          <w:marBottom w:val="0"/>
          <w:divBdr>
            <w:top w:val="none" w:sz="0" w:space="0" w:color="auto"/>
            <w:left w:val="none" w:sz="0" w:space="0" w:color="auto"/>
            <w:bottom w:val="none" w:sz="0" w:space="0" w:color="auto"/>
            <w:right w:val="none" w:sz="0" w:space="0" w:color="auto"/>
          </w:divBdr>
        </w:div>
        <w:div w:id="692339804">
          <w:marLeft w:val="0"/>
          <w:marRight w:val="0"/>
          <w:marTop w:val="0"/>
          <w:marBottom w:val="0"/>
          <w:divBdr>
            <w:top w:val="none" w:sz="0" w:space="0" w:color="auto"/>
            <w:left w:val="none" w:sz="0" w:space="0" w:color="auto"/>
            <w:bottom w:val="none" w:sz="0" w:space="0" w:color="auto"/>
            <w:right w:val="none" w:sz="0" w:space="0" w:color="auto"/>
          </w:divBdr>
        </w:div>
        <w:div w:id="289358888">
          <w:marLeft w:val="0"/>
          <w:marRight w:val="0"/>
          <w:marTop w:val="0"/>
          <w:marBottom w:val="0"/>
          <w:divBdr>
            <w:top w:val="none" w:sz="0" w:space="0" w:color="auto"/>
            <w:left w:val="none" w:sz="0" w:space="0" w:color="auto"/>
            <w:bottom w:val="none" w:sz="0" w:space="0" w:color="auto"/>
            <w:right w:val="none" w:sz="0" w:space="0" w:color="auto"/>
          </w:divBdr>
        </w:div>
      </w:divsChild>
    </w:div>
    <w:div w:id="1741714371">
      <w:bodyDiv w:val="1"/>
      <w:marLeft w:val="0"/>
      <w:marRight w:val="0"/>
      <w:marTop w:val="0"/>
      <w:marBottom w:val="0"/>
      <w:divBdr>
        <w:top w:val="none" w:sz="0" w:space="0" w:color="auto"/>
        <w:left w:val="none" w:sz="0" w:space="0" w:color="auto"/>
        <w:bottom w:val="none" w:sz="0" w:space="0" w:color="auto"/>
        <w:right w:val="none" w:sz="0" w:space="0" w:color="auto"/>
      </w:divBdr>
      <w:divsChild>
        <w:div w:id="949051077">
          <w:marLeft w:val="0"/>
          <w:marRight w:val="0"/>
          <w:marTop w:val="0"/>
          <w:marBottom w:val="0"/>
          <w:divBdr>
            <w:top w:val="none" w:sz="0" w:space="0" w:color="auto"/>
            <w:left w:val="none" w:sz="0" w:space="0" w:color="auto"/>
            <w:bottom w:val="none" w:sz="0" w:space="0" w:color="auto"/>
            <w:right w:val="none" w:sz="0" w:space="0" w:color="auto"/>
          </w:divBdr>
        </w:div>
        <w:div w:id="1112628313">
          <w:marLeft w:val="0"/>
          <w:marRight w:val="0"/>
          <w:marTop w:val="0"/>
          <w:marBottom w:val="0"/>
          <w:divBdr>
            <w:top w:val="none" w:sz="0" w:space="0" w:color="auto"/>
            <w:left w:val="none" w:sz="0" w:space="0" w:color="auto"/>
            <w:bottom w:val="none" w:sz="0" w:space="0" w:color="auto"/>
            <w:right w:val="none" w:sz="0" w:space="0" w:color="auto"/>
          </w:divBdr>
        </w:div>
        <w:div w:id="1506020776">
          <w:marLeft w:val="0"/>
          <w:marRight w:val="0"/>
          <w:marTop w:val="0"/>
          <w:marBottom w:val="0"/>
          <w:divBdr>
            <w:top w:val="none" w:sz="0" w:space="0" w:color="auto"/>
            <w:left w:val="none" w:sz="0" w:space="0" w:color="auto"/>
            <w:bottom w:val="none" w:sz="0" w:space="0" w:color="auto"/>
            <w:right w:val="none" w:sz="0" w:space="0" w:color="auto"/>
          </w:divBdr>
          <w:divsChild>
            <w:div w:id="1531147116">
              <w:marLeft w:val="0"/>
              <w:marRight w:val="0"/>
              <w:marTop w:val="0"/>
              <w:marBottom w:val="0"/>
              <w:divBdr>
                <w:top w:val="none" w:sz="0" w:space="0" w:color="auto"/>
                <w:left w:val="none" w:sz="0" w:space="0" w:color="auto"/>
                <w:bottom w:val="none" w:sz="0" w:space="0" w:color="auto"/>
                <w:right w:val="none" w:sz="0" w:space="0" w:color="auto"/>
              </w:divBdr>
            </w:div>
            <w:div w:id="5264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0906">
      <w:bodyDiv w:val="1"/>
      <w:marLeft w:val="0"/>
      <w:marRight w:val="0"/>
      <w:marTop w:val="0"/>
      <w:marBottom w:val="0"/>
      <w:divBdr>
        <w:top w:val="none" w:sz="0" w:space="0" w:color="auto"/>
        <w:left w:val="none" w:sz="0" w:space="0" w:color="auto"/>
        <w:bottom w:val="none" w:sz="0" w:space="0" w:color="auto"/>
        <w:right w:val="none" w:sz="0" w:space="0" w:color="auto"/>
      </w:divBdr>
      <w:divsChild>
        <w:div w:id="584650080">
          <w:marLeft w:val="0"/>
          <w:marRight w:val="0"/>
          <w:marTop w:val="0"/>
          <w:marBottom w:val="0"/>
          <w:divBdr>
            <w:top w:val="none" w:sz="0" w:space="0" w:color="auto"/>
            <w:left w:val="none" w:sz="0" w:space="0" w:color="auto"/>
            <w:bottom w:val="none" w:sz="0" w:space="0" w:color="auto"/>
            <w:right w:val="none" w:sz="0" w:space="0" w:color="auto"/>
          </w:divBdr>
        </w:div>
        <w:div w:id="79883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Home" TargetMode="External"/><Relationship Id="rId13" Type="http://schemas.openxmlformats.org/officeDocument/2006/relationships/hyperlink" Target="https://data.worldbank.org/" TargetMode="External"/><Relationship Id="rId18" Type="http://schemas.openxmlformats.org/officeDocument/2006/relationships/hyperlink" Target="https://data.worldbank.org/indicator/SI.POV.GINI" TargetMode="External"/><Relationship Id="rId3" Type="http://schemas.openxmlformats.org/officeDocument/2006/relationships/settings" Target="settings.xml"/><Relationship Id="rId21" Type="http://schemas.openxmlformats.org/officeDocument/2006/relationships/hyperlink" Target="https://www.wipo.int/web/global-innovation-index/2023/index" TargetMode="External"/><Relationship Id="rId7" Type="http://schemas.openxmlformats.org/officeDocument/2006/relationships/hyperlink" Target="https://data.worldbank.org/" TargetMode="External"/><Relationship Id="rId12" Type="http://schemas.openxmlformats.org/officeDocument/2006/relationships/hyperlink" Target="https://data.worldbank.org/" TargetMode="External"/><Relationship Id="rId17" Type="http://schemas.openxmlformats.org/officeDocument/2006/relationships/hyperlink" Target="https://data.worldbank.org/" TargetMode="External"/><Relationship Id="rId2" Type="http://schemas.openxmlformats.org/officeDocument/2006/relationships/styles" Target="styles.xml"/><Relationship Id="rId16" Type="http://schemas.openxmlformats.org/officeDocument/2006/relationships/hyperlink" Target="https://data.worldbank.org/" TargetMode="External"/><Relationship Id="rId20" Type="http://schemas.openxmlformats.org/officeDocument/2006/relationships/hyperlink" Target="https://www.transparency.org/en/cpi/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f.org/en/Hom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ta.worldbank.org/" TargetMode="External"/><Relationship Id="rId23" Type="http://schemas.openxmlformats.org/officeDocument/2006/relationships/fontTable" Target="fontTable.xml"/><Relationship Id="rId10" Type="http://schemas.openxmlformats.org/officeDocument/2006/relationships/hyperlink" Target="https://data.worldbank.org/" TargetMode="External"/><Relationship Id="rId19" Type="http://schemas.openxmlformats.org/officeDocument/2006/relationships/hyperlink" Target="https://hdr.undp.org/data-center/human-development-index" TargetMode="External"/><Relationship Id="rId4" Type="http://schemas.openxmlformats.org/officeDocument/2006/relationships/webSettings" Target="webSettings.xml"/><Relationship Id="rId9" Type="http://schemas.openxmlformats.org/officeDocument/2006/relationships/hyperlink" Target="https://data.worldbank.org/" TargetMode="External"/><Relationship Id="rId14" Type="http://schemas.openxmlformats.org/officeDocument/2006/relationships/hyperlink" Target="https://www.imf.org/en/Home" TargetMode="External"/><Relationship Id="rId22" Type="http://schemas.openxmlformats.org/officeDocument/2006/relationships/hyperlink" Target="https://www.heritage.org/inde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12</Pages>
  <Words>4102</Words>
  <Characters>24618</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Żukowska-Efendić Krystyna</dc:creator>
  <cp:keywords/>
  <dc:description/>
  <cp:lastModifiedBy>Żukowska-Efendić Krystyna</cp:lastModifiedBy>
  <cp:revision>61</cp:revision>
  <dcterms:created xsi:type="dcterms:W3CDTF">2024-12-05T13:08:00Z</dcterms:created>
  <dcterms:modified xsi:type="dcterms:W3CDTF">2024-12-12T11:05:00Z</dcterms:modified>
</cp:coreProperties>
</file>