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7CC758A3" w14:textId="4F614963" w:rsidR="00AD08C5" w:rsidRPr="005058F2" w:rsidRDefault="006A7DCE" w:rsidP="008C0E92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>OBWIESZCZENI</w:t>
      </w:r>
      <w:r w:rsidR="005C6551">
        <w:rPr>
          <w:rFonts w:ascii="Abadi" w:hAnsi="Abadi"/>
          <w:b/>
          <w:bCs/>
          <w:color w:val="00B0F0"/>
          <w:sz w:val="36"/>
          <w:szCs w:val="36"/>
          <w:u w:val="single"/>
        </w:rPr>
        <w:t>E</w:t>
      </w: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REFUNDACYJNE NR </w:t>
      </w:r>
      <w:r w:rsidR="00A960EA">
        <w:rPr>
          <w:rFonts w:ascii="Abadi" w:hAnsi="Abadi"/>
          <w:b/>
          <w:bCs/>
          <w:color w:val="00B0F0"/>
          <w:sz w:val="36"/>
          <w:szCs w:val="36"/>
          <w:u w:val="single"/>
        </w:rPr>
        <w:t>6</w:t>
      </w:r>
      <w:r w:rsidR="00BD18E8">
        <w:rPr>
          <w:rFonts w:ascii="Abadi" w:hAnsi="Abadi"/>
          <w:b/>
          <w:bCs/>
          <w:color w:val="00B0F0"/>
          <w:sz w:val="36"/>
          <w:szCs w:val="36"/>
          <w:u w:val="single"/>
        </w:rPr>
        <w:t>6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(1 </w:t>
      </w:r>
      <w:r w:rsidR="00BD18E8">
        <w:rPr>
          <w:rFonts w:ascii="Abadi" w:hAnsi="Abadi"/>
          <w:b/>
          <w:bCs/>
          <w:color w:val="00B0F0"/>
          <w:sz w:val="36"/>
          <w:szCs w:val="36"/>
          <w:u w:val="single"/>
        </w:rPr>
        <w:t>LISTOPADA</w:t>
      </w:r>
      <w:r w:rsidR="00FB2364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>202</w:t>
      </w:r>
      <w:r w:rsidR="0064487F">
        <w:rPr>
          <w:rFonts w:ascii="Abadi" w:hAnsi="Abadi"/>
          <w:b/>
          <w:bCs/>
          <w:color w:val="00B0F0"/>
          <w:sz w:val="36"/>
          <w:szCs w:val="36"/>
          <w:u w:val="single"/>
        </w:rPr>
        <w:t>2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r.)</w:t>
      </w:r>
    </w:p>
    <w:p w14:paraId="407689B5" w14:textId="3576B441" w:rsidR="008C0E92" w:rsidRDefault="008C0E92" w:rsidP="008C0E92">
      <w:pPr>
        <w:spacing w:before="360"/>
        <w:jc w:val="center"/>
      </w:pPr>
      <w:bookmarkStart w:id="0" w:name="_Hlk90283803"/>
      <w:r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bookmarkEnd w:id="0"/>
    <w:p w14:paraId="6212A871" w14:textId="348C4045" w:rsidR="0048011A" w:rsidRPr="00E1348A" w:rsidRDefault="0048011A" w:rsidP="0048011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Obwieszczenie refundacyjne obowiązujące od </w:t>
      </w:r>
      <w:r w:rsidR="005D3140">
        <w:rPr>
          <w:rFonts w:asciiTheme="majorHAnsi" w:hAnsiTheme="majorHAnsi"/>
          <w:color w:val="000000" w:themeColor="text1"/>
          <w:sz w:val="24"/>
          <w:szCs w:val="24"/>
        </w:rPr>
        <w:t>listopada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 2022 r. (nr 6</w:t>
      </w:r>
      <w:r w:rsidR="005D3140">
        <w:rPr>
          <w:rFonts w:asciiTheme="majorHAnsi" w:hAnsiTheme="majorHAnsi"/>
          <w:color w:val="000000" w:themeColor="text1"/>
          <w:sz w:val="24"/>
          <w:szCs w:val="24"/>
        </w:rPr>
        <w:t>6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>), w porównaniu do obwieszczenia 6</w:t>
      </w:r>
      <w:r w:rsidR="00BD18E8">
        <w:rPr>
          <w:rFonts w:asciiTheme="majorHAnsi" w:hAnsiTheme="majorHAnsi"/>
          <w:color w:val="000000" w:themeColor="text1"/>
          <w:sz w:val="24"/>
          <w:szCs w:val="24"/>
        </w:rPr>
        <w:t>5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 zawiera następujące zmiany:</w:t>
      </w:r>
    </w:p>
    <w:p w14:paraId="00D4E161" w14:textId="56B4859A" w:rsidR="0048011A" w:rsidRPr="00992890" w:rsidRDefault="0048011A" w:rsidP="00B31928">
      <w:pPr>
        <w:numPr>
          <w:ilvl w:val="0"/>
          <w:numId w:val="4"/>
        </w:numPr>
        <w:suppressAutoHyphens w:val="0"/>
        <w:ind w:left="567"/>
        <w:jc w:val="both"/>
        <w:rPr>
          <w:rFonts w:asciiTheme="majorHAnsi" w:hAnsiTheme="majorHAnsi"/>
          <w:sz w:val="24"/>
          <w:szCs w:val="24"/>
        </w:rPr>
      </w:pPr>
      <w:r w:rsidRPr="00992890">
        <w:rPr>
          <w:rFonts w:asciiTheme="majorHAnsi" w:hAnsiTheme="majorHAnsi"/>
          <w:sz w:val="24"/>
          <w:szCs w:val="24"/>
        </w:rPr>
        <w:t xml:space="preserve">W związku z wydaniem pozytywnych decyzji o objęciu refundacją ogółem do </w:t>
      </w:r>
      <w:r w:rsidR="00B31928" w:rsidRPr="00992890">
        <w:rPr>
          <w:rFonts w:asciiTheme="majorHAnsi" w:hAnsiTheme="majorHAnsi"/>
          <w:sz w:val="24"/>
          <w:szCs w:val="24"/>
        </w:rPr>
        <w:t>wykazu</w:t>
      </w:r>
      <w:r w:rsidRPr="00992890">
        <w:rPr>
          <w:rFonts w:asciiTheme="majorHAnsi" w:hAnsiTheme="majorHAnsi"/>
          <w:sz w:val="24"/>
          <w:szCs w:val="24"/>
        </w:rPr>
        <w:t xml:space="preserve"> zosta</w:t>
      </w:r>
      <w:r w:rsidR="00B31928" w:rsidRPr="00992890">
        <w:rPr>
          <w:rFonts w:asciiTheme="majorHAnsi" w:hAnsiTheme="majorHAnsi"/>
          <w:sz w:val="24"/>
          <w:szCs w:val="24"/>
        </w:rPr>
        <w:t>ły</w:t>
      </w:r>
      <w:r w:rsidRPr="00992890">
        <w:rPr>
          <w:rFonts w:asciiTheme="majorHAnsi" w:hAnsiTheme="majorHAnsi"/>
          <w:sz w:val="24"/>
          <w:szCs w:val="24"/>
        </w:rPr>
        <w:t xml:space="preserve"> dodane </w:t>
      </w:r>
      <w:r w:rsidR="00992890" w:rsidRPr="00992890">
        <w:rPr>
          <w:rFonts w:asciiTheme="majorHAnsi" w:hAnsiTheme="majorHAnsi"/>
          <w:sz w:val="24"/>
          <w:szCs w:val="24"/>
        </w:rPr>
        <w:t>143</w:t>
      </w:r>
      <w:r w:rsidRPr="00992890">
        <w:rPr>
          <w:rFonts w:asciiTheme="majorHAnsi" w:hAnsiTheme="majorHAnsi"/>
          <w:sz w:val="24"/>
          <w:szCs w:val="24"/>
        </w:rPr>
        <w:t xml:space="preserve"> produkty bądź nowe wskazania.</w:t>
      </w:r>
    </w:p>
    <w:p w14:paraId="01D6F00D" w14:textId="0A2F3975" w:rsidR="0048011A" w:rsidRPr="00992890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992890">
        <w:rPr>
          <w:rFonts w:asciiTheme="majorHAnsi" w:hAnsiTheme="majorHAnsi"/>
          <w:sz w:val="24"/>
          <w:szCs w:val="24"/>
        </w:rPr>
        <w:t xml:space="preserve">Dla </w:t>
      </w:r>
      <w:r w:rsidR="00992890" w:rsidRPr="00992890">
        <w:rPr>
          <w:rFonts w:asciiTheme="majorHAnsi" w:hAnsiTheme="majorHAnsi"/>
          <w:sz w:val="24"/>
          <w:szCs w:val="24"/>
        </w:rPr>
        <w:t>84</w:t>
      </w:r>
      <w:r w:rsidRPr="00992890">
        <w:rPr>
          <w:rFonts w:asciiTheme="majorHAnsi" w:hAnsiTheme="majorHAnsi"/>
          <w:sz w:val="24"/>
          <w:szCs w:val="24"/>
        </w:rPr>
        <w:t xml:space="preserve"> produktów wprowadzono obniżki urzędowych cen zbytu (od 0,01 zł do </w:t>
      </w:r>
      <w:r w:rsidR="00992890" w:rsidRPr="00992890">
        <w:rPr>
          <w:rFonts w:asciiTheme="majorHAnsi" w:hAnsiTheme="majorHAnsi"/>
          <w:sz w:val="24"/>
          <w:szCs w:val="24"/>
        </w:rPr>
        <w:t>2</w:t>
      </w:r>
      <w:r w:rsidR="00992890">
        <w:rPr>
          <w:rFonts w:asciiTheme="majorHAnsi" w:hAnsiTheme="majorHAnsi"/>
          <w:sz w:val="24"/>
          <w:szCs w:val="24"/>
        </w:rPr>
        <w:t xml:space="preserve"> </w:t>
      </w:r>
      <w:r w:rsidR="00992890" w:rsidRPr="00992890">
        <w:rPr>
          <w:rFonts w:asciiTheme="majorHAnsi" w:hAnsiTheme="majorHAnsi"/>
          <w:sz w:val="24"/>
          <w:szCs w:val="24"/>
        </w:rPr>
        <w:t>097,90</w:t>
      </w:r>
      <w:r w:rsidR="00992890">
        <w:rPr>
          <w:rFonts w:asciiTheme="majorHAnsi" w:hAnsiTheme="majorHAnsi"/>
          <w:sz w:val="24"/>
          <w:szCs w:val="24"/>
        </w:rPr>
        <w:t xml:space="preserve"> </w:t>
      </w:r>
      <w:r w:rsidRPr="00992890">
        <w:rPr>
          <w:rFonts w:asciiTheme="majorHAnsi" w:hAnsiTheme="majorHAnsi"/>
          <w:sz w:val="24"/>
          <w:szCs w:val="24"/>
        </w:rPr>
        <w:t>zł).</w:t>
      </w:r>
    </w:p>
    <w:p w14:paraId="2DC3E3D7" w14:textId="15F96444" w:rsidR="0048011A" w:rsidRPr="00992890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992890">
        <w:rPr>
          <w:rFonts w:asciiTheme="majorHAnsi" w:hAnsiTheme="majorHAnsi"/>
          <w:sz w:val="24"/>
          <w:szCs w:val="24"/>
        </w:rPr>
        <w:t xml:space="preserve">Dla </w:t>
      </w:r>
      <w:r w:rsidR="00992890" w:rsidRPr="00992890">
        <w:rPr>
          <w:rFonts w:asciiTheme="majorHAnsi" w:hAnsiTheme="majorHAnsi"/>
          <w:sz w:val="24"/>
          <w:szCs w:val="24"/>
        </w:rPr>
        <w:t>43</w:t>
      </w:r>
      <w:r w:rsidRPr="00992890">
        <w:rPr>
          <w:rFonts w:asciiTheme="majorHAnsi" w:hAnsiTheme="majorHAnsi"/>
          <w:sz w:val="24"/>
          <w:szCs w:val="24"/>
        </w:rPr>
        <w:t xml:space="preserve"> produktów podwyższono urzędowe ceny zbytu (od </w:t>
      </w:r>
      <w:r w:rsidR="00992890">
        <w:rPr>
          <w:rFonts w:asciiTheme="majorHAnsi" w:hAnsiTheme="majorHAnsi"/>
          <w:sz w:val="24"/>
          <w:szCs w:val="24"/>
        </w:rPr>
        <w:t>0,44</w:t>
      </w:r>
      <w:r w:rsidRPr="00992890">
        <w:rPr>
          <w:rFonts w:asciiTheme="majorHAnsi" w:hAnsiTheme="majorHAnsi"/>
          <w:sz w:val="24"/>
          <w:szCs w:val="24"/>
        </w:rPr>
        <w:t xml:space="preserve"> zł do </w:t>
      </w:r>
      <w:r w:rsidR="00992890">
        <w:rPr>
          <w:rFonts w:asciiTheme="majorHAnsi" w:hAnsiTheme="majorHAnsi"/>
          <w:sz w:val="24"/>
          <w:szCs w:val="24"/>
        </w:rPr>
        <w:t>34,09</w:t>
      </w:r>
      <w:r w:rsidRPr="00992890">
        <w:rPr>
          <w:rFonts w:asciiTheme="majorHAnsi" w:hAnsiTheme="majorHAnsi"/>
          <w:sz w:val="24"/>
          <w:szCs w:val="24"/>
        </w:rPr>
        <w:t xml:space="preserve"> zł).</w:t>
      </w:r>
    </w:p>
    <w:p w14:paraId="4F086829" w14:textId="5B13BF88" w:rsidR="0048011A" w:rsidRPr="00FE7A98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FE7A98">
        <w:rPr>
          <w:rFonts w:asciiTheme="majorHAnsi" w:hAnsiTheme="majorHAnsi"/>
          <w:sz w:val="24"/>
          <w:szCs w:val="24"/>
        </w:rPr>
        <w:t xml:space="preserve">Dla </w:t>
      </w:r>
      <w:r w:rsidR="0095252A" w:rsidRPr="00FE7A98">
        <w:rPr>
          <w:rFonts w:asciiTheme="majorHAnsi" w:hAnsiTheme="majorHAnsi"/>
          <w:sz w:val="24"/>
          <w:szCs w:val="24"/>
        </w:rPr>
        <w:t>445</w:t>
      </w:r>
      <w:r w:rsidRPr="00FE7A98">
        <w:rPr>
          <w:rFonts w:asciiTheme="majorHAnsi" w:hAnsiTheme="majorHAnsi"/>
          <w:sz w:val="24"/>
          <w:szCs w:val="24"/>
        </w:rPr>
        <w:t xml:space="preserve"> pozycji w obwieszczeniu spadnie dopłata pacjenta (od 0,01 zł do </w:t>
      </w:r>
      <w:r w:rsidR="00FE7A98" w:rsidRPr="00FE7A98">
        <w:rPr>
          <w:rFonts w:asciiTheme="majorHAnsi" w:hAnsiTheme="majorHAnsi"/>
          <w:sz w:val="24"/>
          <w:szCs w:val="24"/>
        </w:rPr>
        <w:t>452,70</w:t>
      </w:r>
      <w:r w:rsidR="00FE7A98" w:rsidRPr="00FE7A98">
        <w:rPr>
          <w:rFonts w:asciiTheme="majorHAnsi" w:hAnsiTheme="majorHAnsi"/>
          <w:sz w:val="24"/>
          <w:szCs w:val="24"/>
        </w:rPr>
        <w:t xml:space="preserve"> </w:t>
      </w:r>
      <w:r w:rsidRPr="00FE7A98">
        <w:rPr>
          <w:rFonts w:asciiTheme="majorHAnsi" w:hAnsiTheme="majorHAnsi"/>
          <w:sz w:val="24"/>
          <w:szCs w:val="24"/>
        </w:rPr>
        <w:t>zł).</w:t>
      </w:r>
    </w:p>
    <w:p w14:paraId="1090CF2B" w14:textId="171B2101" w:rsidR="0048011A" w:rsidRPr="00FE7A98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FE7A98">
        <w:rPr>
          <w:rFonts w:asciiTheme="majorHAnsi" w:hAnsiTheme="majorHAnsi"/>
          <w:sz w:val="24"/>
          <w:szCs w:val="24"/>
        </w:rPr>
        <w:t xml:space="preserve">Dla </w:t>
      </w:r>
      <w:r w:rsidR="00FE7A98" w:rsidRPr="00FE7A98">
        <w:rPr>
          <w:rFonts w:asciiTheme="majorHAnsi" w:hAnsiTheme="majorHAnsi"/>
          <w:sz w:val="24"/>
          <w:szCs w:val="24"/>
        </w:rPr>
        <w:t>297</w:t>
      </w:r>
      <w:r w:rsidRPr="00FE7A98">
        <w:rPr>
          <w:rFonts w:asciiTheme="majorHAnsi" w:hAnsiTheme="majorHAnsi"/>
          <w:sz w:val="24"/>
          <w:szCs w:val="24"/>
        </w:rPr>
        <w:t xml:space="preserve"> pozycji w obwieszczeniu wzrośnie dopłata pacjenta (od 0,01 zł do </w:t>
      </w:r>
      <w:r w:rsidR="00FE7A98" w:rsidRPr="00FE7A98">
        <w:rPr>
          <w:rFonts w:asciiTheme="majorHAnsi" w:hAnsiTheme="majorHAnsi"/>
          <w:sz w:val="24"/>
          <w:szCs w:val="24"/>
        </w:rPr>
        <w:t>62,10</w:t>
      </w:r>
      <w:r w:rsidRPr="00FE7A98">
        <w:rPr>
          <w:rFonts w:asciiTheme="majorHAnsi" w:hAnsiTheme="majorHAnsi"/>
          <w:sz w:val="24"/>
          <w:szCs w:val="24"/>
        </w:rPr>
        <w:t xml:space="preserve"> zł).</w:t>
      </w:r>
    </w:p>
    <w:p w14:paraId="1E684D62" w14:textId="3E8905DD" w:rsidR="0048011A" w:rsidRPr="0095252A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95252A">
        <w:rPr>
          <w:rFonts w:asciiTheme="majorHAnsi" w:hAnsiTheme="majorHAnsi"/>
          <w:sz w:val="24"/>
          <w:szCs w:val="24"/>
        </w:rPr>
        <w:t xml:space="preserve">Dla </w:t>
      </w:r>
      <w:r w:rsidR="0095252A" w:rsidRPr="0095252A">
        <w:rPr>
          <w:rFonts w:asciiTheme="majorHAnsi" w:hAnsiTheme="majorHAnsi"/>
          <w:sz w:val="24"/>
          <w:szCs w:val="24"/>
        </w:rPr>
        <w:t>313</w:t>
      </w:r>
      <w:r w:rsidRPr="0095252A">
        <w:rPr>
          <w:rFonts w:asciiTheme="majorHAnsi" w:hAnsiTheme="majorHAnsi"/>
          <w:sz w:val="24"/>
          <w:szCs w:val="24"/>
        </w:rPr>
        <w:t xml:space="preserve"> produktów ulegną obniżeniu ceny detaliczne brutto (od 0,01 zł do </w:t>
      </w:r>
      <w:r w:rsidR="0095252A">
        <w:rPr>
          <w:rFonts w:asciiTheme="majorHAnsi" w:hAnsiTheme="majorHAnsi"/>
          <w:sz w:val="24"/>
          <w:szCs w:val="24"/>
        </w:rPr>
        <w:t>62,77</w:t>
      </w:r>
      <w:r w:rsidR="00A9374D" w:rsidRPr="0095252A">
        <w:rPr>
          <w:rFonts w:asciiTheme="majorHAnsi" w:hAnsiTheme="majorHAnsi"/>
          <w:sz w:val="24"/>
          <w:szCs w:val="24"/>
        </w:rPr>
        <w:t xml:space="preserve"> </w:t>
      </w:r>
      <w:r w:rsidRPr="0095252A">
        <w:rPr>
          <w:rFonts w:asciiTheme="majorHAnsi" w:hAnsiTheme="majorHAnsi"/>
          <w:sz w:val="24"/>
          <w:szCs w:val="24"/>
        </w:rPr>
        <w:t>zł).</w:t>
      </w:r>
    </w:p>
    <w:p w14:paraId="226D7B40" w14:textId="4422230C" w:rsidR="0048011A" w:rsidRPr="0095252A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95252A">
        <w:rPr>
          <w:rFonts w:asciiTheme="majorHAnsi" w:hAnsiTheme="majorHAnsi"/>
          <w:sz w:val="24"/>
          <w:szCs w:val="24"/>
        </w:rPr>
        <w:t xml:space="preserve">Dla </w:t>
      </w:r>
      <w:r w:rsidR="0095252A" w:rsidRPr="0095252A">
        <w:rPr>
          <w:rFonts w:asciiTheme="majorHAnsi" w:hAnsiTheme="majorHAnsi"/>
          <w:sz w:val="24"/>
          <w:szCs w:val="24"/>
        </w:rPr>
        <w:t>236</w:t>
      </w:r>
      <w:r w:rsidRPr="0095252A">
        <w:rPr>
          <w:rFonts w:asciiTheme="majorHAnsi" w:hAnsiTheme="majorHAnsi"/>
          <w:sz w:val="24"/>
          <w:szCs w:val="24"/>
        </w:rPr>
        <w:t xml:space="preserve"> produktów wzrosną ceny detaliczne brutto (od 0,01 zł do </w:t>
      </w:r>
      <w:r w:rsidR="0095252A" w:rsidRPr="0095252A">
        <w:rPr>
          <w:rFonts w:asciiTheme="majorHAnsi" w:hAnsiTheme="majorHAnsi"/>
          <w:sz w:val="24"/>
          <w:szCs w:val="24"/>
        </w:rPr>
        <w:t>35,89</w:t>
      </w:r>
      <w:r w:rsidR="0095252A">
        <w:rPr>
          <w:rFonts w:asciiTheme="majorHAnsi" w:hAnsiTheme="majorHAnsi"/>
          <w:sz w:val="24"/>
          <w:szCs w:val="24"/>
        </w:rPr>
        <w:t xml:space="preserve"> </w:t>
      </w:r>
      <w:r w:rsidRPr="0095252A">
        <w:rPr>
          <w:rFonts w:asciiTheme="majorHAnsi" w:hAnsiTheme="majorHAnsi"/>
          <w:sz w:val="24"/>
          <w:szCs w:val="24"/>
        </w:rPr>
        <w:t>zł).</w:t>
      </w:r>
    </w:p>
    <w:p w14:paraId="5D1E0723" w14:textId="6A5BF4C7" w:rsidR="0048011A" w:rsidRPr="00992890" w:rsidRDefault="0048011A" w:rsidP="00B31928">
      <w:pPr>
        <w:numPr>
          <w:ilvl w:val="0"/>
          <w:numId w:val="4"/>
        </w:numPr>
        <w:suppressAutoHyphens w:val="0"/>
        <w:ind w:left="567"/>
        <w:jc w:val="both"/>
        <w:rPr>
          <w:rFonts w:asciiTheme="majorHAnsi" w:hAnsiTheme="majorHAnsi"/>
          <w:sz w:val="24"/>
          <w:szCs w:val="24"/>
        </w:rPr>
      </w:pPr>
      <w:r w:rsidRPr="00992890">
        <w:rPr>
          <w:rFonts w:asciiTheme="majorHAnsi" w:hAnsiTheme="majorHAnsi"/>
          <w:sz w:val="24"/>
          <w:szCs w:val="24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992890" w:rsidRPr="00992890">
        <w:rPr>
          <w:rFonts w:asciiTheme="majorHAnsi" w:hAnsiTheme="majorHAnsi"/>
          <w:sz w:val="24"/>
          <w:szCs w:val="24"/>
        </w:rPr>
        <w:t>55</w:t>
      </w:r>
      <w:r w:rsidRPr="00992890">
        <w:rPr>
          <w:rFonts w:asciiTheme="majorHAnsi" w:hAnsiTheme="majorHAnsi"/>
          <w:sz w:val="24"/>
          <w:szCs w:val="24"/>
        </w:rPr>
        <w:t xml:space="preserve"> produktów bądź wskazań figurujących </w:t>
      </w:r>
      <w:r w:rsidR="00992890">
        <w:rPr>
          <w:rFonts w:asciiTheme="majorHAnsi" w:hAnsiTheme="majorHAnsi"/>
          <w:sz w:val="24"/>
          <w:szCs w:val="24"/>
        </w:rPr>
        <w:br/>
      </w:r>
      <w:r w:rsidRPr="00992890">
        <w:rPr>
          <w:rFonts w:asciiTheme="majorHAnsi" w:hAnsiTheme="majorHAnsi"/>
          <w:sz w:val="24"/>
          <w:szCs w:val="24"/>
        </w:rPr>
        <w:t>w poprzednim obwieszczeniu.</w:t>
      </w:r>
    </w:p>
    <w:p w14:paraId="514C942E" w14:textId="25E2DFDA" w:rsidR="005058F2" w:rsidRDefault="005058F2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0BB263D9" w14:textId="3456AA42" w:rsidR="0018207F" w:rsidRDefault="0018207F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110F10FD" w14:textId="1BF8C66F" w:rsidR="0018207F" w:rsidRDefault="0018207F" w:rsidP="0018207F">
      <w:pPr>
        <w:spacing w:after="0" w:line="240" w:lineRule="auto"/>
        <w:rPr>
          <w:rFonts w:ascii="Arial Rounded MT Bold" w:hAnsi="Arial Rounded MT Bold"/>
          <w:b/>
          <w:bCs/>
          <w:color w:val="00B0F0"/>
        </w:rPr>
      </w:pPr>
      <w:r>
        <w:rPr>
          <w:noProof/>
        </w:rPr>
        <w:lastRenderedPageBreak/>
        <w:drawing>
          <wp:inline distT="0" distB="0" distL="0" distR="0" wp14:anchorId="0A0B8405" wp14:editId="5C00755D">
            <wp:extent cx="4438650" cy="2832133"/>
            <wp:effectExtent l="0" t="0" r="0" b="635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5313B5F-8B80-4634-9FA6-A2A309378E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Arial Rounded MT Bold" w:hAnsi="Arial Rounded MT Bold"/>
          <w:b/>
          <w:bCs/>
          <w:color w:val="00B0F0"/>
        </w:rPr>
        <w:t xml:space="preserve"> </w:t>
      </w:r>
      <w:r w:rsidR="000D1E95">
        <w:rPr>
          <w:noProof/>
        </w:rPr>
        <w:drawing>
          <wp:inline distT="0" distB="0" distL="0" distR="0" wp14:anchorId="115F22F5" wp14:editId="0BE273D0">
            <wp:extent cx="4371975" cy="2824774"/>
            <wp:effectExtent l="0" t="0" r="9525" b="1397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AEAD0EA7-A2F5-4B46-8308-E760FF44C3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42F061" w14:textId="77777777" w:rsidR="0018207F" w:rsidRPr="003F2BEC" w:rsidRDefault="0018207F" w:rsidP="0018207F">
      <w:pPr>
        <w:spacing w:after="0" w:line="240" w:lineRule="auto"/>
        <w:rPr>
          <w:rFonts w:ascii="Arial Rounded MT Bold" w:hAnsi="Arial Rounded MT Bold"/>
          <w:b/>
          <w:bCs/>
          <w:color w:val="00B0F0"/>
          <w:sz w:val="8"/>
          <w:szCs w:val="8"/>
        </w:rPr>
      </w:pPr>
    </w:p>
    <w:p w14:paraId="6918AF87" w14:textId="067DBE8B" w:rsidR="00F25C91" w:rsidRDefault="003F2BEC" w:rsidP="0018207F">
      <w:pPr>
        <w:spacing w:after="0" w:line="240" w:lineRule="auto"/>
        <w:rPr>
          <w:rFonts w:ascii="Arial Rounded MT Bold" w:hAnsi="Arial Rounded MT Bold"/>
          <w:b/>
          <w:bCs/>
          <w:color w:val="00B0F0"/>
        </w:rPr>
      </w:pPr>
      <w:r>
        <w:rPr>
          <w:noProof/>
        </w:rPr>
        <w:drawing>
          <wp:inline distT="0" distB="0" distL="0" distR="0" wp14:anchorId="49A3694C" wp14:editId="29356D19">
            <wp:extent cx="4438650" cy="2828925"/>
            <wp:effectExtent l="0" t="0" r="0" b="9525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0751A6AD-0937-45C0-9788-40D17F379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8207F">
        <w:rPr>
          <w:rFonts w:ascii="Arial Rounded MT Bold" w:hAnsi="Arial Rounded MT Bold"/>
          <w:b/>
          <w:bCs/>
          <w:color w:val="00B0F0"/>
        </w:rPr>
        <w:t xml:space="preserve"> </w:t>
      </w:r>
      <w:r w:rsidR="00F25C91">
        <w:rPr>
          <w:noProof/>
        </w:rPr>
        <w:drawing>
          <wp:inline distT="0" distB="0" distL="0" distR="0" wp14:anchorId="0E9D6D3A" wp14:editId="729C8544">
            <wp:extent cx="4393565" cy="2825086"/>
            <wp:effectExtent l="0" t="0" r="6985" b="1397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8113DE0-A247-4936-8FA2-1B2E0783D8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7E45F2" w14:textId="089BD80D" w:rsidR="0018207F" w:rsidRDefault="0018207F" w:rsidP="0018207F">
      <w:pPr>
        <w:spacing w:after="0" w:line="240" w:lineRule="auto"/>
        <w:rPr>
          <w:rFonts w:ascii="Arial Rounded MT Bold" w:hAnsi="Arial Rounded MT Bold"/>
          <w:b/>
          <w:bCs/>
          <w:color w:val="00B0F0"/>
        </w:rPr>
      </w:pPr>
    </w:p>
    <w:p w14:paraId="06A06678" w14:textId="7D136BFD" w:rsidR="00AD08C5" w:rsidRDefault="006A7DCE" w:rsidP="005058F2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t>NOWE WSKAZANIA ORAZ ZMIANY W PROGRA</w:t>
      </w:r>
      <w:bookmarkStart w:id="1" w:name="_Hlk95686308"/>
      <w:r>
        <w:rPr>
          <w:rFonts w:ascii="Abadi" w:hAnsi="Abadi"/>
          <w:b/>
          <w:bCs/>
          <w:color w:val="00B0F0"/>
          <w:sz w:val="28"/>
          <w:szCs w:val="28"/>
        </w:rPr>
        <w:t>M</w:t>
      </w:r>
      <w:bookmarkEnd w:id="1"/>
      <w:r>
        <w:rPr>
          <w:rFonts w:ascii="Abadi" w:hAnsi="Abadi"/>
          <w:b/>
          <w:bCs/>
          <w:color w:val="00B0F0"/>
          <w:sz w:val="28"/>
          <w:szCs w:val="28"/>
        </w:rPr>
        <w:t>ACH LEKOWYCH</w:t>
      </w:r>
      <w:r w:rsidR="0056748F">
        <w:rPr>
          <w:rFonts w:ascii="Abadi" w:hAnsi="Abadi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1631"/>
        <w:gridCol w:w="2490"/>
        <w:gridCol w:w="1936"/>
        <w:gridCol w:w="2890"/>
        <w:gridCol w:w="4415"/>
      </w:tblGrid>
      <w:tr w:rsidR="005058F2" w:rsidRPr="005058F2" w14:paraId="7E2E9B6A" w14:textId="77777777" w:rsidTr="00A434EB">
        <w:trPr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5058F2" w14:paraId="1C096482" w14:textId="77777777" w:rsidTr="00A434EB">
        <w:trPr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7A4FB5" w:rsidRPr="005058F2" w14:paraId="60CDF2D4" w14:textId="77777777" w:rsidTr="002C236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C02F04" w:rsidRPr="005058F2" w14:paraId="1F4280B1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219AFE0F" w:rsidR="00C02F04" w:rsidRPr="005058F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654D188B" w:rsidR="00C02F04" w:rsidRPr="00356E75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Piqray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7776C10E" w:rsidR="00C02F04" w:rsidRPr="00F63AA8" w:rsidRDefault="00AF430B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</w:t>
            </w:r>
            <w:r w:rsidR="00C02F0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lpelisyb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6DE30510" w:rsidR="00C02F04" w:rsidRPr="0029403F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</w:t>
            </w:r>
            <w:r w:rsid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FM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16E835D7" w:rsidR="00C02F04" w:rsidRPr="0029403F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14B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B1CC" w14:textId="77777777" w:rsidR="007748BD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lub II linii </w:t>
            </w:r>
            <w:r w:rsidRPr="008A6D6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przerzutowego HER-2 ujemnego raka piersi</w:t>
            </w:r>
            <w:r w:rsidR="007748B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obecnością mutacji </w:t>
            </w:r>
            <w:r w:rsidR="007748BD" w:rsidRPr="007748B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PIK3CA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</w:p>
          <w:p w14:paraId="384CC36C" w14:textId="70784CBC" w:rsidR="00C02F04" w:rsidRPr="0029403F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Terapia skojarzona 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fluwestrantem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stosowana </w:t>
            </w:r>
            <w:r w:rsidRPr="003108F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 progresji lub nawrocie raka piersi w trakcie lub po zakończeniu leczenia hormonalnego z zastosowaniem inhibitora </w:t>
            </w:r>
            <w:proofErr w:type="spellStart"/>
            <w:r w:rsidRPr="003108F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aromatazy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C02F04" w:rsidRPr="005058F2" w14:paraId="33804527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C790" w14:textId="77777777" w:rsidR="00C02F04" w:rsidRPr="005058F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C12B" w14:textId="1D69EF0D" w:rsidR="00C02F04" w:rsidRPr="00356E75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Talzenna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7100" w14:textId="2291E2D3" w:rsidR="00C02F04" w:rsidRPr="00F63AA8" w:rsidRDefault="00AF430B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</w:t>
            </w:r>
            <w:r w:rsidR="00C02F0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alazoparyb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F9E0" w14:textId="539CFE83" w:rsidR="00C02F04" w:rsidRPr="003D2AE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</w:t>
            </w:r>
            <w:r w:rsid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FM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B700" w14:textId="1AE8A3D9" w:rsidR="00C02F04" w:rsidRPr="003D2AE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14B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76C9" w14:textId="64C5AF5B" w:rsidR="00C02F04" w:rsidRPr="003D2AE2" w:rsidRDefault="00C02F04" w:rsidP="007748B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II lub III linii </w:t>
            </w:r>
            <w:r w:rsidRPr="008A6D6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przerzutowego HER-2 ujemnego raka piers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</w:t>
            </w:r>
            <w:r w:rsidRPr="00BD46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obecnością mutacji w genach BRCA 1/2, po uprzednim zastosowaniu hormonoterapii z lub bez inhibitorów CDK4/6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C56B85" w:rsidRPr="005058F2" w14:paraId="5B5669A8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A034" w14:textId="7AB7E835" w:rsidR="00C56B85" w:rsidRPr="005058F2" w:rsidRDefault="00C56B85" w:rsidP="00C56B8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D1EB" w14:textId="72747778" w:rsidR="00C56B85" w:rsidRDefault="00C56B85" w:rsidP="00C56B8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Talzenna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F4D8" w14:textId="79182A81" w:rsidR="00C56B85" w:rsidRDefault="00C56B85" w:rsidP="00C56B8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talazoparyb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DF75" w14:textId="5A0EF273" w:rsidR="00C56B85" w:rsidRDefault="00C56B85" w:rsidP="00C56B8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</w:t>
            </w:r>
            <w:r w:rsid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FM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4EF0" w14:textId="036738ED" w:rsidR="00C56B85" w:rsidRPr="00714B8C" w:rsidRDefault="00C56B85" w:rsidP="00C56B8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14B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394F" w14:textId="3D41D474" w:rsidR="00C56B85" w:rsidRDefault="00C56B85" w:rsidP="00C56B8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56B8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lub II linii przerzutowego potrójnie ujemnego raka piersi z obecnością mutacji w genach </w:t>
            </w:r>
            <w:r w:rsidRPr="007748B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BRCA 1/2.</w:t>
            </w:r>
          </w:p>
        </w:tc>
      </w:tr>
      <w:tr w:rsidR="00C02F04" w:rsidRPr="005058F2" w14:paraId="5A345E23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07B638AA" w:rsidR="00C02F04" w:rsidRPr="005058F2" w:rsidRDefault="007748BD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</w:t>
            </w:r>
            <w:r w:rsidR="00C02F04"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361ADF90" w:rsidR="00C02F04" w:rsidRPr="00356E75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Trodelvy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081D38BD" w:rsidR="00C02F04" w:rsidRPr="00F63AA8" w:rsidRDefault="00AF430B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</w:t>
            </w:r>
            <w:r w:rsidR="00C02F04" w:rsidRPr="006625D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acytuzumab</w:t>
            </w:r>
            <w:proofErr w:type="spellEnd"/>
            <w:r w:rsidR="00C02F04" w:rsidRPr="006625D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02F04" w:rsidRPr="006625D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gowitekan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380388AB" w:rsidR="00C02F04" w:rsidRPr="003D2AE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</w:t>
            </w:r>
            <w:r w:rsid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FM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56CC154D" w:rsidR="00C02F04" w:rsidRPr="003D2AE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14B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1717" w14:textId="77777777" w:rsidR="00C02F04" w:rsidRPr="00047457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II lub III linii przerzutowego potrójnie ujemnego w przypadku pacjentów, </w:t>
            </w:r>
            <w:r w:rsidRPr="000474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którzy wcześniej otrzymali co najmniej dwie linie leczenia systemowego.</w:t>
            </w:r>
          </w:p>
          <w:p w14:paraId="309834F5" w14:textId="1134D1AF" w:rsidR="00C02F04" w:rsidRPr="003D2AE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Technologia lekowa o wysokim poziomie innowacyjności (technologia finansowana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br/>
              <w:t>z Funduszu Medycznego)</w:t>
            </w:r>
          </w:p>
        </w:tc>
      </w:tr>
      <w:tr w:rsidR="00C02F04" w:rsidRPr="005058F2" w14:paraId="2F304C7B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029E62DB" w:rsidR="00C02F04" w:rsidRPr="0048011A" w:rsidRDefault="007748BD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C02F0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1FB149A3" w:rsidR="00C02F04" w:rsidRPr="00356E75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8F13C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Lynparza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6F62B679" w:rsidR="00C02F04" w:rsidRPr="00F63AA8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F13C7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olaparyb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38FF2C01" w:rsidR="00C02F04" w:rsidRPr="0048011A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F13C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B.50.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3047F982" w:rsidR="00C02F04" w:rsidRPr="0048011A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F13C7">
              <w:rPr>
                <w:rFonts w:asciiTheme="majorHAnsi" w:hAnsiTheme="majorHAnsi" w:cstheme="majorHAnsi"/>
                <w:sz w:val="20"/>
                <w:szCs w:val="20"/>
              </w:rPr>
              <w:t xml:space="preserve">LECZENIE CHORYCH NA RAKA JAJNIKA, RAKA JAJOWODU LUB </w:t>
            </w:r>
            <w:r w:rsidRPr="008F13C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RAKA OTRZEWNEJ (ICD-10: C56, C57, C48)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5B49725A" w:rsidR="00C02F04" w:rsidRPr="0048011A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F13C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Leczenie </w:t>
            </w:r>
            <w:proofErr w:type="spellStart"/>
            <w:r w:rsidRPr="008F13C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olaparybem</w:t>
            </w:r>
            <w:proofErr w:type="spellEnd"/>
            <w:r w:rsidRPr="008F13C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8F13C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bewcyzumabem</w:t>
            </w:r>
            <w:proofErr w:type="spellEnd"/>
            <w:r w:rsidRPr="008F13C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pacjentek </w:t>
            </w:r>
            <w:r w:rsidRPr="008F13C7"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="007748BD">
              <w:rPr>
                <w:rFonts w:asciiTheme="majorHAnsi" w:hAnsiTheme="majorHAnsi" w:cstheme="majorHAnsi"/>
                <w:sz w:val="20"/>
                <w:szCs w:val="20"/>
              </w:rPr>
              <w:t xml:space="preserve"> nowo zdiagnozowanym</w:t>
            </w:r>
            <w:r w:rsidRPr="008F13C7">
              <w:rPr>
                <w:rFonts w:asciiTheme="majorHAnsi" w:hAnsiTheme="majorHAnsi" w:cstheme="majorHAnsi"/>
                <w:sz w:val="20"/>
                <w:szCs w:val="20"/>
              </w:rPr>
              <w:t xml:space="preserve"> zawansowanym</w:t>
            </w:r>
            <w:r w:rsidR="007748B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F13C7">
              <w:rPr>
                <w:rFonts w:asciiTheme="majorHAnsi" w:hAnsiTheme="majorHAnsi" w:cstheme="majorHAnsi"/>
                <w:sz w:val="20"/>
                <w:szCs w:val="20"/>
              </w:rPr>
              <w:t xml:space="preserve">rakiem jajnika (stopień zaawansowania FIGO IV lub III) z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obecnością mutacji </w:t>
            </w:r>
            <w:r w:rsidRPr="008F13C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 genach </w:t>
            </w:r>
            <w:r w:rsidRPr="008F13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BRCA1/2</w:t>
            </w:r>
            <w:r w:rsidRPr="008F13C7">
              <w:rPr>
                <w:rFonts w:asciiTheme="majorHAnsi" w:hAnsiTheme="majorHAnsi" w:cstheme="majorHAnsi"/>
                <w:sz w:val="20"/>
                <w:szCs w:val="20"/>
              </w:rPr>
              <w:t xml:space="preserve"> lub potwierdzonym niedoborem homologicznej rekombinacji (HRD) bez względu na obecność choroby resztkowej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02F04" w:rsidRPr="005058F2" w14:paraId="4193F70D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59495414" w:rsidR="00C02F04" w:rsidRPr="005058F2" w:rsidRDefault="007748BD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lastRenderedPageBreak/>
              <w:t>6</w:t>
            </w:r>
            <w:r w:rsidR="00C02F04" w:rsidRPr="0048011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107111A4" w:rsidR="00C02F04" w:rsidRPr="00356E75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Cyramza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47296D47" w:rsidR="00C02F04" w:rsidRPr="00F63AA8" w:rsidRDefault="00AF430B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</w:t>
            </w:r>
            <w:r w:rsidR="00C02F0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amucyrumab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1373D7DF" w:rsidR="00C02F04" w:rsidRPr="003D2AE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B.58.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5E2D3883" w:rsidR="00C02F04" w:rsidRPr="003D2AE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7D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ZAAWANSOWANEGO RAKA PRZEŁYKU I ŻOŁĄDKA (ICD-10: C15-C16)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07DDE3C4" w:rsidR="00C02F04" w:rsidRPr="003D2AE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II linii zaawansowanego raka żołądka </w:t>
            </w:r>
            <w:r w:rsidRPr="00905CF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przypadku pacjentów, u których wykazano progresję choroby po wcześniejszej chemioterapii pochodnymi platyny i </w:t>
            </w:r>
            <w:proofErr w:type="spellStart"/>
            <w:r w:rsidRPr="00905CF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fluoropirymidyną</w:t>
            </w:r>
            <w:proofErr w:type="spellEnd"/>
            <w:r w:rsidRPr="00905CF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Terapia skojarzona z </w:t>
            </w:r>
            <w:proofErr w:type="spellStart"/>
            <w:r w:rsidRPr="00905CF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paklitakselem</w:t>
            </w:r>
            <w:proofErr w:type="spellEnd"/>
            <w:r w:rsidRPr="00905CF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C02F04" w:rsidRPr="005058F2" w14:paraId="76CCD2CF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5FA6" w14:textId="3437FFA1" w:rsidR="00C02F04" w:rsidRDefault="007748BD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C02F0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5186" w14:textId="66779870" w:rsidR="00C02F04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Opdivo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62F0" w14:textId="373DF665" w:rsidR="00C02F04" w:rsidRDefault="00AF430B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="00C02F0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iwolumab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622F" w14:textId="055698F5" w:rsidR="00C02F04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B.58.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8C7A" w14:textId="663693F1" w:rsidR="00C02F04" w:rsidRPr="00714B8C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7D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ZAAWANSOWANEGO RAKA PRZEŁYKU I ŻOŁĄDKA (ICD-10: C15-C16)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F145" w14:textId="56D67372" w:rsidR="00C02F04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II linii zaawansowanego raka przełyku w przypadku pacjentów, </w:t>
            </w:r>
            <w:r w:rsidRPr="0001401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którzy wcześniej otrzymywali chemioterapię opartą na pochodnych platyny w skojarzeniu z </w:t>
            </w:r>
            <w:proofErr w:type="spellStart"/>
            <w:r w:rsidRPr="0001401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fluoropirymidyną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C02F04" w:rsidRPr="005058F2" w14:paraId="37CAB5F9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A1A0" w14:textId="08D39FC0" w:rsidR="00C02F04" w:rsidRDefault="007748BD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="00AF430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596E" w14:textId="7C17AFA8" w:rsidR="00C02F04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Lynparza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B6CB" w14:textId="19651C68" w:rsidR="00C02F04" w:rsidRPr="006625D2" w:rsidRDefault="007748BD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olaparyb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3773" w14:textId="3BE500D2" w:rsidR="00C02F04" w:rsidRDefault="007748BD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B.85.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2F56" w14:textId="6A63C0C4" w:rsidR="00C02F04" w:rsidRPr="00714B8C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465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GRUCZOLAKORAKIEM TRZUSTKI (ICD-10 C 25.0, C 25.1, C 25.2, C 25.3, C 25.5, C 25.6, C 25.7, C 25.8, C 25.9)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DA1F" w14:textId="532EC982" w:rsidR="00C02F04" w:rsidRDefault="00604461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</w:t>
            </w:r>
            <w:r w:rsidR="00C02F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eczenie podtrzymujące pacjentów z gruczolakorakiem trzustki z mutacją w genach </w:t>
            </w:r>
            <w:r w:rsidRPr="0060446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BRCA1/2</w:t>
            </w:r>
            <w:r w:rsidR="00C02F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u których zakończono co najmniej 16-tyg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</w:t>
            </w:r>
            <w:r w:rsidR="00C02F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dniowy cykl chemioterapii z udziałem pochodnych platyny. </w:t>
            </w:r>
          </w:p>
        </w:tc>
      </w:tr>
      <w:tr w:rsidR="00C02F04" w:rsidRPr="005058F2" w14:paraId="36AE441F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AAA1" w14:textId="6D45458E" w:rsidR="00C02F04" w:rsidRDefault="007748BD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AF430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84CE" w14:textId="2907F18E" w:rsidR="00C02F04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Lutathera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B405" w14:textId="39399016" w:rsidR="00C02F04" w:rsidRPr="006625D2" w:rsidRDefault="00AF430B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</w:t>
            </w:r>
            <w:r w:rsidR="00C02F04" w:rsidRPr="0049339E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utet</w:t>
            </w:r>
            <w:r w:rsidR="0060446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</w:t>
            </w:r>
            <w:r w:rsidR="00C02F04" w:rsidRPr="0049339E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(177Lu) </w:t>
            </w:r>
            <w:proofErr w:type="spellStart"/>
            <w:r w:rsidR="00C02F04" w:rsidRPr="0049339E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</w:t>
            </w:r>
            <w:r w:rsidR="0060446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ksodotreotyd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F950" w14:textId="666DACFD" w:rsidR="00C02F04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B.139. 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2F34" w14:textId="189257CE" w:rsidR="00C02F04" w:rsidRPr="00714B8C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933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NOWOTWORAMI NEUROENDOKRYNNYMI UKŁADU POKARMOWEGO Z ZASTOSOWANIEM RADIOFARMACEUTYKÓW (ICD-10: C25.4, C17.0-C17.9, C18.0-C18.4)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22F9" w14:textId="3EC8DBF1" w:rsidR="00C02F04" w:rsidRDefault="00101C00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</w:t>
            </w:r>
            <w:r w:rsidR="00C02F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guzami </w:t>
            </w:r>
            <w:r w:rsidR="00C02F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neuroendokrynny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mi </w:t>
            </w:r>
            <w:r w:rsidR="00C02F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trzustki </w:t>
            </w:r>
            <w:r w:rsidRPr="00101C0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(ICD-10 C 25.4)</w:t>
            </w:r>
          </w:p>
          <w:p w14:paraId="7EC3C01E" w14:textId="0586D56C" w:rsidR="00F97C9A" w:rsidRPr="00101C00" w:rsidRDefault="00F97C9A" w:rsidP="00F97C9A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101C0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(Choroba rzadka)</w:t>
            </w:r>
          </w:p>
        </w:tc>
      </w:tr>
      <w:tr w:rsidR="007748BD" w:rsidRPr="005058F2" w14:paraId="494E9EB7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42D0" w14:textId="4F15486C" w:rsidR="007748BD" w:rsidRDefault="007748BD" w:rsidP="007748B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1BF3" w14:textId="2FB5AE06" w:rsidR="007748BD" w:rsidRDefault="007748BD" w:rsidP="007748B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Lutathera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12D1" w14:textId="35596B61" w:rsidR="007748BD" w:rsidRDefault="00604461" w:rsidP="007748B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60446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lutetu (177Lu) </w:t>
            </w:r>
            <w:proofErr w:type="spellStart"/>
            <w:r w:rsidRPr="0060446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oksodotreotyd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B817" w14:textId="63854587" w:rsidR="007748BD" w:rsidRDefault="007748BD" w:rsidP="007748B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B.139. 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0DDD" w14:textId="0AC94162" w:rsidR="007748BD" w:rsidRPr="0049339E" w:rsidRDefault="007748BD" w:rsidP="007748B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933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NOWOTWORAMI NEUROENDOKRYNNYMI UKŁADU POKARMOWEGO Z ZASTOSOWANIEM RADIOFARMACEUTYKÓW (ICD-10: C25.4, C17.0-C17.9, C18.0-C18.4)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F88F" w14:textId="77777777" w:rsidR="007748BD" w:rsidRDefault="00101C00" w:rsidP="007748B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1C0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nowotworami neuroendokrynnymi przewodu pokarmowego wywodzącego się ze środkowego odcinka prajelita (MIDGUT) (ICD-10 C17.0-C17.9, C18.0-C18.4)</w:t>
            </w:r>
          </w:p>
          <w:p w14:paraId="34C6CA60" w14:textId="504BBB83" w:rsidR="00101C00" w:rsidRPr="00101C00" w:rsidRDefault="00101C00" w:rsidP="007748B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1C0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C02F04" w:rsidRPr="005058F2" w14:paraId="31E68063" w14:textId="77777777" w:rsidTr="00B77B23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8597" w14:textId="1192D173" w:rsidR="00C02F04" w:rsidRDefault="007748BD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11</w:t>
            </w:r>
            <w:r w:rsidR="00AF430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D73B" w14:textId="30442187" w:rsidR="00C02F04" w:rsidRPr="00235806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Bavencio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E96B" w14:textId="7932B5E2" w:rsidR="00C02F04" w:rsidRPr="006625D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</w:t>
            </w:r>
            <w:r w:rsidR="007748B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welumab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98CB" w14:textId="2F0EA7E6" w:rsidR="00C02F04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B.141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854D" w14:textId="078371E8" w:rsidR="00C02F04" w:rsidRPr="00714B8C" w:rsidRDefault="00604461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UROTELIALNYM</w:t>
            </w:r>
            <w:r w:rsidR="00C02F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(ICD-10: C61, C65, C66, C67, C68)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C7D9" w14:textId="75447A3F" w:rsidR="00C02F04" w:rsidRPr="002C2366" w:rsidRDefault="00C02F04" w:rsidP="00604461">
            <w:pPr>
              <w:spacing w:before="60" w:after="60" w:line="240" w:lineRule="auto"/>
              <w:jc w:val="center"/>
              <w:rPr>
                <w:rFonts w:asciiTheme="majorHAnsi" w:eastAsia="SimSun" w:hAnsiTheme="majorHAnsi" w:cstheme="majorHAnsi"/>
                <w:bCs/>
                <w:sz w:val="20"/>
                <w:lang w:eastAsia="zh-CN"/>
              </w:rPr>
            </w:pPr>
            <w:r w:rsidRPr="006044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podtrzymujące </w:t>
            </w:r>
            <w:proofErr w:type="spellStart"/>
            <w:r w:rsidRPr="006044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awelumabem</w:t>
            </w:r>
            <w:proofErr w:type="spellEnd"/>
            <w:r w:rsidRPr="006044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pierwszego rzutu raka </w:t>
            </w:r>
            <w:proofErr w:type="spellStart"/>
            <w:r w:rsidRPr="006044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urotelialnego</w:t>
            </w:r>
            <w:proofErr w:type="spellEnd"/>
            <w:r w:rsidRPr="006044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stadium miejscowego zaawansowania poza możliwościami miejscowego leczenia o charakterze radykalnym lub w stadium uogólnienia u pacjentów, u których nie doszło do progresji choroby podczas stosowania chemioterapii paliatywnej opartej na pochodnych platyny</w:t>
            </w:r>
          </w:p>
        </w:tc>
      </w:tr>
      <w:tr w:rsidR="00C02F04" w:rsidRPr="005058F2" w14:paraId="4C9C4901" w14:textId="77777777" w:rsidTr="00A434EB">
        <w:trPr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C02F04" w:rsidRPr="005058F2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C02F04" w:rsidRPr="005058F2" w14:paraId="1394CD71" w14:textId="77777777" w:rsidTr="002C2366">
        <w:trPr>
          <w:trHeight w:val="628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C02F04" w:rsidRPr="00A22A7B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C02F04" w:rsidRPr="00A22A7B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C02F04" w:rsidRPr="00A22A7B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C02F04" w:rsidRPr="00A22A7B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C02F04" w:rsidRPr="00A22A7B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C02F04" w:rsidRPr="00A22A7B" w:rsidRDefault="00C02F04" w:rsidP="00C02F0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87494D" w:rsidRPr="005058F2" w14:paraId="50CC5A7D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3403" w14:textId="393D8ECC" w:rsidR="0087494D" w:rsidRPr="007321D8" w:rsidRDefault="0055666C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="0087494D"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399F" w14:textId="395F1917" w:rsidR="0087494D" w:rsidRPr="0087494D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49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Betaferon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5D22" w14:textId="002C14C7" w:rsidR="0087494D" w:rsidRPr="00AE069A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</w:t>
            </w:r>
            <w:r w:rsidRPr="0087494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nterferon beta-1b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A910" w14:textId="436D4C94" w:rsidR="0087494D" w:rsidRPr="00A22A7B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77C5" w14:textId="531F9AEA" w:rsidR="0087494D" w:rsidRPr="00A22A7B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1464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8B03" w14:textId="77777777" w:rsidR="004C606B" w:rsidRDefault="004C606B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wtórnie postępującą postacią stwardnienia rozsianego (</w:t>
            </w:r>
            <w:r w:rsidRPr="00B77B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SPMS</w:t>
            </w:r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). </w:t>
            </w:r>
          </w:p>
          <w:p w14:paraId="684F99CE" w14:textId="02771425" w:rsidR="0087494D" w:rsidRDefault="004C606B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populacja pacjentów do tej pory nieobjęta refundacją.</w:t>
            </w:r>
          </w:p>
        </w:tc>
      </w:tr>
      <w:tr w:rsidR="0087494D" w:rsidRPr="005058F2" w14:paraId="7B347F62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5152" w14:textId="42738865" w:rsidR="0087494D" w:rsidRPr="007321D8" w:rsidRDefault="0055666C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  <w:r w:rsidR="0087494D"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7F8B" w14:textId="4BC92E2E" w:rsidR="0087494D" w:rsidRPr="00356E75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49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Mayzent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DFA6" w14:textId="0A3BAD9D" w:rsidR="0087494D" w:rsidRPr="00AE069A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</w:t>
            </w:r>
            <w:r w:rsidRPr="0087494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iponimod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A936" w14:textId="3C16583F" w:rsidR="0087494D" w:rsidRPr="00A22A7B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8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6883" w14:textId="404430BE" w:rsidR="0087494D" w:rsidRPr="00A22A7B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1464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9995" w14:textId="77777777" w:rsidR="004C606B" w:rsidRDefault="00101C00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01C0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wtórnie postępującą postacią stwardnienia rozsianego (</w:t>
            </w:r>
            <w:r w:rsidRPr="00B77B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SPMS</w:t>
            </w:r>
            <w:r w:rsidRPr="00101C0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  <w:r w:rsid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2F055902" w14:textId="6C7DB513" w:rsidR="0087494D" w:rsidRDefault="004C606B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populacja pacjentów do tej pory nieobjęta refundacją.</w:t>
            </w:r>
          </w:p>
        </w:tc>
      </w:tr>
      <w:tr w:rsidR="0087494D" w:rsidRPr="005058F2" w14:paraId="7876F164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65C3" w14:textId="0D30374E" w:rsidR="0087494D" w:rsidRPr="007321D8" w:rsidRDefault="0055666C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  <w:r w:rsidR="0087494D"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A867" w14:textId="0B66A893" w:rsidR="0087494D" w:rsidRPr="00356E75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49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Kesimpta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6AF5" w14:textId="0A9227C5" w:rsidR="0087494D" w:rsidRPr="00AE069A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</w:t>
            </w:r>
            <w:r w:rsidRPr="0087494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fatumumab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2D4C" w14:textId="321B99A8" w:rsidR="0087494D" w:rsidRPr="00A22A7B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8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6C7E" w14:textId="67E2877D" w:rsidR="0087494D" w:rsidRPr="00A22A7B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1464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DB56" w14:textId="77777777" w:rsidR="004C606B" w:rsidRDefault="00BC309F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 I linii pacjentów z rzutowo-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</w:t>
            </w:r>
            <w:r w:rsidRPr="00B77B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RRMS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  <w:r w:rsid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45B2D3DF" w14:textId="3764E2C8" w:rsidR="0087494D" w:rsidRDefault="004C606B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opcja terapeutyczna w I linii leczenia.</w:t>
            </w:r>
          </w:p>
        </w:tc>
      </w:tr>
      <w:tr w:rsidR="0087494D" w:rsidRPr="005058F2" w14:paraId="5CBAF64C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C548" w14:textId="49B72D8F" w:rsidR="0087494D" w:rsidRPr="007321D8" w:rsidRDefault="00682C79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</w:t>
            </w:r>
            <w:r w:rsidR="0087494D"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5A77" w14:textId="531847E1" w:rsidR="0087494D" w:rsidRPr="00356E75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49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Ponvory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2BA6" w14:textId="0601C26E" w:rsidR="0087494D" w:rsidRPr="00AE069A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</w:t>
            </w:r>
            <w:r w:rsidRPr="0087494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onesimod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3D6C" w14:textId="06CF59CC" w:rsidR="0087494D" w:rsidRPr="00A22A7B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8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21F7" w14:textId="5BB49736" w:rsidR="0087494D" w:rsidRPr="00A22A7B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1464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6F39" w14:textId="77777777" w:rsidR="004C606B" w:rsidRPr="004C606B" w:rsidRDefault="004C606B" w:rsidP="004C60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 I linii pacjentów z rzutowo-</w:t>
            </w:r>
            <w:proofErr w:type="spellStart"/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</w:t>
            </w:r>
            <w:r w:rsidRPr="004C60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RRMS</w:t>
            </w:r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). </w:t>
            </w:r>
          </w:p>
          <w:p w14:paraId="1D04D062" w14:textId="7219DF2E" w:rsidR="0087494D" w:rsidRDefault="004C606B" w:rsidP="004C60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opcja terapeutyczna w I linii leczenia.</w:t>
            </w:r>
          </w:p>
        </w:tc>
      </w:tr>
      <w:tr w:rsidR="0087494D" w:rsidRPr="005058F2" w14:paraId="1BA7C42C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30F" w14:textId="7E1C02FE" w:rsidR="0087494D" w:rsidRPr="007321D8" w:rsidRDefault="00682C79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</w:t>
            </w:r>
            <w:r w:rsidR="0087494D"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0A55" w14:textId="0E4C0D92" w:rsidR="0087494D" w:rsidRPr="00356E75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49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Zeposia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739" w14:textId="6DE41646" w:rsidR="0087494D" w:rsidRPr="00AE069A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</w:t>
            </w:r>
            <w:r w:rsidRPr="0087494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zanimod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653" w14:textId="2C73018E" w:rsidR="0087494D" w:rsidRPr="00A22A7B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58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837" w14:textId="530F7715" w:rsidR="0087494D" w:rsidRPr="00A22A7B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1464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FA30" w14:textId="77777777" w:rsidR="004C606B" w:rsidRPr="004C606B" w:rsidRDefault="004C606B" w:rsidP="004C60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 I linii pacjentów z rzutowo-</w:t>
            </w:r>
            <w:proofErr w:type="spellStart"/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</w:t>
            </w:r>
            <w:r w:rsidRPr="004C606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RRMS</w:t>
            </w:r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). </w:t>
            </w:r>
          </w:p>
          <w:p w14:paraId="55DD0C8E" w14:textId="0DD1EBE4" w:rsidR="0087494D" w:rsidRPr="00A22A7B" w:rsidRDefault="004C606B" w:rsidP="004C606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C606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opcja terapeutyczna w I linii leczenia.</w:t>
            </w:r>
          </w:p>
        </w:tc>
      </w:tr>
      <w:tr w:rsidR="0087494D" w:rsidRPr="005058F2" w14:paraId="08FD8D57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3920" w14:textId="4132D41B" w:rsidR="0087494D" w:rsidRDefault="00682C79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6.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4FC0" w14:textId="3AB3C02C" w:rsidR="0087494D" w:rsidRPr="00BC309F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309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Gilenya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4B65" w14:textId="4B4DA6BF" w:rsidR="0087494D" w:rsidRPr="00BC309F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09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fingolimod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48F2" w14:textId="5E65EE86" w:rsidR="0087494D" w:rsidRPr="00BC309F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3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2B15" w14:textId="077C6F16" w:rsidR="0087494D" w:rsidRPr="00BC309F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3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CB01" w14:textId="174D0AE8" w:rsidR="00285B61" w:rsidRDefault="00285B61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</w:t>
            </w:r>
            <w:proofErr w:type="spellStart"/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</w:t>
            </w:r>
            <w:r w:rsidRPr="00285B6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RRMS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 oraz szybko rozwijając</w:t>
            </w:r>
            <w:r w:rsidR="001820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się, ciężk</w:t>
            </w:r>
            <w:r w:rsidR="001820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</w:t>
            </w:r>
            <w:r w:rsidR="001820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1820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B77B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RES</w:t>
            </w:r>
            <w:r w:rsidR="0018207F" w:rsidRPr="001820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</w:p>
          <w:p w14:paraId="1C6C7CD4" w14:textId="2A261232" w:rsidR="0087494D" w:rsidRPr="00BC309F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3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Obniżenie wieku kwalifikacji pacjentów od 10 r.ż.</w:t>
            </w:r>
          </w:p>
        </w:tc>
      </w:tr>
      <w:tr w:rsidR="0087494D" w:rsidRPr="005058F2" w14:paraId="73DBD211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07BB" w14:textId="52749C5A" w:rsidR="0087494D" w:rsidRDefault="00682C79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7.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945C" w14:textId="10CA46CB" w:rsidR="0087494D" w:rsidRPr="00BC309F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309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Mavenclad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57FB" w14:textId="1E58FC82" w:rsidR="0087494D" w:rsidRPr="00BC309F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BC309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kladrybina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E164" w14:textId="1D0F89F2" w:rsidR="0087494D" w:rsidRPr="00BC309F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3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B5C8" w14:textId="782BBF02" w:rsidR="0087494D" w:rsidRPr="00BC309F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3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AEA0" w14:textId="52D6ACF0" w:rsidR="0087494D" w:rsidRPr="00BC309F" w:rsidRDefault="0018207F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</w:t>
            </w:r>
            <w:proofErr w:type="spellStart"/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</w:t>
            </w:r>
            <w:r w:rsidRPr="00285B6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RRMS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 oraz szybko rozwijając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się, ciężk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B77B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RES</w:t>
            </w:r>
            <w:r w:rsidRPr="001820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285B61" w:rsidRPr="005058F2" w14:paraId="1838D0EF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C7CA" w14:textId="1561F13F" w:rsidR="00285B61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5E16" w14:textId="5188ABE6" w:rsidR="00285B61" w:rsidRPr="00BC309F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309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Tysabri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3354" w14:textId="0337671B" w:rsidR="00285B61" w:rsidRPr="00BC309F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09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natalizumab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0657" w14:textId="7F7B3465" w:rsidR="00285B61" w:rsidRPr="00BC309F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3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15DE" w14:textId="349612BC" w:rsidR="00285B61" w:rsidRPr="00BC309F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3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AC75" w14:textId="14EBC7A4" w:rsidR="00285B61" w:rsidRPr="00BC309F" w:rsidRDefault="0018207F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</w:t>
            </w:r>
            <w:proofErr w:type="spellStart"/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</w:t>
            </w:r>
            <w:r w:rsidRPr="00285B6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RRMS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 oraz szybko rozwijając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się, ciężk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B77B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RES</w:t>
            </w:r>
            <w:r w:rsidRPr="0018207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285B61" w:rsidRPr="005058F2" w14:paraId="3FA1CC4D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21E6" w14:textId="243FA3BA" w:rsidR="00285B61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41CE" w14:textId="1379DAB3" w:rsidR="00285B61" w:rsidRPr="00BC309F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309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Ocrevus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6017" w14:textId="44C7C2B2" w:rsidR="00285B61" w:rsidRPr="00BC309F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C309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okrelizumab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2D8A" w14:textId="3E84ECF2" w:rsidR="00285B61" w:rsidRPr="00BC309F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3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0981" w14:textId="0C82E84B" w:rsidR="00285B61" w:rsidRPr="00BC309F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C3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9C2A" w14:textId="151639B3" w:rsidR="00285B61" w:rsidRPr="00BC309F" w:rsidRDefault="00285B61" w:rsidP="00285B6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</w:t>
            </w:r>
            <w:proofErr w:type="spellStart"/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285B6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</w:t>
            </w:r>
            <w:r w:rsidRPr="00285B6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RRMS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</w:p>
        </w:tc>
      </w:tr>
      <w:tr w:rsidR="0087494D" w:rsidRPr="005058F2" w14:paraId="1A7EC668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1CA6" w14:textId="44F75A40" w:rsidR="0087494D" w:rsidRDefault="00682C79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11E6" w14:textId="7F59EC8E" w:rsidR="0087494D" w:rsidRPr="0087494D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Cystadrops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8E87" w14:textId="77777777" w:rsidR="00FB0BB6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merkatamina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19F9FAA" w14:textId="16D6BCE0" w:rsidR="0087494D" w:rsidRPr="0087494D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="00FB0BB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ysteamina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104" w14:textId="7FC8E7AE" w:rsidR="0087494D" w:rsidRPr="000E5854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B.61.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E280" w14:textId="5132641D" w:rsidR="0087494D" w:rsidRPr="00514649" w:rsidRDefault="0087494D" w:rsidP="004416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2" w:name="_Hlk80007338"/>
            <w:r w:rsidRPr="002722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CYSTYNOZĘ NEFROPATYCZNĄ (ICD-10: E72.0)</w:t>
            </w:r>
            <w:bookmarkEnd w:id="2"/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6C804" w14:textId="77777777" w:rsidR="00635C9D" w:rsidRPr="00635C9D" w:rsidRDefault="00635C9D" w:rsidP="00635C9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35C9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powikłań ocznych cystynozy </w:t>
            </w:r>
            <w:proofErr w:type="spellStart"/>
            <w:r w:rsidRPr="00635C9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nefropatycznej</w:t>
            </w:r>
            <w:proofErr w:type="spellEnd"/>
            <w:r w:rsidRPr="00635C9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7B240DAC" w14:textId="77777777" w:rsidR="00635C9D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Nowa </w:t>
            </w:r>
            <w:r w:rsidR="00635C9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forma leczenia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cysteaminy</w:t>
            </w:r>
            <w:proofErr w:type="spellEnd"/>
            <w:r w:rsidR="00635C9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postaci kropli do oczu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finansowana w ramach programu. </w:t>
            </w:r>
          </w:p>
          <w:p w14:paraId="08EA2AF6" w14:textId="24DB5112" w:rsidR="0087494D" w:rsidRPr="00101C00" w:rsidRDefault="0087494D" w:rsidP="0087494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01C0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2C2366" w:rsidRPr="005058F2" w14:paraId="55404179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661E" w14:textId="307F7DA7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7712" w14:textId="7D825C21" w:rsidR="002C2366" w:rsidRPr="0087494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F13C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Leqvio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D623" w14:textId="0D154C96" w:rsidR="002C2366" w:rsidRPr="0087494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F13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</w:t>
            </w:r>
            <w:r w:rsidRPr="008F13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lisiran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EC6F" w14:textId="0527CDDE" w:rsidR="002C2366" w:rsidRPr="000E5854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F13C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B.101.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3192" w14:textId="63117A0A" w:rsidR="002C2366" w:rsidRPr="00514649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F13C7">
              <w:rPr>
                <w:rFonts w:asciiTheme="majorHAnsi" w:hAnsiTheme="majorHAnsi" w:cstheme="majorHAnsi"/>
                <w:sz w:val="20"/>
                <w:szCs w:val="20"/>
              </w:rPr>
              <w:t>LECZENIE PACJENTÓW Z ZABURZENIAMI LIPIDOWYMI (ICD-10 E78.01, I21, I22, I25)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050" w14:textId="3083BAE9" w:rsidR="002C2366" w:rsidRDefault="002C2366" w:rsidP="001410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1194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Leczenie dorosłych pacjentów z hipercholesterolemią rodzinną lub z bardzo wysokim ryzykiem chorób układu sercowo-naczyniowego </w:t>
            </w:r>
            <w:r w:rsidRPr="0061194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 jako uzupełnienie diety u pacjentów, u których nie można osiągnąć stężenia LDL-C będącego celem terapii w wyniku stosowania </w:t>
            </w:r>
            <w:r w:rsidRPr="0061194E">
              <w:rPr>
                <w:rFonts w:asciiTheme="majorHAnsi" w:hAnsiTheme="majorHAnsi" w:cstheme="majorHAnsi"/>
                <w:sz w:val="20"/>
                <w:szCs w:val="20"/>
              </w:rPr>
              <w:t xml:space="preserve">intensywnego leczenia </w:t>
            </w:r>
            <w:proofErr w:type="spellStart"/>
            <w:r w:rsidRPr="0061194E">
              <w:rPr>
                <w:rFonts w:asciiTheme="majorHAnsi" w:hAnsiTheme="majorHAnsi" w:cstheme="majorHAnsi"/>
                <w:sz w:val="20"/>
                <w:szCs w:val="20"/>
              </w:rPr>
              <w:t>statynami</w:t>
            </w:r>
            <w:proofErr w:type="spellEnd"/>
            <w:r w:rsidRPr="0061194E">
              <w:rPr>
                <w:rFonts w:asciiTheme="majorHAnsi" w:hAnsiTheme="majorHAnsi" w:cstheme="majorHAnsi"/>
                <w:sz w:val="20"/>
                <w:szCs w:val="20"/>
              </w:rPr>
              <w:t xml:space="preserve">, w tym leczenia skojarzonego z </w:t>
            </w:r>
            <w:proofErr w:type="spellStart"/>
            <w:r w:rsidRPr="0061194E">
              <w:rPr>
                <w:rFonts w:asciiTheme="majorHAnsi" w:hAnsiTheme="majorHAnsi" w:cstheme="majorHAnsi"/>
                <w:sz w:val="20"/>
                <w:szCs w:val="20"/>
              </w:rPr>
              <w:t>ezetymibem</w:t>
            </w:r>
            <w:proofErr w:type="spellEnd"/>
            <w:r w:rsidRPr="0061194E">
              <w:rPr>
                <w:rFonts w:asciiTheme="majorHAnsi" w:hAnsiTheme="majorHAnsi" w:cstheme="majorHAnsi"/>
                <w:sz w:val="20"/>
                <w:szCs w:val="20"/>
              </w:rPr>
              <w:t>, jak również</w:t>
            </w:r>
            <w:r w:rsidRPr="0061194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u pacjentów nietolerujących </w:t>
            </w:r>
            <w:proofErr w:type="spellStart"/>
            <w:r w:rsidRPr="0061194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statyn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C2366" w:rsidRPr="005058F2" w14:paraId="3836A613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FB19" w14:textId="14152C7E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12.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C5BF" w14:textId="58AA5CE9" w:rsidR="002C2366" w:rsidRPr="0087494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Dupixent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1E29" w14:textId="1ABB3009" w:rsidR="002C2366" w:rsidRPr="0087494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dupilumab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C257" w14:textId="1A2E977F" w:rsidR="002C2366" w:rsidRPr="000E5854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6D54" w14:textId="0876AEE5" w:rsidR="002C2366" w:rsidRPr="00514649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326A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14BF" w14:textId="5DE2B809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ciężkiej postaci atopowego zapalenia skóry u pacjentów w wieku od 6 do </w:t>
            </w:r>
            <w:r w:rsid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lat</w:t>
            </w:r>
            <w:r w:rsid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za pomocą </w:t>
            </w:r>
            <w:proofErr w:type="spellStart"/>
            <w:r w:rsid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dupilumabu</w:t>
            </w:r>
            <w:proofErr w:type="spellEnd"/>
            <w:r w:rsid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(przeciwciała monoklonalnego) do podawania podskórnego.</w:t>
            </w:r>
          </w:p>
        </w:tc>
      </w:tr>
      <w:tr w:rsidR="00FE6F58" w:rsidRPr="005058F2" w14:paraId="662FFFC0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809E" w14:textId="2007B921" w:rsidR="00FE6F58" w:rsidRDefault="00FE6F58" w:rsidP="00FE6F5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13.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116D" w14:textId="1E8826F7" w:rsidR="00FE6F58" w:rsidRPr="00D76A69" w:rsidRDefault="00FE6F58" w:rsidP="00FE6F5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Dupixent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6F3E" w14:textId="684B8834" w:rsidR="00FE6F58" w:rsidRPr="00D76A69" w:rsidRDefault="00FE6F58" w:rsidP="00FE6F5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6A6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dupilumab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85E5" w14:textId="34B50EC1" w:rsidR="00FE6F58" w:rsidRDefault="00FE6F58" w:rsidP="00FE6F5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A35E" w14:textId="2103D01E" w:rsidR="00FE6F58" w:rsidRPr="00B326A9" w:rsidRDefault="00FE6F58" w:rsidP="00FE6F5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326A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2CAF" w14:textId="712AA55A" w:rsidR="00FE6F58" w:rsidRDefault="00FE6F58" w:rsidP="00FE6F5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ciężkiej postaci atopowego zapalenia skóry u pacjentów w wieku od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12 </w:t>
            </w:r>
            <w:r w:rsidRP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 18 lat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za pomocą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dupilumabu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(przeciwciała monoklonalnego) do podawania podskórnego.</w:t>
            </w:r>
          </w:p>
        </w:tc>
      </w:tr>
      <w:tr w:rsidR="002C2366" w:rsidRPr="005058F2" w14:paraId="32DD9727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639B" w14:textId="715A0580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="00FE6F58">
              <w:rPr>
                <w:rFonts w:asciiTheme="majorHAnsi" w:hAnsiTheme="majorHAnsi" w:cstheme="majorHAnsi"/>
                <w:color w:val="000000"/>
              </w:rPr>
              <w:t>4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1962" w14:textId="0963BBB9" w:rsidR="002C2366" w:rsidRPr="0087494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Rinvoq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A9E7" w14:textId="5225565D" w:rsidR="002C2366" w:rsidRPr="0087494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326A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F2EF" w14:textId="7D6F036D" w:rsidR="002C2366" w:rsidRPr="000E5854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A9DF" w14:textId="26E35E0A" w:rsidR="002C2366" w:rsidRPr="00514649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326A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8AFB" w14:textId="3A778E4B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ciężkiej postaci atopowego zapalenia skóry u pacjentów w</w:t>
            </w:r>
            <w:r w:rsidRPr="00B326A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wiek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</w:t>
            </w:r>
            <w:r w:rsidRPr="00B326A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12 lat i powyżej</w:t>
            </w:r>
            <w:r w:rsid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za pomocą </w:t>
            </w:r>
            <w:proofErr w:type="spellStart"/>
            <w:r w:rsid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upadacytynibu</w:t>
            </w:r>
            <w:proofErr w:type="spellEnd"/>
            <w:r w:rsid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(inhibitora JAK) do podawania doustnego.</w:t>
            </w:r>
          </w:p>
        </w:tc>
      </w:tr>
      <w:tr w:rsidR="002C2366" w:rsidRPr="005058F2" w14:paraId="42200185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BEC5" w14:textId="6C537669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="00FE6F58">
              <w:rPr>
                <w:rFonts w:asciiTheme="majorHAnsi" w:hAnsiTheme="majorHAnsi" w:cstheme="majorHAnsi"/>
                <w:color w:val="000000"/>
              </w:rPr>
              <w:t>5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6D1F" w14:textId="1781961D" w:rsidR="002C2366" w:rsidRPr="0087494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Olumiant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2B23" w14:textId="61689F97" w:rsidR="002C2366" w:rsidRPr="0087494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326A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baricytynib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8E44" w14:textId="05BF4185" w:rsidR="002C2366" w:rsidRPr="000E5854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BB84" w14:textId="154140BE" w:rsidR="002C2366" w:rsidRPr="00514649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326A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97B0" w14:textId="5AB65662" w:rsidR="002C2366" w:rsidRPr="001D332C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ciężkiej postaci atopowego zapalenia skóry u pacjentów w</w:t>
            </w:r>
            <w:r w:rsidRPr="00B326A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wiek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</w:t>
            </w:r>
            <w:r w:rsidRPr="00B326A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  <w:r w:rsidRPr="00B326A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lat i powyżej</w:t>
            </w:r>
            <w:r w:rsid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za pomocą </w:t>
            </w:r>
            <w:proofErr w:type="spellStart"/>
            <w:r w:rsid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baricytynibu</w:t>
            </w:r>
            <w:proofErr w:type="spellEnd"/>
            <w:r w:rsidR="00FE6F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(inhibitora JAK) do podawania doustnego.</w:t>
            </w:r>
          </w:p>
        </w:tc>
      </w:tr>
      <w:tr w:rsidR="002C2366" w:rsidRPr="005058F2" w14:paraId="17718E89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F1B2" w14:textId="6E5A372D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="00FE6F58">
              <w:rPr>
                <w:rFonts w:asciiTheme="majorHAnsi" w:hAnsiTheme="majorHAnsi" w:cstheme="majorHAnsi"/>
                <w:color w:val="000000"/>
              </w:rPr>
              <w:t>6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015E" w14:textId="35067A6B" w:rsidR="002C2366" w:rsidRPr="0087494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49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Enspryng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6CD6" w14:textId="549332D6" w:rsidR="002C2366" w:rsidRPr="0087494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7494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satralizumab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009F" w14:textId="2E121F06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B.138.FM.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940C" w14:textId="083CF682" w:rsidR="002C2366" w:rsidRPr="005C789D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C789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ZE SPEKTRUM ZAPALENIA NERWÓW WZROKOWYCH I RDZENIA KRĘGOWEGO (NMOSD) (ICD-10: G36.0)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9E16" w14:textId="77777777" w:rsidR="002C2366" w:rsidRPr="001D332C" w:rsidRDefault="002C2366" w:rsidP="002C2366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</w:pPr>
            <w:r w:rsidRPr="001D332C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Leczenie w monoterapii lub w skojarzeniu z terapią immunosupresyjną w leczeniu chorób ze spektrum zapalenia nerwów wzrokowych oraz rdzenia kręgowego (NMOSD, choroba </w:t>
            </w:r>
            <w:proofErr w:type="spellStart"/>
            <w:r w:rsidRPr="001D332C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Devica</w:t>
            </w:r>
            <w:proofErr w:type="spellEnd"/>
            <w:r w:rsidRPr="001D332C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) u pacjentów dorosłych i młodzieży w wieku powyżej 12 lat, u których występują przeciwciała </w:t>
            </w:r>
            <w:proofErr w:type="spellStart"/>
            <w:r w:rsidRPr="001D332C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IgG</w:t>
            </w:r>
            <w:proofErr w:type="spellEnd"/>
            <w:r w:rsidRPr="001D332C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przeciwko akwaporynie-4 (AQP4-IgG)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  <w:p w14:paraId="42C2890F" w14:textId="77777777" w:rsidR="002C2366" w:rsidRPr="00101C00" w:rsidRDefault="002C2366" w:rsidP="002C2366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101C0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(Choroba rzadka)</w:t>
            </w:r>
          </w:p>
          <w:p w14:paraId="76578AB7" w14:textId="3C10E0D6" w:rsidR="002C2366" w:rsidRPr="007E7C20" w:rsidRDefault="002C2366" w:rsidP="002C2366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Technologia lekowa o wysokim poziomie innowacyjności (technologia finansowana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br/>
              <w:t>z Funduszu Medycznego)</w:t>
            </w:r>
          </w:p>
        </w:tc>
      </w:tr>
      <w:tr w:rsidR="002C2366" w:rsidRPr="005058F2" w14:paraId="222F3502" w14:textId="77777777" w:rsidTr="00FB0BB6">
        <w:trPr>
          <w:trHeight w:val="2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3FA5" w14:textId="2742CFEF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="00FE6F58">
              <w:rPr>
                <w:rFonts w:asciiTheme="majorHAnsi" w:hAnsiTheme="majorHAnsi" w:cstheme="majorHAnsi"/>
                <w:color w:val="000000"/>
              </w:rPr>
              <w:t>7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792F" w14:textId="6E8E4A28" w:rsidR="002C2366" w:rsidRPr="0023580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580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Ravicti</w:t>
            </w:r>
            <w:proofErr w:type="spellEnd"/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432" w14:textId="37ADEAB1" w:rsidR="002C2366" w:rsidRDefault="00FB0BB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fenylomaślan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glicerolu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B469" w14:textId="4F4C0A04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B.140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EAFE" w14:textId="241408DE" w:rsidR="002C2366" w:rsidRDefault="00FB0BB6" w:rsidP="002C236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WSPOMAGAJĄCE ZABURZEŃ CYKLU MOCZNIKOWEGO</w:t>
            </w:r>
            <w:r w:rsidR="002C23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(ICD-10: E72.2)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6439" w14:textId="01FC32FE" w:rsidR="002C2366" w:rsidRDefault="002C2366" w:rsidP="002C2366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Leczenie </w:t>
            </w:r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zaburze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ń</w:t>
            </w:r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cyklu mocznikowego obejmujące niedobór: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syntetazy </w:t>
            </w:r>
            <w:proofErr w:type="spellStart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karbamoilofosforanowej</w:t>
            </w:r>
            <w:proofErr w:type="spellEnd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lub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karbamoilotransferazy</w:t>
            </w:r>
            <w:proofErr w:type="spellEnd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ornitynowej</w:t>
            </w:r>
            <w:proofErr w:type="spellEnd"/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lub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syntetazy </w:t>
            </w:r>
            <w:proofErr w:type="spellStart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argininobursztynianow</w:t>
            </w:r>
            <w:proofErr w:type="spellEnd"/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lub </w:t>
            </w:r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liazy </w:t>
            </w:r>
            <w:proofErr w:type="spellStart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argininobursztynianowej</w:t>
            </w:r>
            <w:proofErr w:type="spellEnd"/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lub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arginazy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translokazy</w:t>
            </w:r>
            <w:proofErr w:type="spellEnd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ornitynowej</w:t>
            </w:r>
            <w:proofErr w:type="spellEnd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(tzw. zespół HHH tj. </w:t>
            </w:r>
            <w:proofErr w:type="spellStart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lastRenderedPageBreak/>
              <w:t>hiperamonemia-hiperornitynemia-homocytrulinuria</w:t>
            </w:r>
            <w:proofErr w:type="spellEnd"/>
            <w:r w:rsidRPr="00916FB6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, w przypadku gdy ograniczenie spożycia białka bądź suplementacja aminokwasów nie są skuteczne.</w:t>
            </w:r>
          </w:p>
          <w:p w14:paraId="032AF615" w14:textId="0E94B2EE" w:rsidR="002C2366" w:rsidRPr="00101C00" w:rsidRDefault="002C2366" w:rsidP="002C2366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101C0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(Choroba rzadka)</w:t>
            </w:r>
          </w:p>
        </w:tc>
      </w:tr>
    </w:tbl>
    <w:p w14:paraId="3D4CB402" w14:textId="4664890D" w:rsidR="0005137C" w:rsidRDefault="0005137C"/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5058F2" w14:paraId="0B833808" w14:textId="77777777" w:rsidTr="005058F2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Zmiany w programach lekowych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i chemioterapii</w:t>
            </w:r>
          </w:p>
        </w:tc>
      </w:tr>
      <w:tr w:rsidR="00A434EB" w:rsidRPr="005058F2" w14:paraId="2BCC5E80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nu</w:t>
            </w:r>
            <w:r w:rsidRP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załącznika che</w:t>
            </w: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Krótki opis zmian dokonanych w obrębie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/ załącznika chemioterapii</w:t>
            </w:r>
          </w:p>
        </w:tc>
      </w:tr>
      <w:tr w:rsidR="001D332C" w:rsidRPr="005058F2" w14:paraId="50DA02B0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25C72FFB" w:rsidR="001D332C" w:rsidRPr="005058F2" w:rsidRDefault="001D332C" w:rsidP="001D332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5A0FDC30" w:rsidR="001D332C" w:rsidRPr="00A02A3D" w:rsidRDefault="001D332C" w:rsidP="000A2D1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2D7EF1BC" w:rsidR="001D332C" w:rsidRPr="00A02A3D" w:rsidRDefault="001D332C" w:rsidP="001D332C">
            <w:pPr>
              <w:autoSpaceDE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7A08" w14:textId="77777777" w:rsidR="001D332C" w:rsidRPr="00A02A3D" w:rsidRDefault="001D332C" w:rsidP="001D332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Program B.29 oraz B.46 połączono w jeden kompleksowy program leczenia SM. Program będzie realizowany w ośrodkach posiadających kontrakt na realizację programu B.29, aby nie ograniczać dostępu wyłącznie do ośrodków wysokospecjalistycznych. </w:t>
            </w:r>
          </w:p>
          <w:p w14:paraId="4BB282B6" w14:textId="77777777" w:rsidR="001D332C" w:rsidRPr="00A02A3D" w:rsidRDefault="001D332C" w:rsidP="001D332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Oprócz wskazanych powyżej zmian w zakresie dodania nowej populacji chorych na wtórnie postępującą postać SM oraz nowych opcji terapeutycznych w I linii leczenia RRMS złagodzone zostały kryteria kwalifikacji do II linii leczenia w rzutowo-</w:t>
            </w:r>
            <w:proofErr w:type="spellStart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remisyjnej</w:t>
            </w:r>
            <w:proofErr w:type="spellEnd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 SM w tym również w przypadku szybko rozwijającej się, ciężkiej postaci RES (dla dotychczas stosowanych leków)</w:t>
            </w:r>
          </w:p>
          <w:p w14:paraId="1A4D590F" w14:textId="77777777" w:rsidR="001D332C" w:rsidRPr="00A02A3D" w:rsidRDefault="001D332C" w:rsidP="001D332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 leczenia </w:t>
            </w:r>
            <w:proofErr w:type="spellStart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teriflunomidem</w:t>
            </w:r>
            <w:proofErr w:type="spellEnd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fingolimodem</w:t>
            </w:r>
            <w:proofErr w:type="spellEnd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będzie możliwość kwalifikacji pacjentów od 10 r.ż. - leki mają postać doustną (tabletki, kapsułki) co ma szczególne znaczenie dla populacji pediatrycznej.</w:t>
            </w:r>
          </w:p>
          <w:p w14:paraId="245E5F3B" w14:textId="77777777" w:rsidR="001D332C" w:rsidRPr="00A02A3D" w:rsidRDefault="001D332C" w:rsidP="001D332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Zarówno w I jak i w II linii leczenia RRMS dopuszczono zmianę leku na inny tak aby dobrać najbardziej optymalną terapię do pacjenta.</w:t>
            </w:r>
          </w:p>
          <w:p w14:paraId="5378188C" w14:textId="77777777" w:rsidR="001D332C" w:rsidRPr="00A02A3D" w:rsidRDefault="001D332C" w:rsidP="001D332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Pacjentom leczonym preparatami II linii umożliwiono deeskalację terapii na preparaty I linii leczenia.</w:t>
            </w:r>
          </w:p>
          <w:p w14:paraId="4BC7F39F" w14:textId="4152A2F4" w:rsidR="001D332C" w:rsidRPr="00A02A3D" w:rsidRDefault="001D332C" w:rsidP="001D332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Czasową zmianę terapii umożliwiono też dla kobiet planujących ciążę, w ciąży oraz w okresie karmienia piersią oraz dopuszczono odstąpienie od wykonania badania MRI w trakcie monitorowania programu w przypadku kobiet w ciąży</w:t>
            </w:r>
          </w:p>
        </w:tc>
      </w:tr>
      <w:tr w:rsidR="001D332C" w:rsidRPr="005058F2" w14:paraId="571B0832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658875DD" w:rsidR="001D332C" w:rsidRPr="005058F2" w:rsidRDefault="001D332C" w:rsidP="001D332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761B53AE" w:rsidR="001D332C" w:rsidRPr="00A02A3D" w:rsidRDefault="001D332C" w:rsidP="000A2D1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B.61.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02E974CC" w:rsidR="001D332C" w:rsidRPr="0044163E" w:rsidRDefault="001D332C" w:rsidP="004416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CYSTYNOZĘ NEFROPATYCZNĄ (ICD-10: E72.0)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3BAB3DF4" w:rsidR="001D332C" w:rsidRPr="00A02A3D" w:rsidRDefault="001D332C" w:rsidP="001D332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Doprecyzowanie zapisów w kryteriach kwalifikacji do leczenia </w:t>
            </w:r>
            <w:proofErr w:type="spellStart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cysteaminą</w:t>
            </w:r>
            <w:proofErr w:type="spellEnd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postaci doustnej oraz modyfikacje w zakresie badań laboratoryjnych wykonywanych przy kwalifikacji oraz badań wykonywanych podczas monitorowania leczenia.</w:t>
            </w:r>
          </w:p>
        </w:tc>
      </w:tr>
      <w:tr w:rsidR="001D332C" w:rsidRPr="005058F2" w14:paraId="66D571B6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3F1E9CA4" w:rsidR="001D332C" w:rsidRPr="005058F2" w:rsidRDefault="001D332C" w:rsidP="001D332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lastRenderedPageBreak/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282966F1" w:rsidR="001D332C" w:rsidRPr="00A02A3D" w:rsidRDefault="001D332C" w:rsidP="000A2D1C">
            <w:pPr>
              <w:pStyle w:val="Style2"/>
              <w:widowControl/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A02A3D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B.101.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575EED1D" w:rsidR="001D332C" w:rsidRPr="00A02A3D" w:rsidRDefault="001D332C" w:rsidP="001D332C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A02A3D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LECZENIE PACJENTÓW Z ZABURZENIAMI LIPIDOWYMI (ICD-10 E78.01, I21, I22, I25)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56CF7B54" w:rsidR="001D332C" w:rsidRPr="00A02A3D" w:rsidRDefault="00FB0BB6" w:rsidP="00FB0BB6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Dostosowanie </w:t>
            </w:r>
            <w:r w:rsidR="001D332C"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zapis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ów</w:t>
            </w:r>
            <w:r w:rsidR="001D332C"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programu lekowego do aktualnych  wytycznych klinicznych. Przykładowo rozszerzono wskazania dla </w:t>
            </w:r>
            <w:proofErr w:type="spellStart"/>
            <w:r w:rsidR="001D332C" w:rsidRPr="00A02A3D">
              <w:rPr>
                <w:rFonts w:asciiTheme="majorHAnsi" w:hAnsiTheme="majorHAnsi" w:cstheme="majorHAnsi"/>
                <w:sz w:val="20"/>
                <w:szCs w:val="20"/>
              </w:rPr>
              <w:t>alirokumabu</w:t>
            </w:r>
            <w:proofErr w:type="spellEnd"/>
            <w:r w:rsidR="001D332C" w:rsidRPr="00A02A3D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="001D332C" w:rsidRPr="00A02A3D">
              <w:rPr>
                <w:rFonts w:asciiTheme="majorHAnsi" w:hAnsiTheme="majorHAnsi" w:cstheme="majorHAnsi"/>
                <w:sz w:val="20"/>
                <w:szCs w:val="20"/>
              </w:rPr>
              <w:t>ewolokumabu</w:t>
            </w:r>
            <w:proofErr w:type="spellEnd"/>
            <w:r w:rsidR="001D332C" w:rsidRPr="00A02A3D">
              <w:rPr>
                <w:rFonts w:asciiTheme="majorHAnsi" w:hAnsiTheme="majorHAnsi" w:cstheme="majorHAnsi"/>
                <w:sz w:val="20"/>
                <w:szCs w:val="20"/>
              </w:rPr>
              <w:t xml:space="preserve"> o pacjentów z nietolerancją </w:t>
            </w:r>
            <w:proofErr w:type="spellStart"/>
            <w:r w:rsidR="001D332C" w:rsidRPr="00A02A3D">
              <w:rPr>
                <w:rFonts w:asciiTheme="majorHAnsi" w:hAnsiTheme="majorHAnsi" w:cstheme="majorHAnsi"/>
                <w:sz w:val="20"/>
                <w:szCs w:val="20"/>
              </w:rPr>
              <w:t>statyn</w:t>
            </w:r>
            <w:proofErr w:type="spellEnd"/>
            <w:r w:rsidR="001D332C" w:rsidRPr="00A02A3D">
              <w:rPr>
                <w:rFonts w:asciiTheme="majorHAnsi" w:hAnsiTheme="majorHAnsi" w:cstheme="majorHAnsi"/>
                <w:sz w:val="20"/>
                <w:szCs w:val="20"/>
              </w:rPr>
              <w:t>, wydłużono czas od ostatniego zawału z obecnych 12 miesięcy do 24 miesięcy, jak również dodano sekcję umożliwiającą zamianę leków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wg określonych zasad.</w:t>
            </w:r>
            <w:r w:rsidR="001D332C" w:rsidRPr="00A02A3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  <w:tr w:rsidR="001D332C" w:rsidRPr="005058F2" w14:paraId="1EC37EE4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146C1500" w:rsidR="001D332C" w:rsidRPr="005058F2" w:rsidRDefault="001D332C" w:rsidP="001D332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7EE897D0" w:rsidR="001D332C" w:rsidRPr="00A02A3D" w:rsidRDefault="001D332C" w:rsidP="000A2D1C">
            <w:pPr>
              <w:pStyle w:val="Style2"/>
              <w:widowControl/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B.118.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3C14F4EF" w:rsidR="001D332C" w:rsidRPr="00A02A3D" w:rsidRDefault="001D332C" w:rsidP="001D332C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A02A3D">
              <w:rPr>
                <w:rFonts w:asciiTheme="majorHAnsi" w:hAnsiTheme="majorHAnsi" w:cstheme="majorHAnsi"/>
                <w:sz w:val="20"/>
                <w:szCs w:val="20"/>
              </w:rPr>
              <w:t>LECZENIE PACJENTÓW Z CHOROBĄ CUSHINGA (ICD-10: E24.0)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0B053DBC" w:rsidR="001D332C" w:rsidRPr="00A02A3D" w:rsidRDefault="001D332C" w:rsidP="001D332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Zmiany mają charakter porządkujący oraz dostosowują zapisy programu lekowego do aktualnych </w:t>
            </w: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wytycznych klinicznych.</w:t>
            </w:r>
          </w:p>
        </w:tc>
      </w:tr>
      <w:tr w:rsidR="001D332C" w:rsidRPr="005058F2" w14:paraId="51A86B54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116E572D" w:rsidR="001D332C" w:rsidRPr="005058F2" w:rsidRDefault="001D332C" w:rsidP="001D332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BB58" w14:textId="631DFEA8" w:rsidR="001D332C" w:rsidRPr="00A02A3D" w:rsidRDefault="001D332C" w:rsidP="000A2D1C">
            <w:pPr>
              <w:pStyle w:val="Style2"/>
              <w:widowControl/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C.82.a.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10BF5710" w:rsidR="001D332C" w:rsidRPr="00A02A3D" w:rsidRDefault="001D332C" w:rsidP="001D332C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A02A3D">
              <w:rPr>
                <w:rFonts w:asciiTheme="majorHAnsi" w:hAnsiTheme="majorHAnsi" w:cstheme="majorHAnsi"/>
                <w:bCs/>
                <w:sz w:val="20"/>
                <w:szCs w:val="20"/>
              </w:rPr>
              <w:t>BEVACIZUMABUM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8C5C" w14:textId="177BC719" w:rsidR="001D332C" w:rsidRPr="00A02A3D" w:rsidRDefault="001D332C" w:rsidP="001D332C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wskazań dla </w:t>
            </w:r>
            <w:proofErr w:type="spellStart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bewacyzumabu</w:t>
            </w:r>
            <w:proofErr w:type="spellEnd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stosowanego w skojarzeniu z </w:t>
            </w:r>
            <w:proofErr w:type="spellStart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olaparybem</w:t>
            </w:r>
            <w:proofErr w:type="spellEnd"/>
            <w:r w:rsidRPr="00A02A3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 pacjentek </w:t>
            </w:r>
            <w:r w:rsidRPr="00A02A3D">
              <w:rPr>
                <w:rFonts w:asciiTheme="majorHAnsi" w:hAnsiTheme="majorHAnsi" w:cstheme="majorHAnsi"/>
                <w:sz w:val="20"/>
                <w:szCs w:val="20"/>
              </w:rPr>
              <w:t xml:space="preserve">z zawansowanym rakiem jajnika (stopień zaawansowania FIGO IV lub III) z obecnością mutacji w genach </w:t>
            </w:r>
            <w:r w:rsidRPr="00A02A3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BRCA1/2</w:t>
            </w:r>
            <w:r w:rsidRPr="00A02A3D">
              <w:rPr>
                <w:rFonts w:asciiTheme="majorHAnsi" w:hAnsiTheme="majorHAnsi" w:cstheme="majorHAnsi"/>
                <w:sz w:val="20"/>
                <w:szCs w:val="20"/>
              </w:rPr>
              <w:t xml:space="preserve"> lub potwierdzonym niedoborem homologicznej rekombinacji (HRD) bez względu na obecność choroby resztkowej</w:t>
            </w:r>
          </w:p>
        </w:tc>
      </w:tr>
    </w:tbl>
    <w:p w14:paraId="46A0BCB9" w14:textId="77777777" w:rsidR="008255AE" w:rsidRPr="005934E7" w:rsidRDefault="008255AE">
      <w:pPr>
        <w:suppressAutoHyphens w:val="0"/>
        <w:rPr>
          <w:rFonts w:cs="Calibri"/>
          <w:b/>
          <w:bCs/>
          <w:color w:val="00B0F0"/>
          <w:sz w:val="28"/>
          <w:szCs w:val="28"/>
        </w:rPr>
      </w:pPr>
    </w:p>
    <w:p w14:paraId="703841AA" w14:textId="45026A20" w:rsidR="0056748F" w:rsidRDefault="0056748F" w:rsidP="0056748F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bookmarkStart w:id="3" w:name="_Hlk90283710"/>
      <w:r>
        <w:rPr>
          <w:rFonts w:ascii="Abadi" w:hAnsi="Abadi"/>
          <w:b/>
          <w:bCs/>
          <w:color w:val="00B0F0"/>
          <w:sz w:val="28"/>
          <w:szCs w:val="28"/>
        </w:rPr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2412"/>
        <w:gridCol w:w="1838"/>
        <w:gridCol w:w="4689"/>
        <w:gridCol w:w="4359"/>
      </w:tblGrid>
      <w:tr w:rsidR="00AD08C5" w:rsidRPr="005058F2" w14:paraId="2CD1B9F9" w14:textId="77777777" w:rsidTr="0056748F">
        <w:trPr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3"/>
          <w:p w14:paraId="05E7E891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5058F2" w14:paraId="7C1774EA" w14:textId="77777777" w:rsidTr="0056748F">
        <w:trPr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5058F2" w14:paraId="7D53B9E1" w14:textId="77777777" w:rsidTr="000D40FE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5058F2" w:rsidRDefault="00A118F0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, środka spożywczego specjalnego przeznaczenia lub wyrobu </w:t>
            </w:r>
            <w:r w:rsidRPr="00051701">
              <w:rPr>
                <w:rFonts w:asciiTheme="majorHAnsi" w:hAnsiTheme="majorHAnsi" w:cstheme="majorHAnsi"/>
                <w:b/>
                <w:bCs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5BDCDD83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  <w:r w:rsidR="00332BD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/ Wyrób medyczny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0D03DE" w:rsidRPr="005058F2" w14:paraId="3E62A70D" w14:textId="77777777" w:rsidTr="00773083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7777777" w:rsidR="000D03DE" w:rsidRPr="005058F2" w:rsidRDefault="000D03DE" w:rsidP="000D0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5EAAF196" w:rsidR="000D03DE" w:rsidRPr="00356E75" w:rsidRDefault="000D03DE" w:rsidP="000D0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Buccolam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592453DD" w:rsidR="000D03DE" w:rsidRPr="00F63AA8" w:rsidRDefault="008255AE" w:rsidP="000D0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</w:t>
            </w:r>
            <w:r w:rsidR="000D03DE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idazolam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3CB8535C" w:rsidR="000D03DE" w:rsidRPr="00773083" w:rsidRDefault="00773083" w:rsidP="000D0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730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Przedłużone, ostre napady drgawkowe u niemowląt, dzieci i młodzieży (od 6 miesięcy do 18 lat)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0DE74EE9" w:rsidR="000D03DE" w:rsidRPr="00FE6EDA" w:rsidRDefault="000D03DE" w:rsidP="000D03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Podanie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podpoliczkowe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alternatywa dla</w:t>
            </w:r>
            <w:r w:rsidRPr="009D56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refundowan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ego</w:t>
            </w:r>
            <w:r w:rsidRPr="009D56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diazepam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</w:t>
            </w:r>
            <w:proofErr w:type="spellEnd"/>
            <w:r w:rsidRPr="009D56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podawan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ego</w:t>
            </w:r>
            <w:r w:rsidRPr="009D565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doodbytniczo</w:t>
            </w:r>
            <w:r w:rsidR="00B77B2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celu przerwania napadów drgawkowych.</w:t>
            </w:r>
          </w:p>
        </w:tc>
      </w:tr>
      <w:tr w:rsidR="000D40FE" w:rsidRPr="005058F2" w14:paraId="56E70E46" w14:textId="77777777" w:rsidTr="000D40FE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31C2" w14:textId="6F6AE89C" w:rsidR="000D40FE" w:rsidRPr="00FE6EDA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90C8" w14:textId="7E9EB132" w:rsidR="000D40FE" w:rsidRPr="00356E75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07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1010" w14:textId="5F03143E" w:rsidR="000D40FE" w:rsidRPr="004A2A5E" w:rsidRDefault="004A2A5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</w:t>
            </w:r>
            <w:r w:rsidR="000D40FE" w:rsidRPr="004A2A5E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mpagliflo</w:t>
            </w:r>
            <w:r w:rsidR="00B8475C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zyna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443F" w14:textId="77777777" w:rsidR="000D40FE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leczonych co najmniej dwoma lekami hipoglikemizującymi, z HbA1c ≥ 7,5% oraz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bardzo wysokim ryzykiem sercowo-naczyniowym rozumianym jako: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BA0008D" w14:textId="77777777" w:rsidR="000D40FE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1)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potwierdzona choroba sercowo-naczyniowa, lub </w:t>
            </w:r>
          </w:p>
          <w:p w14:paraId="3670F6B6" w14:textId="77777777" w:rsidR="000D40FE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2)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uszkodzenie innych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narządów objawiające się poprzez: białkomocz lub przerost lewej komory lub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retinopatię, lub </w:t>
            </w:r>
          </w:p>
          <w:p w14:paraId="185DF7D4" w14:textId="77777777" w:rsidR="000D40FE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3)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obecność 3 lub więcej głównych czynników ryzyka spośród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wymienionych poniżej: </w:t>
            </w:r>
          </w:p>
          <w:p w14:paraId="621EAD91" w14:textId="77777777" w:rsidR="000D40FE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-wiek ≥ 55 lat dla mężczyzn, ≥60 lat dla kobiet,</w:t>
            </w:r>
          </w:p>
          <w:p w14:paraId="5F90636B" w14:textId="77777777" w:rsidR="000D40FE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dyslipidemia</w:t>
            </w:r>
            <w:proofErr w:type="spellEnd"/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</w:p>
          <w:p w14:paraId="4121D930" w14:textId="77777777" w:rsidR="000D40FE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-nadciśnienie tętnicze, </w:t>
            </w:r>
          </w:p>
          <w:p w14:paraId="7384AD0E" w14:textId="77777777" w:rsidR="000D40FE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-palenie tytoniu, </w:t>
            </w:r>
          </w:p>
          <w:p w14:paraId="7773139F" w14:textId="4A95E526" w:rsidR="000D40FE" w:rsidRPr="00FE6EDA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-otyłość;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B23C" w14:textId="77777777" w:rsidR="000D40FE" w:rsidRPr="00976539" w:rsidRDefault="000D40FE" w:rsidP="000D40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Rozszerzenie aktualnego wskazania refundacyjnego, tj.:</w:t>
            </w:r>
          </w:p>
          <w:p w14:paraId="3D306696" w14:textId="77777777" w:rsidR="000D40FE" w:rsidRPr="00976539" w:rsidRDefault="000D40FE" w:rsidP="000D40FE">
            <w:pPr>
              <w:numPr>
                <w:ilvl w:val="0"/>
                <w:numId w:val="14"/>
              </w:numPr>
              <w:spacing w:before="60" w:after="60" w:line="240" w:lineRule="auto"/>
              <w:ind w:left="368" w:hanging="28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zmniejszenie wymogu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HbA1c ≥ 8,0% na HbA1c ≥ 7,5%</w:t>
            </w:r>
          </w:p>
          <w:p w14:paraId="04DC6A94" w14:textId="77777777" w:rsidR="000D40FE" w:rsidRPr="00976539" w:rsidRDefault="000D40FE" w:rsidP="000D40FE">
            <w:pPr>
              <w:numPr>
                <w:ilvl w:val="0"/>
                <w:numId w:val="14"/>
              </w:numPr>
              <w:spacing w:before="60" w:after="60" w:line="240" w:lineRule="auto"/>
              <w:ind w:left="368" w:hanging="28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usunięcie 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ograniczenia w zakresie braku stosowania insuliny przez pacjenta przed zastosowaniem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leków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flozynowych</w:t>
            </w:r>
            <w:proofErr w:type="spellEnd"/>
          </w:p>
          <w:p w14:paraId="14C4A47D" w14:textId="16F15A54" w:rsidR="000D40FE" w:rsidRPr="0014102A" w:rsidRDefault="000D40FE" w:rsidP="000D40FE">
            <w:pPr>
              <w:pStyle w:val="Akapitzlist"/>
              <w:numPr>
                <w:ilvl w:val="0"/>
                <w:numId w:val="1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konieczności 6 miesięcznego okresu stosowania dwóch leków przed włączeniem do leczenia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lekami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flozynowymi</w:t>
            </w:r>
            <w:proofErr w:type="spellEnd"/>
          </w:p>
        </w:tc>
      </w:tr>
      <w:tr w:rsidR="008255AE" w:rsidRPr="005058F2" w14:paraId="375BB363" w14:textId="77777777" w:rsidTr="000D40FE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A86E" w14:textId="564886D3" w:rsidR="008255AE" w:rsidRDefault="008255AE" w:rsidP="008255A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5C3A" w14:textId="29CE56C6" w:rsidR="008255AE" w:rsidRPr="00A907D6" w:rsidRDefault="008255AE" w:rsidP="008255A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Exufiber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Ag+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F5DD" w14:textId="3D4489B2" w:rsidR="008255AE" w:rsidRPr="008255AE" w:rsidRDefault="00FB0BB6" w:rsidP="008255A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opatrunek specjalistyczny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DC20" w14:textId="188FF422" w:rsidR="008255AE" w:rsidRPr="00A907D6" w:rsidRDefault="008255AE" w:rsidP="008255A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97F35">
              <w:rPr>
                <w:rFonts w:asciiTheme="majorHAnsi" w:hAnsiTheme="majorHAnsi" w:cstheme="majorHAnsi"/>
                <w:sz w:val="20"/>
                <w:szCs w:val="20"/>
              </w:rPr>
              <w:t>Rany przewlekłe z równoczesnym ubytkiem tkankowym (tj. rany głębokie) z cechami infekcji, ze średnim i dużym wysiękiem o różnej etiologii.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A459" w14:textId="659581A9" w:rsidR="008255AE" w:rsidRPr="00A907D6" w:rsidRDefault="008255AE" w:rsidP="008255A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Terapia ran</w:t>
            </w:r>
            <w:r w:rsidRPr="00397F35">
              <w:rPr>
                <w:rFonts w:asciiTheme="majorHAnsi" w:hAnsiTheme="majorHAnsi" w:cstheme="majorHAnsi"/>
                <w:sz w:val="20"/>
                <w:szCs w:val="20"/>
              </w:rPr>
              <w:t xml:space="preserve"> przewlekł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ych</w:t>
            </w:r>
            <w:r w:rsidRPr="00397F35">
              <w:rPr>
                <w:rFonts w:asciiTheme="majorHAnsi" w:hAnsiTheme="majorHAnsi" w:cstheme="majorHAnsi"/>
                <w:sz w:val="20"/>
                <w:szCs w:val="20"/>
              </w:rPr>
              <w:t xml:space="preserve"> z równoczesnym ubytkiem tkankowym (tj. rany głębokie) z cechami infekcji, ze średnim i dużym wysiękiem o różnej etiologii.</w:t>
            </w:r>
          </w:p>
        </w:tc>
      </w:tr>
    </w:tbl>
    <w:p w14:paraId="03AECB14" w14:textId="50C89B97" w:rsidR="00055734" w:rsidRDefault="00055734" w:rsidP="00F77172">
      <w:pPr>
        <w:spacing w:after="240"/>
        <w:rPr>
          <w:rFonts w:ascii="Arial Rounded MT Bold" w:hAnsi="Arial Rounded MT Bold"/>
          <w:b/>
          <w:bCs/>
          <w:color w:val="00B0F0"/>
        </w:rPr>
      </w:pPr>
    </w:p>
    <w:p w14:paraId="5049A258" w14:textId="3759AA8A" w:rsidR="0061431C" w:rsidRDefault="0061431C" w:rsidP="00196A71">
      <w:pPr>
        <w:spacing w:line="360" w:lineRule="auto"/>
        <w:jc w:val="both"/>
        <w:rPr>
          <w:rFonts w:asciiTheme="minorHAnsi" w:hAnsiTheme="minorHAnsi" w:cstheme="minorHAnsi"/>
          <w:color w:val="242424"/>
          <w:shd w:val="clear" w:color="auto" w:fill="FFFFFF"/>
        </w:rPr>
      </w:pPr>
      <w:r>
        <w:rPr>
          <w:rFonts w:asciiTheme="minorHAnsi" w:hAnsiTheme="minorHAnsi" w:cstheme="minorHAnsi"/>
          <w:color w:val="242424"/>
          <w:shd w:val="clear" w:color="auto" w:fill="FFFFFF"/>
        </w:rPr>
        <w:t>W ramach refundacji aptecznej zostało zmienione wskazanie off-</w:t>
      </w:r>
      <w:proofErr w:type="spellStart"/>
      <w:r>
        <w:rPr>
          <w:rFonts w:asciiTheme="minorHAnsi" w:hAnsiTheme="minorHAnsi" w:cstheme="minorHAnsi"/>
          <w:color w:val="242424"/>
          <w:shd w:val="clear" w:color="auto" w:fill="FFFFFF"/>
        </w:rPr>
        <w:t>label</w:t>
      </w:r>
      <w:proofErr w:type="spellEnd"/>
      <w:r>
        <w:rPr>
          <w:rFonts w:asciiTheme="minorHAnsi" w:hAnsiTheme="minorHAnsi" w:cstheme="minorHAnsi"/>
          <w:color w:val="242424"/>
          <w:shd w:val="clear" w:color="auto" w:fill="FFFFFF"/>
        </w:rPr>
        <w:t xml:space="preserve"> dla karbamazepiny. Od 1 listopada 2022 r. refundacja poza zarejestrowanymi wskazaniami będzie obejmować: </w:t>
      </w:r>
      <w:r w:rsidRPr="0061431C">
        <w:rPr>
          <w:rFonts w:asciiTheme="minorHAnsi" w:hAnsiTheme="minorHAnsi" w:cstheme="minorHAnsi"/>
          <w:color w:val="242424"/>
          <w:shd w:val="clear" w:color="auto" w:fill="FFFFFF"/>
        </w:rPr>
        <w:t xml:space="preserve">stan po epizodzie padaczkowym indukowanym przerzutami w obrębie ośrodkowego układu nerwowego; ból u chorych </w:t>
      </w:r>
      <w:r w:rsidR="00992890">
        <w:rPr>
          <w:rFonts w:asciiTheme="minorHAnsi" w:hAnsiTheme="minorHAnsi" w:cstheme="minorHAnsi"/>
          <w:color w:val="242424"/>
          <w:shd w:val="clear" w:color="auto" w:fill="FFFFFF"/>
        </w:rPr>
        <w:br/>
      </w:r>
      <w:r w:rsidRPr="0061431C">
        <w:rPr>
          <w:rFonts w:asciiTheme="minorHAnsi" w:hAnsiTheme="minorHAnsi" w:cstheme="minorHAnsi"/>
          <w:color w:val="242424"/>
          <w:shd w:val="clear" w:color="auto" w:fill="FFFFFF"/>
        </w:rPr>
        <w:t>z rozpoznaniem nowotworu - leczenie wspomagające; neuralgi</w:t>
      </w:r>
      <w:r>
        <w:rPr>
          <w:rFonts w:asciiTheme="minorHAnsi" w:hAnsiTheme="minorHAnsi" w:cstheme="minorHAnsi"/>
          <w:color w:val="242424"/>
          <w:shd w:val="clear" w:color="auto" w:fill="FFFFFF"/>
        </w:rPr>
        <w:t>ę</w:t>
      </w:r>
      <w:r w:rsidRPr="0061431C">
        <w:rPr>
          <w:rFonts w:asciiTheme="minorHAnsi" w:hAnsiTheme="minorHAnsi" w:cstheme="minorHAnsi"/>
          <w:color w:val="242424"/>
          <w:shd w:val="clear" w:color="auto" w:fill="FFFFFF"/>
        </w:rPr>
        <w:t xml:space="preserve"> w przypadkach innych niż określone w ChPL; ból neuropatyczny w przypadkach innych niż określone w ChPL</w:t>
      </w:r>
      <w:r>
        <w:rPr>
          <w:rFonts w:asciiTheme="minorHAnsi" w:hAnsiTheme="minorHAnsi" w:cstheme="minorHAnsi"/>
          <w:color w:val="242424"/>
          <w:shd w:val="clear" w:color="auto" w:fill="FFFFFF"/>
        </w:rPr>
        <w:t>. U</w:t>
      </w:r>
      <w:r w:rsidRPr="0061431C">
        <w:rPr>
          <w:rFonts w:asciiTheme="minorHAnsi" w:hAnsiTheme="minorHAnsi" w:cstheme="minorHAnsi"/>
          <w:color w:val="242424"/>
          <w:shd w:val="clear" w:color="auto" w:fill="FFFFFF"/>
        </w:rPr>
        <w:t>sunięcie</w:t>
      </w:r>
      <w:r>
        <w:rPr>
          <w:rFonts w:asciiTheme="minorHAnsi" w:hAnsiTheme="minorHAnsi" w:cstheme="minorHAnsi"/>
          <w:color w:val="242424"/>
          <w:shd w:val="clear" w:color="auto" w:fill="FFFFFF"/>
        </w:rPr>
        <w:t xml:space="preserve"> z wykazu wskaz</w:t>
      </w:r>
      <w:r w:rsidR="00B43025">
        <w:rPr>
          <w:rFonts w:asciiTheme="minorHAnsi" w:hAnsiTheme="minorHAnsi" w:cstheme="minorHAnsi"/>
          <w:color w:val="242424"/>
          <w:shd w:val="clear" w:color="auto" w:fill="FFFFFF"/>
        </w:rPr>
        <w:t>a</w:t>
      </w:r>
      <w:r>
        <w:rPr>
          <w:rFonts w:asciiTheme="minorHAnsi" w:hAnsiTheme="minorHAnsi" w:cstheme="minorHAnsi"/>
          <w:color w:val="242424"/>
          <w:shd w:val="clear" w:color="auto" w:fill="FFFFFF"/>
        </w:rPr>
        <w:t>nia</w:t>
      </w:r>
      <w:r w:rsidRPr="0061431C">
        <w:rPr>
          <w:rFonts w:asciiTheme="minorHAnsi" w:hAnsiTheme="minorHAnsi" w:cstheme="minorHAnsi"/>
          <w:color w:val="242424"/>
          <w:shd w:val="clear" w:color="auto" w:fill="FFFFFF"/>
        </w:rPr>
        <w:t xml:space="preserve"> "napady padaczkowe w bezobjawowych przerzutach do kory ruchowej mózgu -</w:t>
      </w:r>
      <w:r w:rsidR="00992890">
        <w:rPr>
          <w:rFonts w:asciiTheme="minorHAnsi" w:hAnsiTheme="minorHAnsi" w:cstheme="minorHAnsi"/>
          <w:color w:val="242424"/>
          <w:shd w:val="clear" w:color="auto" w:fill="FFFFFF"/>
        </w:rPr>
        <w:t xml:space="preserve"> </w:t>
      </w:r>
      <w:r w:rsidRPr="0061431C">
        <w:rPr>
          <w:rFonts w:asciiTheme="minorHAnsi" w:hAnsiTheme="minorHAnsi" w:cstheme="minorHAnsi"/>
          <w:color w:val="242424"/>
          <w:shd w:val="clear" w:color="auto" w:fill="FFFFFF"/>
        </w:rPr>
        <w:t xml:space="preserve">profilaktyka" </w:t>
      </w:r>
      <w:r>
        <w:rPr>
          <w:rFonts w:asciiTheme="minorHAnsi" w:hAnsiTheme="minorHAnsi" w:cstheme="minorHAnsi"/>
          <w:color w:val="242424"/>
          <w:shd w:val="clear" w:color="auto" w:fill="FFFFFF"/>
        </w:rPr>
        <w:t xml:space="preserve">wynika </w:t>
      </w:r>
      <w:r w:rsidR="00992890">
        <w:rPr>
          <w:rFonts w:asciiTheme="minorHAnsi" w:hAnsiTheme="minorHAnsi" w:cstheme="minorHAnsi"/>
          <w:color w:val="242424"/>
          <w:shd w:val="clear" w:color="auto" w:fill="FFFFFF"/>
        </w:rPr>
        <w:br/>
      </w:r>
      <w:r>
        <w:rPr>
          <w:rFonts w:asciiTheme="minorHAnsi" w:hAnsiTheme="minorHAnsi" w:cstheme="minorHAnsi"/>
          <w:color w:val="242424"/>
          <w:shd w:val="clear" w:color="auto" w:fill="FFFFFF"/>
        </w:rPr>
        <w:t>z negatywnej opinii Rady Przejrzystości oraz braku przekazania opinii przez Konsultanta Krajowego.</w:t>
      </w:r>
    </w:p>
    <w:p w14:paraId="6B2B1FE6" w14:textId="05F02F87" w:rsidR="00196A71" w:rsidRPr="0053114B" w:rsidRDefault="00196A71" w:rsidP="00196A71">
      <w:pPr>
        <w:spacing w:line="360" w:lineRule="auto"/>
        <w:jc w:val="both"/>
        <w:rPr>
          <w:rFonts w:asciiTheme="minorHAnsi" w:hAnsiTheme="minorHAnsi" w:cstheme="minorHAnsi"/>
          <w:color w:val="242424"/>
          <w:shd w:val="clear" w:color="auto" w:fill="FFFFFF"/>
        </w:rPr>
      </w:pPr>
      <w:r w:rsidRPr="0053114B">
        <w:rPr>
          <w:rFonts w:asciiTheme="minorHAnsi" w:hAnsiTheme="minorHAnsi" w:cstheme="minorHAnsi"/>
          <w:color w:val="242424"/>
          <w:shd w:val="clear" w:color="auto" w:fill="FFFFFF"/>
        </w:rPr>
        <w:t>Jednym z głównych priorytetów Ministra Zdrowia na obwieszczenie w sprawie wykazu refundowanych leków, środków spożywczych specjalnego przeznaczenia żywieniowego oraz wyrobów medycznych na 1 listopada 2022 r. było udostępnienie </w:t>
      </w:r>
      <w:r w:rsidRPr="0053114B">
        <w:rPr>
          <w:rFonts w:asciiTheme="minorHAnsi" w:hAnsiTheme="minorHAnsi" w:cstheme="minorHAnsi"/>
          <w:b/>
          <w:bCs/>
          <w:color w:val="242424"/>
          <w:shd w:val="clear" w:color="auto" w:fill="FFFFFF"/>
        </w:rPr>
        <w:t>pełnej sekwencji leczenia zaawansowanego potrójnie ujemnego raka piersi u wszystkich pacjentów zgodnie z wytycznymi europejskimi</w:t>
      </w:r>
      <w:r w:rsidRPr="0053114B">
        <w:rPr>
          <w:rFonts w:asciiTheme="minorHAnsi" w:hAnsiTheme="minorHAnsi" w:cstheme="minorHAnsi"/>
          <w:color w:val="242424"/>
          <w:shd w:val="clear" w:color="auto" w:fill="FFFFFF"/>
        </w:rPr>
        <w:t xml:space="preserve">. Brakującym ogniwem jest przeciwciało monoklonalne skierowane przeciwko ligandowi receptora programowanej śmierci komórki typu 1 (PD-L1). Mimo dopełnienia wszelkich formalności i starań po stronie Ministerstwa Zdrowia, niemożliwe jest wprowadzenie na listę wszystkich potencjalnych terapii.  Podmiot odpowiedzialny leku </w:t>
      </w:r>
      <w:proofErr w:type="spellStart"/>
      <w:r w:rsidRPr="0053114B">
        <w:rPr>
          <w:rFonts w:asciiTheme="minorHAnsi" w:hAnsiTheme="minorHAnsi" w:cstheme="minorHAnsi"/>
          <w:color w:val="242424"/>
          <w:shd w:val="clear" w:color="auto" w:fill="FFFFFF"/>
        </w:rPr>
        <w:t>Tecentriq</w:t>
      </w:r>
      <w:proofErr w:type="spellEnd"/>
      <w:r w:rsidRPr="0053114B">
        <w:rPr>
          <w:rFonts w:asciiTheme="minorHAnsi" w:hAnsiTheme="minorHAnsi" w:cstheme="minorHAnsi"/>
          <w:color w:val="242424"/>
          <w:shd w:val="clear" w:color="auto" w:fill="FFFFFF"/>
        </w:rPr>
        <w:t xml:space="preserve"> – firma Roche Polska Sp. z o.o. otrzymał pozytywne rozstrzygnięcie Ministra w sprawie objęcia refundacją terapii </w:t>
      </w:r>
      <w:proofErr w:type="spellStart"/>
      <w:r w:rsidRPr="0053114B">
        <w:rPr>
          <w:rFonts w:asciiTheme="minorHAnsi" w:hAnsiTheme="minorHAnsi" w:cstheme="minorHAnsi"/>
          <w:color w:val="242424"/>
          <w:shd w:val="clear" w:color="auto" w:fill="FFFFFF"/>
        </w:rPr>
        <w:t>atezolizumabem</w:t>
      </w:r>
      <w:proofErr w:type="spellEnd"/>
      <w:r w:rsidRPr="0053114B">
        <w:rPr>
          <w:rFonts w:asciiTheme="minorHAnsi" w:hAnsiTheme="minorHAnsi" w:cstheme="minorHAnsi"/>
          <w:color w:val="242424"/>
          <w:shd w:val="clear" w:color="auto" w:fill="FFFFFF"/>
        </w:rPr>
        <w:t xml:space="preserve"> w skojarzeniu z </w:t>
      </w:r>
      <w:proofErr w:type="spellStart"/>
      <w:r w:rsidRPr="0053114B">
        <w:rPr>
          <w:rFonts w:asciiTheme="minorHAnsi" w:hAnsiTheme="minorHAnsi" w:cstheme="minorHAnsi"/>
          <w:color w:val="242424"/>
          <w:shd w:val="clear" w:color="auto" w:fill="FFFFFF"/>
        </w:rPr>
        <w:t>nab-paklitakselem</w:t>
      </w:r>
      <w:proofErr w:type="spellEnd"/>
      <w:r w:rsidRPr="0053114B">
        <w:rPr>
          <w:rFonts w:asciiTheme="minorHAnsi" w:hAnsiTheme="minorHAnsi" w:cstheme="minorHAnsi"/>
          <w:color w:val="242424"/>
          <w:shd w:val="clear" w:color="auto" w:fill="FFFFFF"/>
        </w:rPr>
        <w:t xml:space="preserve">, w ramach programu </w:t>
      </w:r>
      <w:r w:rsidRPr="0053114B">
        <w:rPr>
          <w:rFonts w:asciiTheme="minorHAnsi" w:hAnsiTheme="minorHAnsi" w:cstheme="minorHAnsi"/>
          <w:color w:val="242424"/>
          <w:shd w:val="clear" w:color="auto" w:fill="FFFFFF"/>
        </w:rPr>
        <w:lastRenderedPageBreak/>
        <w:t xml:space="preserve">lekowego B.9.- Leczenie chorych na raka piersi w pierwszej linii leczenia pacjentów z nieoperacyjnym zaawansowanym miejscowo lub przerzutowym potrójnie ujemnym rakiem piersi z ekspresją PD-L1. Jednakże brak leku na wykazie wynika z informacji przekazanych Organowi przez podmiot odpowiedzialny </w:t>
      </w:r>
      <w:r w:rsidR="00992890">
        <w:rPr>
          <w:rFonts w:asciiTheme="minorHAnsi" w:hAnsiTheme="minorHAnsi" w:cstheme="minorHAnsi"/>
          <w:color w:val="242424"/>
          <w:shd w:val="clear" w:color="auto" w:fill="FFFFFF"/>
        </w:rPr>
        <w:br/>
      </w:r>
      <w:r w:rsidRPr="0053114B">
        <w:rPr>
          <w:rFonts w:asciiTheme="minorHAnsi" w:hAnsiTheme="minorHAnsi" w:cstheme="minorHAnsi"/>
          <w:color w:val="242424"/>
          <w:shd w:val="clear" w:color="auto" w:fill="FFFFFF"/>
        </w:rPr>
        <w:t>o niemożności wywiązania się z uzgodnionych warunków refundacji. Na chwilę obecną wydanie decyzji pozytywnej wiązałoby się z pozornym udostępnieniem terapii polskim pacjentom.</w:t>
      </w:r>
    </w:p>
    <w:sectPr w:rsidR="00196A71" w:rsidRPr="0053114B" w:rsidSect="005058F2">
      <w:head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D43B" w14:textId="77777777" w:rsidR="0073177C" w:rsidRDefault="0073177C">
      <w:pPr>
        <w:spacing w:after="0" w:line="240" w:lineRule="auto"/>
      </w:pPr>
      <w:r>
        <w:separator/>
      </w:r>
    </w:p>
  </w:endnote>
  <w:endnote w:type="continuationSeparator" w:id="0">
    <w:p w14:paraId="037B6750" w14:textId="77777777" w:rsidR="0073177C" w:rsidRDefault="0073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55FB" w14:textId="77777777" w:rsidR="0073177C" w:rsidRDefault="007317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C2E28C" w14:textId="77777777" w:rsidR="0073177C" w:rsidRDefault="00731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54AB80F2" w:rsidR="005058F2" w:rsidRDefault="005058F2">
    <w:pPr>
      <w:pStyle w:val="Nagwek"/>
    </w:pPr>
    <w:bookmarkStart w:id="4" w:name="_Hlk74147372"/>
    <w:bookmarkEnd w:id="4"/>
    <w:r>
      <w:rPr>
        <w:rFonts w:ascii="Abadi" w:hAnsi="Abadi"/>
        <w:b/>
        <w:bCs/>
        <w:noProof/>
        <w:color w:val="00B0F0"/>
        <w:sz w:val="28"/>
        <w:szCs w:val="28"/>
      </w:rPr>
      <w:drawing>
        <wp:inline distT="0" distB="0" distL="0" distR="0" wp14:anchorId="527EB86D" wp14:editId="627618BE">
          <wp:extent cx="1659032" cy="934480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032" cy="934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770"/>
    <w:multiLevelType w:val="hybridMultilevel"/>
    <w:tmpl w:val="A1D28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F152A51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A583F0B"/>
    <w:multiLevelType w:val="hybridMultilevel"/>
    <w:tmpl w:val="3C9A6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7AC7889"/>
    <w:multiLevelType w:val="hybridMultilevel"/>
    <w:tmpl w:val="BA8E5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08732">
    <w:abstractNumId w:val="4"/>
  </w:num>
  <w:num w:numId="2" w16cid:durableId="157111518">
    <w:abstractNumId w:val="2"/>
  </w:num>
  <w:num w:numId="3" w16cid:durableId="1593392856">
    <w:abstractNumId w:val="5"/>
  </w:num>
  <w:num w:numId="4" w16cid:durableId="822620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997690">
    <w:abstractNumId w:val="12"/>
  </w:num>
  <w:num w:numId="6" w16cid:durableId="565992489">
    <w:abstractNumId w:val="3"/>
  </w:num>
  <w:num w:numId="7" w16cid:durableId="739324749">
    <w:abstractNumId w:val="8"/>
  </w:num>
  <w:num w:numId="8" w16cid:durableId="1466510534">
    <w:abstractNumId w:val="9"/>
  </w:num>
  <w:num w:numId="9" w16cid:durableId="570503485">
    <w:abstractNumId w:val="11"/>
  </w:num>
  <w:num w:numId="10" w16cid:durableId="544370076">
    <w:abstractNumId w:val="0"/>
  </w:num>
  <w:num w:numId="11" w16cid:durableId="1286042899">
    <w:abstractNumId w:val="6"/>
  </w:num>
  <w:num w:numId="12" w16cid:durableId="489256157">
    <w:abstractNumId w:val="10"/>
  </w:num>
  <w:num w:numId="13" w16cid:durableId="1319916332">
    <w:abstractNumId w:val="7"/>
  </w:num>
  <w:num w:numId="14" w16cid:durableId="703216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083E"/>
    <w:rsid w:val="00003238"/>
    <w:rsid w:val="00014018"/>
    <w:rsid w:val="00017D81"/>
    <w:rsid w:val="00031E9F"/>
    <w:rsid w:val="00036A8C"/>
    <w:rsid w:val="00045A52"/>
    <w:rsid w:val="00047457"/>
    <w:rsid w:val="0005011B"/>
    <w:rsid w:val="0005107F"/>
    <w:rsid w:val="0005137C"/>
    <w:rsid w:val="00055734"/>
    <w:rsid w:val="0006049A"/>
    <w:rsid w:val="00064014"/>
    <w:rsid w:val="0006616F"/>
    <w:rsid w:val="00067671"/>
    <w:rsid w:val="000702E4"/>
    <w:rsid w:val="00070A89"/>
    <w:rsid w:val="0008118E"/>
    <w:rsid w:val="00086074"/>
    <w:rsid w:val="00090CFF"/>
    <w:rsid w:val="000A2D1C"/>
    <w:rsid w:val="000A4576"/>
    <w:rsid w:val="000B21F0"/>
    <w:rsid w:val="000B7075"/>
    <w:rsid w:val="000D03DE"/>
    <w:rsid w:val="000D1E95"/>
    <w:rsid w:val="000D40FE"/>
    <w:rsid w:val="000E4D8A"/>
    <w:rsid w:val="000F077F"/>
    <w:rsid w:val="00101B6F"/>
    <w:rsid w:val="00101C00"/>
    <w:rsid w:val="001030B2"/>
    <w:rsid w:val="0011376F"/>
    <w:rsid w:val="00127B35"/>
    <w:rsid w:val="0014102A"/>
    <w:rsid w:val="0014120D"/>
    <w:rsid w:val="00151C1D"/>
    <w:rsid w:val="00155C8E"/>
    <w:rsid w:val="001638EF"/>
    <w:rsid w:val="00172AB2"/>
    <w:rsid w:val="00175AF6"/>
    <w:rsid w:val="0018207F"/>
    <w:rsid w:val="00186CB7"/>
    <w:rsid w:val="00196A71"/>
    <w:rsid w:val="001A6CF2"/>
    <w:rsid w:val="001A7E82"/>
    <w:rsid w:val="001B354B"/>
    <w:rsid w:val="001B4E16"/>
    <w:rsid w:val="001C6F59"/>
    <w:rsid w:val="001D332C"/>
    <w:rsid w:val="001E2320"/>
    <w:rsid w:val="001E610A"/>
    <w:rsid w:val="001F464F"/>
    <w:rsid w:val="00200415"/>
    <w:rsid w:val="00226750"/>
    <w:rsid w:val="002270E2"/>
    <w:rsid w:val="00230BB7"/>
    <w:rsid w:val="00235806"/>
    <w:rsid w:val="00272274"/>
    <w:rsid w:val="00275115"/>
    <w:rsid w:val="00285B61"/>
    <w:rsid w:val="00286651"/>
    <w:rsid w:val="00287196"/>
    <w:rsid w:val="0029403F"/>
    <w:rsid w:val="002C2366"/>
    <w:rsid w:val="002D55B8"/>
    <w:rsid w:val="002E0C29"/>
    <w:rsid w:val="002E23B6"/>
    <w:rsid w:val="002E46AC"/>
    <w:rsid w:val="002F61E3"/>
    <w:rsid w:val="003108F1"/>
    <w:rsid w:val="003130CA"/>
    <w:rsid w:val="00332BD3"/>
    <w:rsid w:val="00337B00"/>
    <w:rsid w:val="0034116D"/>
    <w:rsid w:val="00341AAE"/>
    <w:rsid w:val="00355899"/>
    <w:rsid w:val="00356719"/>
    <w:rsid w:val="00356B4D"/>
    <w:rsid w:val="00356E75"/>
    <w:rsid w:val="00374DBE"/>
    <w:rsid w:val="0037714E"/>
    <w:rsid w:val="003841AB"/>
    <w:rsid w:val="003975D4"/>
    <w:rsid w:val="003B36C6"/>
    <w:rsid w:val="003D2AE2"/>
    <w:rsid w:val="003D71C6"/>
    <w:rsid w:val="003F22AF"/>
    <w:rsid w:val="003F2988"/>
    <w:rsid w:val="003F2BEC"/>
    <w:rsid w:val="00407B42"/>
    <w:rsid w:val="004137B8"/>
    <w:rsid w:val="004156E6"/>
    <w:rsid w:val="00415707"/>
    <w:rsid w:val="00430D89"/>
    <w:rsid w:val="004403B4"/>
    <w:rsid w:val="0044163E"/>
    <w:rsid w:val="00444A10"/>
    <w:rsid w:val="00446466"/>
    <w:rsid w:val="00462368"/>
    <w:rsid w:val="00466FE8"/>
    <w:rsid w:val="0048011A"/>
    <w:rsid w:val="004873F0"/>
    <w:rsid w:val="00490715"/>
    <w:rsid w:val="00491267"/>
    <w:rsid w:val="00491300"/>
    <w:rsid w:val="00493A84"/>
    <w:rsid w:val="004A0720"/>
    <w:rsid w:val="004A2A5E"/>
    <w:rsid w:val="004A5135"/>
    <w:rsid w:val="004C606B"/>
    <w:rsid w:val="004D2294"/>
    <w:rsid w:val="004E4723"/>
    <w:rsid w:val="004F70CD"/>
    <w:rsid w:val="005058F2"/>
    <w:rsid w:val="0053114B"/>
    <w:rsid w:val="00550FDB"/>
    <w:rsid w:val="0055666C"/>
    <w:rsid w:val="0056748F"/>
    <w:rsid w:val="00574D83"/>
    <w:rsid w:val="00577FCE"/>
    <w:rsid w:val="005871C9"/>
    <w:rsid w:val="005934E7"/>
    <w:rsid w:val="005A4AA9"/>
    <w:rsid w:val="005B06B3"/>
    <w:rsid w:val="005B598A"/>
    <w:rsid w:val="005C17A6"/>
    <w:rsid w:val="005C499F"/>
    <w:rsid w:val="005C6551"/>
    <w:rsid w:val="005D269A"/>
    <w:rsid w:val="005D3140"/>
    <w:rsid w:val="005E49AB"/>
    <w:rsid w:val="005E4CF5"/>
    <w:rsid w:val="005F0ABC"/>
    <w:rsid w:val="006008CD"/>
    <w:rsid w:val="00604461"/>
    <w:rsid w:val="0061431C"/>
    <w:rsid w:val="00635C9D"/>
    <w:rsid w:val="0064109C"/>
    <w:rsid w:val="0064487F"/>
    <w:rsid w:val="00650C86"/>
    <w:rsid w:val="006625D2"/>
    <w:rsid w:val="006648F3"/>
    <w:rsid w:val="00670C14"/>
    <w:rsid w:val="00680B0E"/>
    <w:rsid w:val="00682C79"/>
    <w:rsid w:val="00684C73"/>
    <w:rsid w:val="00685142"/>
    <w:rsid w:val="00687B5F"/>
    <w:rsid w:val="006A03EB"/>
    <w:rsid w:val="006A3B36"/>
    <w:rsid w:val="006A4BAF"/>
    <w:rsid w:val="006A7DCE"/>
    <w:rsid w:val="006B1374"/>
    <w:rsid w:val="006C1B62"/>
    <w:rsid w:val="006C2A56"/>
    <w:rsid w:val="006C4ED5"/>
    <w:rsid w:val="006D079B"/>
    <w:rsid w:val="006D183E"/>
    <w:rsid w:val="006F1D16"/>
    <w:rsid w:val="006F591B"/>
    <w:rsid w:val="006F5DE3"/>
    <w:rsid w:val="0070194D"/>
    <w:rsid w:val="00714B8C"/>
    <w:rsid w:val="007156F6"/>
    <w:rsid w:val="00715B91"/>
    <w:rsid w:val="0073177C"/>
    <w:rsid w:val="007321D8"/>
    <w:rsid w:val="007349EC"/>
    <w:rsid w:val="00740ABA"/>
    <w:rsid w:val="0074295D"/>
    <w:rsid w:val="007430EC"/>
    <w:rsid w:val="0076399E"/>
    <w:rsid w:val="0076605C"/>
    <w:rsid w:val="00773083"/>
    <w:rsid w:val="007748BD"/>
    <w:rsid w:val="0078723A"/>
    <w:rsid w:val="007917CC"/>
    <w:rsid w:val="007944BA"/>
    <w:rsid w:val="007958A7"/>
    <w:rsid w:val="007A4FB5"/>
    <w:rsid w:val="007B043E"/>
    <w:rsid w:val="007B20B7"/>
    <w:rsid w:val="007B6FA2"/>
    <w:rsid w:val="007D100B"/>
    <w:rsid w:val="007D5D17"/>
    <w:rsid w:val="007D6A3A"/>
    <w:rsid w:val="007E58B3"/>
    <w:rsid w:val="007E7C20"/>
    <w:rsid w:val="007F016E"/>
    <w:rsid w:val="007F4984"/>
    <w:rsid w:val="008008F6"/>
    <w:rsid w:val="008152E8"/>
    <w:rsid w:val="00815763"/>
    <w:rsid w:val="008255AE"/>
    <w:rsid w:val="008279BD"/>
    <w:rsid w:val="00841D52"/>
    <w:rsid w:val="00843352"/>
    <w:rsid w:val="00844624"/>
    <w:rsid w:val="008511F9"/>
    <w:rsid w:val="00854A5A"/>
    <w:rsid w:val="00854B19"/>
    <w:rsid w:val="00870A02"/>
    <w:rsid w:val="00872ADC"/>
    <w:rsid w:val="0087494D"/>
    <w:rsid w:val="008771C8"/>
    <w:rsid w:val="0088727A"/>
    <w:rsid w:val="008A26DA"/>
    <w:rsid w:val="008A6D6E"/>
    <w:rsid w:val="008A7F46"/>
    <w:rsid w:val="008C0E92"/>
    <w:rsid w:val="008E1FAE"/>
    <w:rsid w:val="008E2863"/>
    <w:rsid w:val="008E33C7"/>
    <w:rsid w:val="008F3344"/>
    <w:rsid w:val="008F69C8"/>
    <w:rsid w:val="00905CF9"/>
    <w:rsid w:val="009066C7"/>
    <w:rsid w:val="00907DD9"/>
    <w:rsid w:val="00923C80"/>
    <w:rsid w:val="0095252A"/>
    <w:rsid w:val="00963C7F"/>
    <w:rsid w:val="00972582"/>
    <w:rsid w:val="00973C5B"/>
    <w:rsid w:val="00992890"/>
    <w:rsid w:val="009943F4"/>
    <w:rsid w:val="00995FDD"/>
    <w:rsid w:val="00996389"/>
    <w:rsid w:val="009A2234"/>
    <w:rsid w:val="009A6D46"/>
    <w:rsid w:val="009B2F99"/>
    <w:rsid w:val="009B48BA"/>
    <w:rsid w:val="009B7022"/>
    <w:rsid w:val="009D43CC"/>
    <w:rsid w:val="009E2331"/>
    <w:rsid w:val="009E2777"/>
    <w:rsid w:val="009F7497"/>
    <w:rsid w:val="00A02A3D"/>
    <w:rsid w:val="00A118F0"/>
    <w:rsid w:val="00A159DA"/>
    <w:rsid w:val="00A22A7B"/>
    <w:rsid w:val="00A242D8"/>
    <w:rsid w:val="00A342C3"/>
    <w:rsid w:val="00A41E30"/>
    <w:rsid w:val="00A434EB"/>
    <w:rsid w:val="00A5288E"/>
    <w:rsid w:val="00A5351C"/>
    <w:rsid w:val="00A633F0"/>
    <w:rsid w:val="00A6481E"/>
    <w:rsid w:val="00A66140"/>
    <w:rsid w:val="00A701C9"/>
    <w:rsid w:val="00A85E63"/>
    <w:rsid w:val="00A90CB0"/>
    <w:rsid w:val="00A9374D"/>
    <w:rsid w:val="00A960EA"/>
    <w:rsid w:val="00A96177"/>
    <w:rsid w:val="00AA6179"/>
    <w:rsid w:val="00AB1235"/>
    <w:rsid w:val="00AB2D5E"/>
    <w:rsid w:val="00AD08C5"/>
    <w:rsid w:val="00AE069A"/>
    <w:rsid w:val="00AF430B"/>
    <w:rsid w:val="00B1014D"/>
    <w:rsid w:val="00B1467F"/>
    <w:rsid w:val="00B31928"/>
    <w:rsid w:val="00B403C3"/>
    <w:rsid w:val="00B43025"/>
    <w:rsid w:val="00B45ED3"/>
    <w:rsid w:val="00B77B23"/>
    <w:rsid w:val="00B8475C"/>
    <w:rsid w:val="00B9538B"/>
    <w:rsid w:val="00BA5F7D"/>
    <w:rsid w:val="00BB30C0"/>
    <w:rsid w:val="00BC309F"/>
    <w:rsid w:val="00BD18E8"/>
    <w:rsid w:val="00BD20BC"/>
    <w:rsid w:val="00BD46BA"/>
    <w:rsid w:val="00C01E99"/>
    <w:rsid w:val="00C02F04"/>
    <w:rsid w:val="00C07903"/>
    <w:rsid w:val="00C15E6F"/>
    <w:rsid w:val="00C16543"/>
    <w:rsid w:val="00C1682D"/>
    <w:rsid w:val="00C210A9"/>
    <w:rsid w:val="00C243BF"/>
    <w:rsid w:val="00C25F63"/>
    <w:rsid w:val="00C276AE"/>
    <w:rsid w:val="00C33254"/>
    <w:rsid w:val="00C46C03"/>
    <w:rsid w:val="00C471D7"/>
    <w:rsid w:val="00C53783"/>
    <w:rsid w:val="00C55C85"/>
    <w:rsid w:val="00C56B85"/>
    <w:rsid w:val="00C6097A"/>
    <w:rsid w:val="00C65204"/>
    <w:rsid w:val="00C77217"/>
    <w:rsid w:val="00C81EF6"/>
    <w:rsid w:val="00CB2E2B"/>
    <w:rsid w:val="00D0218A"/>
    <w:rsid w:val="00D0524C"/>
    <w:rsid w:val="00D05BD4"/>
    <w:rsid w:val="00D17D3E"/>
    <w:rsid w:val="00D35DDE"/>
    <w:rsid w:val="00D510E8"/>
    <w:rsid w:val="00D6426A"/>
    <w:rsid w:val="00D66456"/>
    <w:rsid w:val="00D74487"/>
    <w:rsid w:val="00D74577"/>
    <w:rsid w:val="00DB1F2D"/>
    <w:rsid w:val="00DD6615"/>
    <w:rsid w:val="00DD6D00"/>
    <w:rsid w:val="00DF2710"/>
    <w:rsid w:val="00DF6B3A"/>
    <w:rsid w:val="00E05B67"/>
    <w:rsid w:val="00E10271"/>
    <w:rsid w:val="00E233B8"/>
    <w:rsid w:val="00E23606"/>
    <w:rsid w:val="00E246CB"/>
    <w:rsid w:val="00E24B28"/>
    <w:rsid w:val="00E35DF6"/>
    <w:rsid w:val="00E52765"/>
    <w:rsid w:val="00E57082"/>
    <w:rsid w:val="00E64133"/>
    <w:rsid w:val="00E64EE3"/>
    <w:rsid w:val="00E65EF9"/>
    <w:rsid w:val="00E67DDB"/>
    <w:rsid w:val="00E738D5"/>
    <w:rsid w:val="00E7786F"/>
    <w:rsid w:val="00E8288D"/>
    <w:rsid w:val="00E8348C"/>
    <w:rsid w:val="00E83A99"/>
    <w:rsid w:val="00E91A3C"/>
    <w:rsid w:val="00EB3C0A"/>
    <w:rsid w:val="00EC22AE"/>
    <w:rsid w:val="00EC2B8F"/>
    <w:rsid w:val="00EC74BA"/>
    <w:rsid w:val="00EE4BD7"/>
    <w:rsid w:val="00F02910"/>
    <w:rsid w:val="00F13087"/>
    <w:rsid w:val="00F147FC"/>
    <w:rsid w:val="00F25C91"/>
    <w:rsid w:val="00F349D2"/>
    <w:rsid w:val="00F42214"/>
    <w:rsid w:val="00F5061B"/>
    <w:rsid w:val="00F569F8"/>
    <w:rsid w:val="00F61A7D"/>
    <w:rsid w:val="00F63AA8"/>
    <w:rsid w:val="00F67CA2"/>
    <w:rsid w:val="00F7429A"/>
    <w:rsid w:val="00F77172"/>
    <w:rsid w:val="00F86B41"/>
    <w:rsid w:val="00F9203E"/>
    <w:rsid w:val="00F957B7"/>
    <w:rsid w:val="00F97C9A"/>
    <w:rsid w:val="00FA53DF"/>
    <w:rsid w:val="00FB0BB6"/>
    <w:rsid w:val="00FB2364"/>
    <w:rsid w:val="00FB3B6F"/>
    <w:rsid w:val="00FB4BB5"/>
    <w:rsid w:val="00FC290A"/>
    <w:rsid w:val="00FC712D"/>
    <w:rsid w:val="00FE1242"/>
    <w:rsid w:val="00FE3EF1"/>
    <w:rsid w:val="00FE4229"/>
    <w:rsid w:val="00FE6430"/>
    <w:rsid w:val="00FE6EDA"/>
    <w:rsid w:val="00FE6F58"/>
    <w:rsid w:val="00FE7A98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B61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BA5F7D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5F7D"/>
    <w:rPr>
      <w:rFonts w:ascii="Times New Roman" w:eastAsia="Times New Roman" w:hAnsi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>
                <a:solidFill>
                  <a:sysClr val="windowText" lastClr="000000"/>
                </a:solidFill>
              </a:rPr>
              <a:t>Liczba nowych cząsteczko-wskazań w 2022 r. - ONKO/NIEONKO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604046505206418E-2"/>
          <c:y val="0.1171214525684246"/>
          <c:w val="0.90282978803009706"/>
          <c:h val="0.7109127630232661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'miesiące 2022'!$A$3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2022'!$B$3:$G$3</c:f>
              <c:numCache>
                <c:formatCode>General</c:formatCode>
                <c:ptCount val="6"/>
                <c:pt idx="0">
                  <c:v>1</c:v>
                </c:pt>
                <c:pt idx="1">
                  <c:v>8</c:v>
                </c:pt>
                <c:pt idx="2">
                  <c:v>10</c:v>
                </c:pt>
                <c:pt idx="3">
                  <c:v>5</c:v>
                </c:pt>
                <c:pt idx="4">
                  <c:v>5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A5-4A68-A864-B47EBF92E5DD}"/>
            </c:ext>
          </c:extLst>
        </c:ser>
        <c:ser>
          <c:idx val="1"/>
          <c:order val="1"/>
          <c:tx>
            <c:strRef>
              <c:f>'miesiące 2022'!$A$4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2022'!$B$4:$G$4</c:f>
              <c:numCache>
                <c:formatCode>General</c:formatCode>
                <c:ptCount val="6"/>
                <c:pt idx="0">
                  <c:v>10</c:v>
                </c:pt>
                <c:pt idx="1">
                  <c:v>7</c:v>
                </c:pt>
                <c:pt idx="2">
                  <c:v>10</c:v>
                </c:pt>
                <c:pt idx="3">
                  <c:v>14</c:v>
                </c:pt>
                <c:pt idx="4">
                  <c:v>14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A5-4A68-A864-B47EBF92E5DD}"/>
            </c:ext>
          </c:extLst>
        </c:ser>
        <c:ser>
          <c:idx val="2"/>
          <c:order val="2"/>
          <c:tx>
            <c:v>Łącznie</c:v>
          </c:tx>
          <c:spPr>
            <a:noFill/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8.6841149758588171E-3"/>
                  <c:y val="2.7113539548050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CA5-4A68-A864-B47EBF92E5DD}"/>
                </c:ext>
              </c:extLst>
            </c:dLbl>
            <c:dLbl>
              <c:idx val="1"/>
              <c:layout>
                <c:manualLayout>
                  <c:x val="1.433972041048517E-2"/>
                  <c:y val="6.3265068323858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A5-4A68-A864-B47EBF92E5DD}"/>
                </c:ext>
              </c:extLst>
            </c:dLbl>
            <c:dLbl>
              <c:idx val="2"/>
              <c:layout>
                <c:manualLayout>
                  <c:x val="1.1578819967811845E-2"/>
                  <c:y val="6.3264925612118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CA5-4A68-A864-B47EBF92E5DD}"/>
                </c:ext>
              </c:extLst>
            </c:dLbl>
            <c:dLbl>
              <c:idx val="3"/>
              <c:layout>
                <c:manualLayout>
                  <c:x val="1.1578819967811686E-2"/>
                  <c:y val="6.7783848870126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A5-4A68-A864-B47EBF92E5DD}"/>
                </c:ext>
              </c:extLst>
            </c:dLbl>
            <c:dLbl>
              <c:idx val="4"/>
              <c:layout>
                <c:manualLayout>
                  <c:x val="8.6841149758588448E-3"/>
                  <c:y val="6.7783848870126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CA5-4A68-A864-B47EBF92E5DD}"/>
                </c:ext>
              </c:extLst>
            </c:dLbl>
            <c:dLbl>
              <c:idx val="5"/>
              <c:layout>
                <c:manualLayout>
                  <c:x val="8.7175154607818904E-3"/>
                  <c:y val="-3.60474559514141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CA5-4A68-A864-B47EBF92E5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2022'!$B$5:$G$5</c:f>
              <c:numCache>
                <c:formatCode>General</c:formatCode>
                <c:ptCount val="6"/>
                <c:pt idx="0">
                  <c:v>11</c:v>
                </c:pt>
                <c:pt idx="1">
                  <c:v>15</c:v>
                </c:pt>
                <c:pt idx="2">
                  <c:v>20</c:v>
                </c:pt>
                <c:pt idx="3">
                  <c:v>19</c:v>
                </c:pt>
                <c:pt idx="4">
                  <c:v>19</c:v>
                </c:pt>
                <c:pt idx="5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CA5-4A68-A864-B47EBF92E5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98039455"/>
        <c:axId val="898045695"/>
        <c:axId val="0"/>
        <c:extLst/>
      </c:bar3DChart>
      <c:catAx>
        <c:axId val="898039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98045695"/>
        <c:crosses val="autoZero"/>
        <c:auto val="1"/>
        <c:lblAlgn val="ctr"/>
        <c:lblOffset val="100"/>
        <c:noMultiLvlLbl val="0"/>
      </c:catAx>
      <c:valAx>
        <c:axId val="898045695"/>
        <c:scaling>
          <c:orientation val="minMax"/>
          <c:max val="3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980394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4139208993725569"/>
          <c:y val="0.90564918368254799"/>
          <c:w val="0.71721559483176189"/>
          <c:h val="7.6271720272254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>
                <a:solidFill>
                  <a:sysClr val="windowText" lastClr="000000"/>
                </a:solidFill>
              </a:rPr>
              <a:t>Liczba nowych cząsteczko-wskazań w 2022 r. - wskazania rzadkie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604046505206418E-2"/>
          <c:y val="0.1171214525684246"/>
          <c:w val="0.90282978803009706"/>
          <c:h val="0.6431161259813278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'miesiące 2022'!$A$18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2022'!$B$18:$G$18</c:f>
              <c:numCache>
                <c:formatCode>General</c:formatCode>
                <c:ptCount val="6"/>
                <c:pt idx="0">
                  <c:v>3</c:v>
                </c:pt>
                <c:pt idx="1">
                  <c:v>11</c:v>
                </c:pt>
                <c:pt idx="2">
                  <c:v>6</c:v>
                </c:pt>
                <c:pt idx="3">
                  <c:v>3</c:v>
                </c:pt>
                <c:pt idx="4">
                  <c:v>9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64-4C63-BD72-776F7AD958D3}"/>
            </c:ext>
          </c:extLst>
        </c:ser>
        <c:ser>
          <c:idx val="1"/>
          <c:order val="1"/>
          <c:tx>
            <c:strRef>
              <c:f>'miesiące 2022'!$A$19</c:f>
              <c:strCache>
                <c:ptCount val="1"/>
                <c:pt idx="0">
                  <c:v>Pozostałe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2022'!$B$19:$G$19</c:f>
              <c:numCache>
                <c:formatCode>General</c:formatCode>
                <c:ptCount val="6"/>
                <c:pt idx="0">
                  <c:v>8</c:v>
                </c:pt>
                <c:pt idx="1">
                  <c:v>4</c:v>
                </c:pt>
                <c:pt idx="2">
                  <c:v>14</c:v>
                </c:pt>
                <c:pt idx="3">
                  <c:v>16</c:v>
                </c:pt>
                <c:pt idx="4">
                  <c:v>10</c:v>
                </c:pt>
                <c:pt idx="5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64-4C63-BD72-776F7AD958D3}"/>
            </c:ext>
          </c:extLst>
        </c:ser>
        <c:ser>
          <c:idx val="2"/>
          <c:order val="2"/>
          <c:tx>
            <c:v>Łącznie</c:v>
          </c:tx>
          <c:spPr>
            <a:noFill/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8.6841149758588171E-3"/>
                  <c:y val="3.6151386064067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64-4C63-BD72-776F7AD958D3}"/>
                </c:ext>
              </c:extLst>
            </c:dLbl>
            <c:dLbl>
              <c:idx val="1"/>
              <c:layout>
                <c:manualLayout>
                  <c:x val="1.1578819967811791E-2"/>
                  <c:y val="6.7783848870126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64-4C63-BD72-776F7AD958D3}"/>
                </c:ext>
              </c:extLst>
            </c:dLbl>
            <c:dLbl>
              <c:idx val="2"/>
              <c:layout>
                <c:manualLayout>
                  <c:x val="1.4473524959764793E-2"/>
                  <c:y val="5.8746002354109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64-4C63-BD72-776F7AD958D3}"/>
                </c:ext>
              </c:extLst>
            </c:dLbl>
            <c:dLbl>
              <c:idx val="3"/>
              <c:layout>
                <c:manualLayout>
                  <c:x val="1.447352495976474E-2"/>
                  <c:y val="7.682169538614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64-4C63-BD72-776F7AD958D3}"/>
                </c:ext>
              </c:extLst>
            </c:dLbl>
            <c:dLbl>
              <c:idx val="4"/>
              <c:layout>
                <c:manualLayout>
                  <c:x val="1.1578819967811686E-2"/>
                  <c:y val="7.2302772128135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64-4C63-BD72-776F7AD958D3}"/>
                </c:ext>
              </c:extLst>
            </c:dLbl>
            <c:dLbl>
              <c:idx val="5"/>
              <c:layout>
                <c:manualLayout>
                  <c:x val="1.4473524959764634E-2"/>
                  <c:y val="-1.8075693032033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64-4C63-BD72-776F7AD958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2022'!$B$20:$G$20</c:f>
              <c:numCache>
                <c:formatCode>General</c:formatCode>
                <c:ptCount val="6"/>
                <c:pt idx="0">
                  <c:v>11</c:v>
                </c:pt>
                <c:pt idx="1">
                  <c:v>15</c:v>
                </c:pt>
                <c:pt idx="2">
                  <c:v>20</c:v>
                </c:pt>
                <c:pt idx="3">
                  <c:v>19</c:v>
                </c:pt>
                <c:pt idx="4">
                  <c:v>19</c:v>
                </c:pt>
                <c:pt idx="5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A64-4C63-BD72-776F7AD958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98039455"/>
        <c:axId val="898045695"/>
        <c:axId val="0"/>
        <c:extLst/>
      </c:bar3DChart>
      <c:catAx>
        <c:axId val="898039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98045695"/>
        <c:crosses val="autoZero"/>
        <c:auto val="1"/>
        <c:lblAlgn val="ctr"/>
        <c:lblOffset val="100"/>
        <c:noMultiLvlLbl val="0"/>
      </c:catAx>
      <c:valAx>
        <c:axId val="898045695"/>
        <c:scaling>
          <c:orientation val="minMax"/>
          <c:max val="3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980394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lnSpc>
          <a:spcPct val="150000"/>
        </a:lnSpc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Cząsteczko-wskazania onkologiczne w 2022 r.</a:t>
            </a:r>
          </a:p>
        </c:rich>
      </c:tx>
      <c:layout>
        <c:manualLayout>
          <c:xMode val="edge"/>
          <c:yMode val="edge"/>
          <c:x val="0.28846826909828838"/>
          <c:y val="1.76977153573318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923113968552095"/>
          <c:y val="8.4808531425685355E-2"/>
          <c:w val="0.72847528233282766"/>
          <c:h val="0.8372700100184638"/>
        </c:manualLayout>
      </c:layout>
      <c:bar3DChart>
        <c:barDir val="bar"/>
        <c:grouping val="clustered"/>
        <c:varyColors val="0"/>
        <c:ser>
          <c:idx val="10"/>
          <c:order val="0"/>
          <c:tx>
            <c:strRef>
              <c:f>'onko_2012_-_2021_1'!$B$2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('onko_2012_-_2021_1'!$A$3:$A$5,'onko_2012_-_2021_1'!$A$7,'onko_2012_-_2021_1'!$A$9:$A$12)</c:f>
              <c:strCache>
                <c:ptCount val="8"/>
                <c:pt idx="0">
                  <c:v>Inne</c:v>
                </c:pt>
                <c:pt idx="1">
                  <c:v>Nowotwory układu 
urologicznego</c:v>
                </c:pt>
                <c:pt idx="2">
                  <c:v>Nowotwory układu 
pokarmowego</c:v>
                </c:pt>
                <c:pt idx="3">
                  <c:v>Nowotwory układu 
endokrynnego</c:v>
                </c:pt>
                <c:pt idx="4">
                  <c:v>Nowotwory nerki</c:v>
                </c:pt>
                <c:pt idx="5">
                  <c:v>Nowotwory głowy 
i szyi</c:v>
                </c:pt>
                <c:pt idx="6">
                  <c:v>Nowotwory 
ginekologiczne</c:v>
                </c:pt>
                <c:pt idx="7">
                  <c:v>Hematoonkologia</c:v>
                </c:pt>
              </c:strCache>
              <c:extLst/>
            </c:strRef>
          </c:cat>
          <c:val>
            <c:numRef>
              <c:f>('onko_2012_-_2021_1'!$B$3:$B$5,'onko_2012_-_2021_1'!$B$7,'onko_2012_-_2021_1'!$B$9:$B$12)</c:f>
              <c:numCache>
                <c:formatCode>General</c:formatCode>
                <c:ptCount val="8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1</c:v>
                </c:pt>
                <c:pt idx="6">
                  <c:v>7</c:v>
                </c:pt>
                <c:pt idx="7">
                  <c:v>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2871-464B-8541-24158BD3CC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1046271"/>
        <c:axId val="751054175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strRef>
                    <c:extLst>
                      <c:ext uri="{02D57815-91ED-43cb-92C2-25804820EDAC}">
                        <c15:formulaRef>
                          <c15:sqref>'onko_2012_-_2021_1'!$C$2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('onko_2012_-_2021_1'!$C$3:$C$5,'onko_2012_-_2021_1'!$C$7,'onko_2012_-_2021_1'!$C$9:$C$12)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4</c:v>
                      </c:pt>
                      <c:pt idx="7">
                        <c:v>11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2871-464B-8541-24158BD3CCAD}"/>
                  </c:ext>
                </c:extLst>
              </c15:ser>
            </c15:filteredBarSeries>
            <c15:filteredBar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('onko_2012_-_2021_1'!$D$3:$D$5,'onko_2012_-_2021_1'!$D$7,'onko_2012_-_2021_1'!$D$9:$D$12)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2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6</c:v>
                      </c:pt>
                      <c:pt idx="7">
                        <c:v>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2871-464B-8541-24158BD3CCAD}"/>
                  </c:ext>
                </c:extLst>
              </c15:ser>
            </c15:filteredBarSeries>
            <c15:filteredBar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('onko_2012_-_2021_1'!$E$3:$E$5,'onko_2012_-_2021_1'!$E$7,'onko_2012_-_2021_1'!$E$9:$E$12)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4</c:v>
                      </c:pt>
                      <c:pt idx="7">
                        <c:v>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2871-464B-8541-24158BD3CCAD}"/>
                  </c:ext>
                </c:extLst>
              </c15:ser>
            </c15:filteredBarSeries>
            <c15:filteredBar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('onko_2012_-_2021_1'!$F$3:$F$5,'onko_2012_-_2021_1'!$F$7,'onko_2012_-_2021_1'!$F$9:$F$12)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2871-464B-8541-24158BD3CCAD}"/>
                  </c:ext>
                </c:extLst>
              </c15:ser>
            </c15:filteredBarSeries>
            <c15:filteredBarSeries>
              <c15:ser>
                <c:idx val="4"/>
                <c:order val="5"/>
                <c:tx>
                  <c:v>2017</c:v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('onko_2012_-_2021_1'!$G$3:$G$5,'onko_2012_-_2021_1'!$G$7,'onko_2012_-_2021_1'!$G$9:$G$12)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</c:v>
                      </c:pt>
                      <c:pt idx="1">
                        <c:v>3</c:v>
                      </c:pt>
                      <c:pt idx="2">
                        <c:v>4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2871-464B-8541-24158BD3CCAD}"/>
                  </c:ext>
                </c:extLst>
              </c15:ser>
            </c15:filteredBarSeries>
            <c15:filteredBar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('onko_2012_-_2021_1'!$H$3:$H$5,'onko_2012_-_2021_1'!$H$7,'onko_2012_-_2021_1'!$H$9:$H$12)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2871-464B-8541-24158BD3CCAD}"/>
                  </c:ext>
                </c:extLst>
              </c15:ser>
            </c15:filteredBarSeries>
            <c15:filteredBarSeries>
              <c15:ser>
                <c:idx val="6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('onko_2012_-_2021_1'!$I$3:$I$5,'onko_2012_-_2021_1'!$I$7,'onko_2012_-_2021_1'!$I$9:$I$12)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3</c:v>
                      </c:pt>
                      <c:pt idx="1">
                        <c:v>0</c:v>
                      </c:pt>
                      <c:pt idx="2">
                        <c:v>4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2871-464B-8541-24158BD3CCAD}"/>
                  </c:ext>
                </c:extLst>
              </c15:ser>
            </c15:filteredBarSeries>
            <c15:filteredBarSeries>
              <c15:ser>
                <c:idx val="7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('onko_2012_-_2021_1'!$J$3:$J$5,'onko_2012_-_2021_1'!$J$7,'onko_2012_-_2021_1'!$J$9:$J$12)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10</c:v>
                      </c:pt>
                      <c:pt idx="1">
                        <c:v>1</c:v>
                      </c:pt>
                      <c:pt idx="2">
                        <c:v>6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2871-464B-8541-24158BD3CCAD}"/>
                  </c:ext>
                </c:extLst>
              </c15:ser>
            </c15:filteredBarSeries>
            <c15:filteredBarSeries>
              <c15:ser>
                <c:idx val="8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('onko_2012_-_2021_1'!$K$3:$K$5,'onko_2012_-_2021_1'!$K$7,'onko_2012_-_2021_1'!$K$9:$K$12)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2871-464B-8541-24158BD3CCAD}"/>
                  </c:ext>
                </c:extLst>
              </c15:ser>
            </c15:filteredBarSeries>
            <c15:filteredBarSeries>
              <c15:ser>
                <c:idx val="9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('onko_2012_-_2021_1'!$L$3:$L$5,'onko_2012_-_2021_1'!$L$7,'onko_2012_-_2021_1'!$L$9:$L$12)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3</c:v>
                      </c:pt>
                      <c:pt idx="1">
                        <c:v>1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2871-464B-8541-24158BD3CCAD}"/>
                  </c:ext>
                </c:extLst>
              </c15:ser>
            </c15:filteredBarSeries>
          </c:ext>
        </c:extLst>
      </c:bar3D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/>
              <a:t>Cząsteczko-wskazania nieonkologiczne w 2022 r.</a:t>
            </a:r>
          </a:p>
        </c:rich>
      </c:tx>
      <c:layout>
        <c:manualLayout>
          <c:xMode val="edge"/>
          <c:yMode val="edge"/>
          <c:x val="0.22426179604261798"/>
          <c:y val="4.581901489117984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173813708314802"/>
          <c:y val="7.282934396292734E-2"/>
          <c:w val="0.77451919006402115"/>
          <c:h val="0.84886425668113186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'nieonko_2016_-_2021'!$B$2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('nieonko_2016_-_2021'!$A$4:$A$11,'nieonko_2016_-_2021'!$A$13,'nieonko_2016_-_2021'!$A$15,'nieonko_2016_-_2021'!$A$17:$A$19)</c:f>
              <c:strCache>
                <c:ptCount val="13"/>
                <c:pt idx="0">
                  <c:v>Reumatologia</c:v>
                </c:pt>
                <c:pt idx="1">
                  <c:v>Pulmonologia</c:v>
                </c:pt>
                <c:pt idx="2">
                  <c:v>Psychiatria</c:v>
                </c:pt>
                <c:pt idx="3">
                  <c:v>Okulistyka</c:v>
                </c:pt>
                <c:pt idx="4">
                  <c:v>Neurologia</c:v>
                </c:pt>
                <c:pt idx="5">
                  <c:v>Nefrologia </c:v>
                </c:pt>
                <c:pt idx="6">
                  <c:v>Kardiologia</c:v>
                </c:pt>
                <c:pt idx="7">
                  <c:v>Immunologia</c:v>
                </c:pt>
                <c:pt idx="8">
                  <c:v>Hematologia</c:v>
                </c:pt>
                <c:pt idx="9">
                  <c:v>Gastroenterologia</c:v>
                </c:pt>
                <c:pt idx="10">
                  <c:v>Diabetologia</c:v>
                </c:pt>
                <c:pt idx="11">
                  <c:v>Dermatologia</c:v>
                </c:pt>
                <c:pt idx="12">
                  <c:v>Choroby metaboliczne</c:v>
                </c:pt>
              </c:strCache>
              <c:extLst/>
            </c:strRef>
          </c:cat>
          <c:val>
            <c:numRef>
              <c:f>('nieonko_2016_-_2021'!$B$4:$B$11,'nieonko_2016_-_2021'!$B$13,'nieonko_2016_-_2021'!$B$15,'nieonko_2016_-_2021'!$B$17:$B$19)</c:f>
              <c:numCache>
                <c:formatCode>General</c:formatCode>
                <c:ptCount val="13"/>
                <c:pt idx="0">
                  <c:v>9</c:v>
                </c:pt>
                <c:pt idx="1">
                  <c:v>11</c:v>
                </c:pt>
                <c:pt idx="2">
                  <c:v>1</c:v>
                </c:pt>
                <c:pt idx="3">
                  <c:v>1</c:v>
                </c:pt>
                <c:pt idx="4">
                  <c:v>18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  <c:pt idx="8">
                  <c:v>3</c:v>
                </c:pt>
                <c:pt idx="9">
                  <c:v>7</c:v>
                </c:pt>
                <c:pt idx="10">
                  <c:v>9</c:v>
                </c:pt>
                <c:pt idx="11">
                  <c:v>5</c:v>
                </c:pt>
                <c:pt idx="12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856-438F-A5C5-28A1BF29B2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296495"/>
        <c:axId val="241294831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'nieonko_2016_-_2021'!$C$2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('nieonko_2016_-_2021'!$C$4:$C$11,'nieonko_2016_-_2021'!$C$13,'nieonko_2016_-_2021'!$C$15,'nieonko_2016_-_2021'!$C$17:$C$19)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7</c:v>
                      </c:pt>
                      <c:pt idx="4">
                        <c:v>2</c:v>
                      </c:pt>
                      <c:pt idx="5">
                        <c:v>2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6</c:v>
                      </c:pt>
                      <c:pt idx="9">
                        <c:v>2</c:v>
                      </c:pt>
                      <c:pt idx="10">
                        <c:v>1</c:v>
                      </c:pt>
                      <c:pt idx="11">
                        <c:v>3</c:v>
                      </c:pt>
                      <c:pt idx="12">
                        <c:v>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0856-438F-A5C5-28A1BF29B26A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('nieonko_2016_-_2021'!$D$4:$D$11,'nieonko_2016_-_2021'!$D$13,'nieonko_2016_-_2021'!$D$15,'nieonko_2016_-_2021'!$D$17:$D$19)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2</c:v>
                      </c:pt>
                      <c:pt idx="2">
                        <c:v>4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1</c:v>
                      </c:pt>
                      <c:pt idx="8">
                        <c:v>3</c:v>
                      </c:pt>
                      <c:pt idx="9">
                        <c:v>2</c:v>
                      </c:pt>
                      <c:pt idx="10">
                        <c:v>3</c:v>
                      </c:pt>
                      <c:pt idx="11">
                        <c:v>3</c:v>
                      </c:pt>
                      <c:pt idx="12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0856-438F-A5C5-28A1BF29B26A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('nieonko_2016_-_2021'!$E$4:$E$11,'nieonko_2016_-_2021'!$E$13,'nieonko_2016_-_2021'!$E$15,'nieonko_2016_-_2021'!$E$17:$E$19)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3</c:v>
                      </c:pt>
                      <c:pt idx="1">
                        <c:v>3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3</c:v>
                      </c:pt>
                      <c:pt idx="5">
                        <c:v>0</c:v>
                      </c:pt>
                      <c:pt idx="6">
                        <c:v>3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3</c:v>
                      </c:pt>
                      <c:pt idx="10">
                        <c:v>5</c:v>
                      </c:pt>
                      <c:pt idx="11">
                        <c:v>1</c:v>
                      </c:pt>
                      <c:pt idx="12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0856-438F-A5C5-28A1BF29B26A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('nieonko_2016_-_2021'!$F$4:$F$11,'nieonko_2016_-_2021'!$F$13,'nieonko_2016_-_2021'!$F$15,'nieonko_2016_-_2021'!$F$17:$F$19)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4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3</c:v>
                      </c:pt>
                      <c:pt idx="8">
                        <c:v>4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3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856-438F-A5C5-28A1BF29B26A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'nieonko_2016_-_2021'!$G$2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('nieonko_2016_-_2021'!$G$4:$G$11,'nieonko_2016_-_2021'!$G$13,'nieonko_2016_-_2021'!$G$15,'nieonko_2016_-_2021'!$G$17:$G$19)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2</c:v>
                      </c:pt>
                      <c:pt idx="1">
                        <c:v>5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3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2</c:v>
                      </c:pt>
                      <c:pt idx="9">
                        <c:v>2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856-438F-A5C5-28A1BF29B26A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('nieonko_2016_-_2021'!$H$4:$H$11,'nieonko_2016_-_2021'!$H$13,'nieonko_2016_-_2021'!$H$15,'nieonko_2016_-_2021'!$H$17:$H$19)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0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3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856-438F-A5C5-28A1BF29B26A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('nieonko_2016_-_2021'!$I$4:$I$11,'nieonko_2016_-_2021'!$I$13,'nieonko_2016_-_2021'!$I$15,'nieonko_2016_-_2021'!$I$17:$I$19)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0</c:v>
                      </c:pt>
                      <c:pt idx="1">
                        <c:v>1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5</c:v>
                      </c:pt>
                      <c:pt idx="7">
                        <c:v>2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0856-438F-A5C5-28A1BF29B26A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('nieonko_2016_-_2021'!$J$4:$J$11,'nieonko_2016_-_2021'!$J$13,'nieonko_2016_-_2021'!$J$15,'nieonko_2016_-_2021'!$J$17:$J$19)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4</c:v>
                      </c:pt>
                      <c:pt idx="1">
                        <c:v>3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6</c:v>
                      </c:pt>
                      <c:pt idx="5">
                        <c:v>0</c:v>
                      </c:pt>
                      <c:pt idx="6">
                        <c:v>3</c:v>
                      </c:pt>
                      <c:pt idx="7">
                        <c:v>1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0856-438F-A5C5-28A1BF29B26A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('nieonko_2016_-_2021'!$K$4:$K$11,'nieonko_2016_-_2021'!$K$13,'nieonko_2016_-_2021'!$K$15,'nieonko_2016_-_2021'!$K$17:$K$19)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2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7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1</c:v>
                      </c:pt>
                      <c:pt idx="10">
                        <c:v>3</c:v>
                      </c:pt>
                      <c:pt idx="11">
                        <c:v>2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0856-438F-A5C5-28A1BF29B26A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('nieonko_2016_-_2021'!$L$4:$L$11,'nieonko_2016_-_2021'!$L$13,'nieonko_2016_-_2021'!$L$15,'nieonko_2016_-_2021'!$L$17:$L$19)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2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0856-438F-A5C5-28A1BF29B26A}"/>
                  </c:ext>
                </c:extLst>
              </c15:ser>
            </c15:filteredBarSeries>
          </c:ext>
        </c:extLst>
      </c:bar3DChart>
      <c:valAx>
        <c:axId val="241294831"/>
        <c:scaling>
          <c:orientation val="minMax"/>
          <c:max val="1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A482-C87A-423F-A616-7F30825D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2394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4</cp:revision>
  <dcterms:created xsi:type="dcterms:W3CDTF">2022-10-20T09:32:00Z</dcterms:created>
  <dcterms:modified xsi:type="dcterms:W3CDTF">2022-10-20T15:40:00Z</dcterms:modified>
</cp:coreProperties>
</file>