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25174F">
        <w:trPr>
          <w:trHeight w:val="775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A114A2">
        <w:trPr>
          <w:trHeight w:val="702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3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29AB476F" w14:textId="5CAF7494" w:rsidR="006F7926" w:rsidRPr="006F7926" w:rsidRDefault="002C20D2" w:rsidP="00476696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6F7926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961E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1F4266">
        <w:rPr>
          <w:rFonts w:ascii="Times New Roman" w:hAnsi="Times New Roman" w:cs="Times New Roman"/>
        </w:rPr>
        <w:t xml:space="preserve">RWMŚ </w:t>
      </w:r>
      <w:r w:rsidR="00CD46C3" w:rsidRPr="008C0D0A">
        <w:rPr>
          <w:sz w:val="24"/>
          <w:szCs w:val="24"/>
        </w:rPr>
        <w:t>we Włocławku, Plac Mikołaja Kopernika 1, 87-800 Włocławek</w:t>
      </w:r>
      <w:bookmarkStart w:id="4" w:name="_GoBack"/>
      <w:bookmarkEnd w:id="4"/>
      <w:r w:rsidR="00115138">
        <w:rPr>
          <w:rFonts w:cstheme="minorHAnsi"/>
          <w:sz w:val="24"/>
          <w:szCs w:val="24"/>
        </w:rPr>
        <w:t>.</w:t>
      </w:r>
    </w:p>
    <w:p w14:paraId="0790656E" w14:textId="6ADB02CE" w:rsidR="00721993" w:rsidRPr="006F7926" w:rsidRDefault="00EE51A9" w:rsidP="002E48D3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>przedmiotem nieodpłatnego przekazania</w:t>
      </w:r>
      <w:r w:rsidR="002C20D2"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6F7926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 w:rsidRPr="006F7926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262BE4A1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D166EF1E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A70A730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F327470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76C552C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9469216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0B87994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AB01FEC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B84B202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2B82584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D52AF"/>
    <w:rsid w:val="000E5167"/>
    <w:rsid w:val="000F1352"/>
    <w:rsid w:val="000F3EFB"/>
    <w:rsid w:val="00104200"/>
    <w:rsid w:val="00106974"/>
    <w:rsid w:val="00106B3B"/>
    <w:rsid w:val="00115138"/>
    <w:rsid w:val="00116BA7"/>
    <w:rsid w:val="00126744"/>
    <w:rsid w:val="00140B9E"/>
    <w:rsid w:val="00141FAC"/>
    <w:rsid w:val="00147151"/>
    <w:rsid w:val="001964A9"/>
    <w:rsid w:val="001A06E0"/>
    <w:rsid w:val="001A60AA"/>
    <w:rsid w:val="001C5AC2"/>
    <w:rsid w:val="001F4266"/>
    <w:rsid w:val="001F4DE3"/>
    <w:rsid w:val="00200AB0"/>
    <w:rsid w:val="00203BB5"/>
    <w:rsid w:val="00215CBE"/>
    <w:rsid w:val="00216113"/>
    <w:rsid w:val="002323CC"/>
    <w:rsid w:val="00237ED1"/>
    <w:rsid w:val="002420EB"/>
    <w:rsid w:val="0025174F"/>
    <w:rsid w:val="00267012"/>
    <w:rsid w:val="002800DE"/>
    <w:rsid w:val="002827C6"/>
    <w:rsid w:val="002852F5"/>
    <w:rsid w:val="002961E7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17188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57010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926"/>
    <w:rsid w:val="00721993"/>
    <w:rsid w:val="00723CFA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0596"/>
    <w:rsid w:val="009E5746"/>
    <w:rsid w:val="009E688F"/>
    <w:rsid w:val="00A103B1"/>
    <w:rsid w:val="00A114A2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1F6A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46C3"/>
    <w:rsid w:val="00CD6877"/>
    <w:rsid w:val="00D110E4"/>
    <w:rsid w:val="00D17356"/>
    <w:rsid w:val="00D25E15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45BE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6D6C1-839B-4B40-A1F4-FEAB6E6CE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19</cp:revision>
  <cp:lastPrinted>2025-03-06T12:57:00Z</cp:lastPrinted>
  <dcterms:created xsi:type="dcterms:W3CDTF">2025-05-05T06:08:00Z</dcterms:created>
  <dcterms:modified xsi:type="dcterms:W3CDTF">2026-06-25T15:10:00Z</dcterms:modified>
</cp:coreProperties>
</file>