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Nazwa </w:t>
            </w:r>
            <w:r w:rsidR="572F96C3" w:rsidRPr="5263244A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Nazwa</w:t>
            </w:r>
            <w:r w:rsidRPr="5263244A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1ED9239D" w:rsidR="006A6BFB" w:rsidRDefault="006A6BFB" w:rsidP="5FAAA76E">
      <w:pPr>
        <w:rPr>
          <w:rFonts w:ascii="Calibri" w:hAnsi="Calibri"/>
          <w:b/>
          <w:bCs/>
          <w:color w:val="C00000"/>
          <w:sz w:val="32"/>
          <w:szCs w:val="32"/>
        </w:rPr>
      </w:pPr>
      <w:r w:rsidRPr="3D57D2BB">
        <w:rPr>
          <w:rFonts w:ascii="Calibri" w:hAnsi="Calibri"/>
          <w:b/>
          <w:bCs/>
          <w:color w:val="C00000"/>
          <w:sz w:val="32"/>
          <w:szCs w:val="32"/>
        </w:rPr>
        <w:t>Typ wnioskodawcy – przedsiębiorstwo</w:t>
      </w:r>
      <w:r w:rsidR="00786A75" w:rsidRPr="3D57D2BB">
        <w:rPr>
          <w:rFonts w:ascii="Calibri" w:hAnsi="Calibri"/>
          <w:b/>
          <w:bCs/>
          <w:color w:val="C00000"/>
          <w:sz w:val="32"/>
          <w:szCs w:val="32"/>
        </w:rPr>
        <w:t xml:space="preserve">/ inny podmiot poza </w:t>
      </w:r>
      <w:r w:rsidR="27980F1F" w:rsidRPr="3D57D2BB">
        <w:rPr>
          <w:rFonts w:ascii="Calibri" w:hAnsi="Calibri"/>
          <w:b/>
          <w:bCs/>
          <w:color w:val="C00000"/>
          <w:sz w:val="32"/>
          <w:szCs w:val="32"/>
        </w:rPr>
        <w:t>organizacją badawczą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8A3BCC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Rok rozpoczęcia działalności Wnioskodawcy - przedsiębiorcy</w:t>
            </w:r>
            <w:r w:rsidR="22C2FE7D"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B1488C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A051E6" w:rsidRDefault="04F967C6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A051E6" w:rsidRDefault="1EBB6000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DB64B6" w:rsidRDefault="5463BB38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DB64B6" w:rsidRDefault="4D81A996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DB64B6" w:rsidRDefault="6F5FEF0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DB64B6" w:rsidRDefault="3C15673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B1488C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B1488C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</w:tcPr>
          <w:p w14:paraId="296F1E9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</w:tcPr>
          <w:p w14:paraId="26F5162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Wartość nakładów 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  <w:u w:val="single"/>
              </w:rPr>
              <w:t>wewnętrznych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>na działalność badawczo-rozwojową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(PLN)</w:t>
            </w:r>
          </w:p>
        </w:tc>
      </w:tr>
      <w:bookmarkEnd w:id="0"/>
      <w:tr w:rsidR="00B1488C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8A3BCC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B1488C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15B6CF82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 produktów i usług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B1488C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8A3BCC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nowych produktów i usług 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2332197" w14:textId="77777777" w:rsidR="004F3396" w:rsidRPr="00786A75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FFFFFF"/>
              </w:rPr>
            </w:pPr>
            <w:r w:rsidRPr="00786A75">
              <w:rPr>
                <w:rFonts w:ascii="Calibri" w:hAnsi="Calibri"/>
                <w:bCs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963A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21E41" w:rsidRDefault="59249946" w:rsidP="008C2079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682BE8" w:rsidRPr="008A3BCC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8A3BCC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Liczba </w:t>
            </w:r>
            <w:r w:rsidR="00516D69"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</w:t>
            </w:r>
            <w:r w:rsidR="0B2403FD" w:rsidRPr="6804CEF5">
              <w:rPr>
                <w:rFonts w:ascii="Calibri" w:hAnsi="Calibri"/>
                <w:b/>
                <w:bCs/>
                <w:color w:val="FFFFFF"/>
              </w:rPr>
              <w:t xml:space="preserve"> podmiocie 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5703D8"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="005703D8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produkcji bądź rozwoju wyrobów lub świadczenia usług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BA9966F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03FCD5E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6D47A1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 xml:space="preserve">a. </w:t>
            </w:r>
            <w:r w:rsidRPr="006D47A1">
              <w:rPr>
                <w:rFonts w:ascii="Calibri" w:hAnsi="Calibri"/>
                <w:b/>
                <w:bCs/>
                <w:color w:val="FFFFFF"/>
              </w:rPr>
              <w:t>w tym liczba projektów B+R finansowanych wyłącznie ze środków prywatnych</w:t>
            </w:r>
            <w:r w:rsidR="00F705C9" w:rsidRPr="006D47A1">
              <w:rPr>
                <w:rFonts w:ascii="Calibri" w:hAnsi="Calibri"/>
                <w:b/>
                <w:bCs/>
                <w:color w:val="FFFFFF"/>
              </w:rPr>
              <w:t xml:space="preserve"> (szt.)</w:t>
            </w:r>
          </w:p>
        </w:tc>
      </w:tr>
      <w:tr w:rsidR="00B1488C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D2C8F" w:rsidRPr="008A3BCC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4F3396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gridSpan w:val="2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gridSpan w:val="2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gridSpan w:val="2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8A3BCC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E7F95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8A3BCC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Liczba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86A75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lastRenderedPageBreak/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Default="00DC5579" w:rsidP="002A435D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438C65CC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6C53CD45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 xml:space="preserve">.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4008F1A8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lastRenderedPageBreak/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0DF0C200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 xml:space="preserve">Definicje zgodne z formularzem GUS.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5782DD7A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>Punkt 5a. w tym wartość przychodu ze sprzedaży nowych lub istotnie ulepszonych produktów i usług 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00ACD8B9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>
        <w:t xml:space="preserve"> 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516D69">
        <w:rPr>
          <w:u w:val="single"/>
        </w:rPr>
        <w:t>Przez wdrożenie</w:t>
      </w:r>
      <w:r w:rsidRPr="00B74974">
        <w:t xml:space="preserve"> należy rozumieć: </w:t>
      </w:r>
    </w:p>
    <w:p w14:paraId="7E534250" w14:textId="6D600519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lastRenderedPageBreak/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3F6E3819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 xml:space="preserve">Liczba wdrożonych w firmie metod produkcji bądź rozwoju wyrobów lub świadczenia usług 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77777777" w:rsidR="00DF1BC4" w:rsidRPr="00516D69" w:rsidRDefault="10CE6711" w:rsidP="00DF1BC4">
      <w:pPr>
        <w:spacing w:before="240"/>
        <w:jc w:val="both"/>
      </w:pPr>
      <w:r w:rsidRPr="5263244A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Default="27733690" w:rsidP="27733690">
      <w:pPr>
        <w:spacing w:before="240"/>
        <w:jc w:val="both"/>
      </w:pPr>
    </w:p>
    <w:p w14:paraId="49A08222" w14:textId="76A87D30" w:rsidR="15140B4E" w:rsidRDefault="15140B4E" w:rsidP="5263244A">
      <w:pPr>
        <w:jc w:val="both"/>
      </w:pPr>
      <w:r w:rsidRPr="6A2D41A0">
        <w:rPr>
          <w:b/>
          <w:bCs/>
        </w:rPr>
        <w:t>Punkt 8.</w:t>
      </w:r>
      <w:r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27419922" w:rsidR="15140B4E" w:rsidRDefault="15140B4E" w:rsidP="5263244A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A799CB0" w:rsidR="15140B4E" w:rsidRDefault="15140B4E" w:rsidP="5263244A">
      <w:pPr>
        <w:jc w:val="both"/>
      </w:pPr>
      <w:r w:rsidRPr="6804CEF5">
        <w:rPr>
          <w:b/>
          <w:bCs/>
        </w:rPr>
        <w:t xml:space="preserve">Punkty 10 – 13. Wynalazki, wzory użytkowe i wzory przemysłowe. Definicje zgodne z formularzem GUS – PNT-01 i PNT 02.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27733690">
      <w:pPr>
        <w:spacing w:before="240"/>
        <w:jc w:val="both"/>
      </w:pPr>
    </w:p>
    <w:sectPr w:rsidR="27733690" w:rsidSect="00A125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40F0" w14:textId="77777777" w:rsidR="004C6113" w:rsidRDefault="004C6113" w:rsidP="005E0D8A">
      <w:r>
        <w:separator/>
      </w:r>
    </w:p>
  </w:endnote>
  <w:endnote w:type="continuationSeparator" w:id="0">
    <w:p w14:paraId="190C9A68" w14:textId="77777777" w:rsidR="004C6113" w:rsidRDefault="004C6113" w:rsidP="005E0D8A">
      <w:r>
        <w:continuationSeparator/>
      </w:r>
    </w:p>
  </w:endnote>
  <w:endnote w:type="continuationNotice" w:id="1">
    <w:p w14:paraId="090BBF26" w14:textId="77777777" w:rsidR="004C6113" w:rsidRDefault="004C6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6B2E" w14:textId="071760C7" w:rsidR="005B5552" w:rsidRDefault="005B55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E85DAE" wp14:editId="1981BA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35010383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64A8C" w14:textId="2C46CBAE" w:rsidR="005B5552" w:rsidRPr="005B5552" w:rsidRDefault="005B5552" w:rsidP="005B55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B55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85D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1664A8C" w14:textId="2C46CBAE" w:rsidR="005B5552" w:rsidRPr="005B5552" w:rsidRDefault="005B5552" w:rsidP="005B55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B555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5868" w14:textId="6BC9494C" w:rsidR="00786A75" w:rsidRDefault="005B55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0DDE2D" wp14:editId="077D8C16">
              <wp:simplePos x="900332" y="100654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52272814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734C3" w14:textId="006FEA52" w:rsidR="005B5552" w:rsidRPr="005B5552" w:rsidRDefault="005B5552" w:rsidP="005B55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B55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DDE2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5B734C3" w14:textId="006FEA52" w:rsidR="005B5552" w:rsidRPr="005B5552" w:rsidRDefault="005B5552" w:rsidP="005B55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B555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636A" w14:textId="4F3BFC76" w:rsidR="005B5552" w:rsidRDefault="005B55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510FB0" wp14:editId="2D9128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474268752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60DB3" w14:textId="69E86B8F" w:rsidR="005B5552" w:rsidRPr="005B5552" w:rsidRDefault="005B5552" w:rsidP="005B55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B55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10FB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9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7260DB3" w14:textId="69E86B8F" w:rsidR="005B5552" w:rsidRPr="005B5552" w:rsidRDefault="005B5552" w:rsidP="005B55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B555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8D42" w14:textId="77777777" w:rsidR="004C6113" w:rsidRDefault="004C6113" w:rsidP="005E0D8A">
      <w:r>
        <w:separator/>
      </w:r>
    </w:p>
  </w:footnote>
  <w:footnote w:type="continuationSeparator" w:id="0">
    <w:p w14:paraId="0A4ED075" w14:textId="77777777" w:rsidR="004C6113" w:rsidRDefault="004C6113" w:rsidP="005E0D8A">
      <w:r>
        <w:continuationSeparator/>
      </w:r>
    </w:p>
  </w:footnote>
  <w:footnote w:type="continuationNotice" w:id="1">
    <w:p w14:paraId="6A5862BB" w14:textId="77777777" w:rsidR="004C6113" w:rsidRDefault="004C6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3334">
    <w:abstractNumId w:val="0"/>
  </w:num>
  <w:num w:numId="2" w16cid:durableId="506940969">
    <w:abstractNumId w:val="6"/>
  </w:num>
  <w:num w:numId="3" w16cid:durableId="921837096">
    <w:abstractNumId w:val="2"/>
  </w:num>
  <w:num w:numId="4" w16cid:durableId="37516093">
    <w:abstractNumId w:val="5"/>
  </w:num>
  <w:num w:numId="5" w16cid:durableId="597952698">
    <w:abstractNumId w:val="7"/>
  </w:num>
  <w:num w:numId="6" w16cid:durableId="1411082856">
    <w:abstractNumId w:val="8"/>
  </w:num>
  <w:num w:numId="7" w16cid:durableId="1287194492">
    <w:abstractNumId w:val="4"/>
  </w:num>
  <w:num w:numId="8" w16cid:durableId="1447776066">
    <w:abstractNumId w:val="1"/>
  </w:num>
  <w:num w:numId="9" w16cid:durableId="86541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C6113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B5552"/>
    <w:rsid w:val="005C2CAB"/>
    <w:rsid w:val="005D616D"/>
    <w:rsid w:val="005E0A8E"/>
    <w:rsid w:val="005E0D8A"/>
    <w:rsid w:val="005E362E"/>
    <w:rsid w:val="005E7950"/>
    <w:rsid w:val="005F09AC"/>
    <w:rsid w:val="005F6D91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A05EE"/>
    <w:rsid w:val="00CE7F95"/>
    <w:rsid w:val="00D128B5"/>
    <w:rsid w:val="00D21439"/>
    <w:rsid w:val="00D24578"/>
    <w:rsid w:val="00D260E1"/>
    <w:rsid w:val="00D26975"/>
    <w:rsid w:val="00D40CAA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67EA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7980F1F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3D57D2BB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5FAAA76E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9e3baa-da76-43fb-af25-ef69dd29ba84">
      <UserInfo>
        <DisplayName>Barbara Kowalczyk</DisplayName>
        <AccountId>381</AccountId>
        <AccountType/>
      </UserInfo>
    </SharedWithUsers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c39e3baa-da76-43fb-af25-ef69dd29ba84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B7EBC0EB-2E50-453A-9D61-BB0C5E5FF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1770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Agnieszka Kramek</cp:lastModifiedBy>
  <cp:revision>7</cp:revision>
  <cp:lastPrinted>2022-09-09T11:18:00Z</cp:lastPrinted>
  <dcterms:created xsi:type="dcterms:W3CDTF">2022-09-09T11:21:00Z</dcterms:created>
  <dcterms:modified xsi:type="dcterms:W3CDTF">2026-03-30T06:16:00Z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57df8e50,14de291f,1f2832cd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2026-03-30T06:15:16Z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9043575e-1a5c-44b4-8ba3-3b6708d55226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