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3851" w14:textId="7079AFB3" w:rsidR="00021A18" w:rsidRPr="00E54643" w:rsidRDefault="00DF4527" w:rsidP="00062B92">
      <w:pPr>
        <w:pStyle w:val="Bezodstpw"/>
        <w:spacing w:line="276" w:lineRule="auto"/>
        <w:jc w:val="center"/>
        <w:rPr>
          <w:rFonts w:ascii="Times New Roman" w:hAnsi="Times New Roman" w:cs="Times New Roman"/>
          <w:b/>
          <w:bCs/>
        </w:rPr>
      </w:pPr>
      <w:r w:rsidRPr="00E54643">
        <w:rPr>
          <w:rFonts w:ascii="Times New Roman" w:hAnsi="Times New Roman" w:cs="Times New Roman"/>
          <w:b/>
          <w:bCs/>
        </w:rPr>
        <w:t>Tabela uwag z</w:t>
      </w:r>
      <w:r w:rsidR="00110686" w:rsidRPr="00E54643">
        <w:rPr>
          <w:rFonts w:ascii="Times New Roman" w:hAnsi="Times New Roman" w:cs="Times New Roman"/>
          <w:b/>
          <w:bCs/>
        </w:rPr>
        <w:t>głoszonych w ramach</w:t>
      </w:r>
      <w:r w:rsidRPr="00E54643">
        <w:rPr>
          <w:rFonts w:ascii="Times New Roman" w:hAnsi="Times New Roman" w:cs="Times New Roman"/>
          <w:b/>
          <w:bCs/>
        </w:rPr>
        <w:t xml:space="preserve"> </w:t>
      </w:r>
      <w:r w:rsidR="007F7FA1">
        <w:rPr>
          <w:rFonts w:ascii="Times New Roman" w:hAnsi="Times New Roman" w:cs="Times New Roman"/>
          <w:b/>
          <w:bCs/>
        </w:rPr>
        <w:t>ponownych</w:t>
      </w:r>
      <w:r w:rsidR="00394673">
        <w:rPr>
          <w:rFonts w:ascii="Times New Roman" w:hAnsi="Times New Roman" w:cs="Times New Roman"/>
          <w:b/>
          <w:bCs/>
        </w:rPr>
        <w:t xml:space="preserve"> </w:t>
      </w:r>
      <w:r w:rsidR="008347E5" w:rsidRPr="00E54643">
        <w:rPr>
          <w:rFonts w:ascii="Times New Roman" w:hAnsi="Times New Roman" w:cs="Times New Roman"/>
          <w:b/>
          <w:bCs/>
        </w:rPr>
        <w:t>konsultacji publicznych</w:t>
      </w:r>
      <w:r w:rsidR="00396DAE" w:rsidRPr="00E54643">
        <w:rPr>
          <w:rFonts w:ascii="Times New Roman" w:hAnsi="Times New Roman" w:cs="Times New Roman"/>
          <w:b/>
          <w:bCs/>
        </w:rPr>
        <w:t xml:space="preserve"> </w:t>
      </w:r>
      <w:r w:rsidRPr="00E54643">
        <w:rPr>
          <w:rFonts w:ascii="Times New Roman" w:hAnsi="Times New Roman" w:cs="Times New Roman"/>
          <w:b/>
          <w:bCs/>
        </w:rPr>
        <w:t xml:space="preserve">projektu rozporządzenia </w:t>
      </w:r>
      <w:bookmarkStart w:id="0" w:name="bookmark1"/>
      <w:r w:rsidR="00A15263" w:rsidRPr="00E54643">
        <w:rPr>
          <w:rFonts w:ascii="Times New Roman" w:hAnsi="Times New Roman" w:cs="Times New Roman"/>
          <w:b/>
          <w:bCs/>
        </w:rPr>
        <w:t xml:space="preserve">Rady Ministrów w sprawie </w:t>
      </w:r>
      <w:bookmarkEnd w:id="0"/>
      <w:r w:rsidR="00BB71EE" w:rsidRPr="00E54643">
        <w:rPr>
          <w:rFonts w:ascii="Times New Roman" w:hAnsi="Times New Roman" w:cs="Times New Roman"/>
          <w:b/>
          <w:bCs/>
        </w:rPr>
        <w:t>wymagań technicznych i</w:t>
      </w:r>
      <w:r w:rsidR="007859D8">
        <w:rPr>
          <w:rFonts w:ascii="Times New Roman" w:hAnsi="Times New Roman" w:cs="Times New Roman"/>
          <w:b/>
          <w:bCs/>
        </w:rPr>
        <w:t> </w:t>
      </w:r>
      <w:r w:rsidR="00BB71EE" w:rsidRPr="00E54643">
        <w:rPr>
          <w:rFonts w:ascii="Times New Roman" w:hAnsi="Times New Roman" w:cs="Times New Roman"/>
          <w:b/>
          <w:bCs/>
        </w:rPr>
        <w:t>eksploatacyjnych dla interfejsów (RD215)</w:t>
      </w:r>
    </w:p>
    <w:tbl>
      <w:tblPr>
        <w:tblStyle w:val="Tabela-Siatka"/>
        <w:tblW w:w="15163" w:type="dxa"/>
        <w:tblLook w:val="04A0" w:firstRow="1" w:lastRow="0" w:firstColumn="1" w:lastColumn="0" w:noHBand="0" w:noVBand="1"/>
      </w:tblPr>
      <w:tblGrid>
        <w:gridCol w:w="595"/>
        <w:gridCol w:w="1399"/>
        <w:gridCol w:w="1785"/>
        <w:gridCol w:w="5495"/>
        <w:gridCol w:w="5889"/>
      </w:tblGrid>
      <w:tr w:rsidR="006F492C" w:rsidRPr="007F7FA1" w14:paraId="35087CD2" w14:textId="77777777" w:rsidTr="00E54643">
        <w:trPr>
          <w:cantSplit/>
          <w:trHeight w:val="840"/>
        </w:trPr>
        <w:tc>
          <w:tcPr>
            <w:tcW w:w="596" w:type="dxa"/>
            <w:tcBorders>
              <w:bottom w:val="single" w:sz="4" w:space="0" w:color="auto"/>
            </w:tcBorders>
            <w:shd w:val="clear" w:color="auto" w:fill="D9D9D9" w:themeFill="background1" w:themeFillShade="D9"/>
            <w:vAlign w:val="center"/>
          </w:tcPr>
          <w:p w14:paraId="40DC3DC8" w14:textId="07565D78" w:rsidR="00DF4527" w:rsidRPr="00E54643" w:rsidRDefault="009753A3" w:rsidP="0057644A">
            <w:pPr>
              <w:pStyle w:val="Bezodstpw"/>
              <w:jc w:val="center"/>
              <w:rPr>
                <w:rFonts w:ascii="Times New Roman" w:hAnsi="Times New Roman" w:cs="Times New Roman"/>
              </w:rPr>
            </w:pPr>
            <w:r w:rsidRPr="00E54643">
              <w:rPr>
                <w:rFonts w:ascii="Times New Roman" w:hAnsi="Times New Roman" w:cs="Times New Roman"/>
                <w:b/>
              </w:rPr>
              <w:t>Lp.</w:t>
            </w:r>
          </w:p>
        </w:tc>
        <w:tc>
          <w:tcPr>
            <w:tcW w:w="1400" w:type="dxa"/>
            <w:tcBorders>
              <w:bottom w:val="single" w:sz="4" w:space="0" w:color="auto"/>
            </w:tcBorders>
            <w:shd w:val="clear" w:color="auto" w:fill="D9D9D9" w:themeFill="background1" w:themeFillShade="D9"/>
            <w:vAlign w:val="center"/>
          </w:tcPr>
          <w:p w14:paraId="5C3AEFCE" w14:textId="246D43B8" w:rsidR="00DF4527" w:rsidRPr="00E54643" w:rsidRDefault="009753A3" w:rsidP="00822E68">
            <w:pPr>
              <w:pStyle w:val="Bezodstpw"/>
              <w:jc w:val="center"/>
              <w:rPr>
                <w:rFonts w:ascii="Times New Roman" w:hAnsi="Times New Roman" w:cs="Times New Roman"/>
              </w:rPr>
            </w:pPr>
            <w:r w:rsidRPr="00E54643">
              <w:rPr>
                <w:rFonts w:ascii="Times New Roman" w:hAnsi="Times New Roman" w:cs="Times New Roman"/>
                <w:b/>
              </w:rPr>
              <w:t>Jednostka redakcyjna projektu</w:t>
            </w:r>
          </w:p>
        </w:tc>
        <w:tc>
          <w:tcPr>
            <w:tcW w:w="1692" w:type="dxa"/>
            <w:tcBorders>
              <w:bottom w:val="single" w:sz="4" w:space="0" w:color="auto"/>
            </w:tcBorders>
            <w:shd w:val="clear" w:color="auto" w:fill="D9D9D9" w:themeFill="background1" w:themeFillShade="D9"/>
            <w:vAlign w:val="center"/>
          </w:tcPr>
          <w:p w14:paraId="5C0E9CFB" w14:textId="000BE617" w:rsidR="00DF4527" w:rsidRPr="00E54643" w:rsidRDefault="00110686" w:rsidP="00822E68">
            <w:pPr>
              <w:pStyle w:val="Bezodstpw"/>
              <w:jc w:val="center"/>
              <w:rPr>
                <w:rFonts w:ascii="Times New Roman" w:hAnsi="Times New Roman" w:cs="Times New Roman"/>
              </w:rPr>
            </w:pPr>
            <w:r w:rsidRPr="00E54643">
              <w:rPr>
                <w:rFonts w:ascii="Times New Roman" w:hAnsi="Times New Roman" w:cs="Times New Roman"/>
                <w:b/>
              </w:rPr>
              <w:t>Podmiot z</w:t>
            </w:r>
            <w:r w:rsidR="009753A3" w:rsidRPr="00E54643">
              <w:rPr>
                <w:rFonts w:ascii="Times New Roman" w:hAnsi="Times New Roman" w:cs="Times New Roman"/>
                <w:b/>
              </w:rPr>
              <w:t>głaszający</w:t>
            </w:r>
            <w:r w:rsidR="0026635D">
              <w:rPr>
                <w:rFonts w:ascii="Times New Roman" w:hAnsi="Times New Roman" w:cs="Times New Roman"/>
                <w:b/>
              </w:rPr>
              <w:t xml:space="preserve"> uwagę</w:t>
            </w:r>
          </w:p>
        </w:tc>
        <w:tc>
          <w:tcPr>
            <w:tcW w:w="5534" w:type="dxa"/>
            <w:tcBorders>
              <w:bottom w:val="single" w:sz="4" w:space="0" w:color="auto"/>
            </w:tcBorders>
            <w:shd w:val="clear" w:color="auto" w:fill="D9D9D9" w:themeFill="background1" w:themeFillShade="D9"/>
            <w:vAlign w:val="center"/>
          </w:tcPr>
          <w:p w14:paraId="37A93FA5" w14:textId="0EBA8F04" w:rsidR="00DF4527" w:rsidRPr="00E54643" w:rsidRDefault="009753A3" w:rsidP="00822E68">
            <w:pPr>
              <w:pStyle w:val="Bezodstpw"/>
              <w:jc w:val="center"/>
              <w:rPr>
                <w:rFonts w:ascii="Times New Roman" w:hAnsi="Times New Roman" w:cs="Times New Roman"/>
              </w:rPr>
            </w:pPr>
            <w:r w:rsidRPr="00E54643">
              <w:rPr>
                <w:rFonts w:ascii="Times New Roman" w:hAnsi="Times New Roman" w:cs="Times New Roman"/>
                <w:b/>
              </w:rPr>
              <w:t>Treść uwagi</w:t>
            </w:r>
          </w:p>
        </w:tc>
        <w:tc>
          <w:tcPr>
            <w:tcW w:w="5941" w:type="dxa"/>
            <w:tcBorders>
              <w:bottom w:val="single" w:sz="4" w:space="0" w:color="auto"/>
            </w:tcBorders>
            <w:shd w:val="clear" w:color="auto" w:fill="D9D9D9" w:themeFill="background1" w:themeFillShade="D9"/>
            <w:vAlign w:val="center"/>
          </w:tcPr>
          <w:p w14:paraId="72FB7D72" w14:textId="243C8A95" w:rsidR="00DF4527" w:rsidRPr="00E54643" w:rsidRDefault="009753A3" w:rsidP="00822E68">
            <w:pPr>
              <w:pStyle w:val="Bezodstpw"/>
              <w:jc w:val="center"/>
              <w:rPr>
                <w:rFonts w:ascii="Times New Roman" w:hAnsi="Times New Roman" w:cs="Times New Roman"/>
              </w:rPr>
            </w:pPr>
            <w:r w:rsidRPr="00E54643">
              <w:rPr>
                <w:rFonts w:ascii="Times New Roman" w:hAnsi="Times New Roman" w:cs="Times New Roman"/>
                <w:b/>
              </w:rPr>
              <w:t>Stanowisko M</w:t>
            </w:r>
            <w:r w:rsidR="00110686" w:rsidRPr="00E54643">
              <w:rPr>
                <w:rFonts w:ascii="Times New Roman" w:hAnsi="Times New Roman" w:cs="Times New Roman"/>
                <w:b/>
              </w:rPr>
              <w:t>inistra Cyfryzacji</w:t>
            </w:r>
          </w:p>
        </w:tc>
      </w:tr>
      <w:tr w:rsidR="00024B85" w:rsidRPr="007F7FA1" w14:paraId="18984956" w14:textId="77777777" w:rsidTr="00E54643">
        <w:tc>
          <w:tcPr>
            <w:tcW w:w="596" w:type="dxa"/>
            <w:tcBorders>
              <w:bottom w:val="single" w:sz="4" w:space="0" w:color="auto"/>
            </w:tcBorders>
          </w:tcPr>
          <w:p w14:paraId="5861C2EC" w14:textId="77777777" w:rsidR="00024B85" w:rsidRPr="00E54643" w:rsidRDefault="00024B85" w:rsidP="00BA5D12">
            <w:pPr>
              <w:pStyle w:val="Bezodstpw"/>
              <w:ind w:left="171"/>
              <w:rPr>
                <w:rFonts w:ascii="Times New Roman" w:hAnsi="Times New Roman" w:cs="Times New Roman"/>
              </w:rPr>
            </w:pPr>
          </w:p>
        </w:tc>
        <w:tc>
          <w:tcPr>
            <w:tcW w:w="1400" w:type="dxa"/>
            <w:tcBorders>
              <w:bottom w:val="single" w:sz="4" w:space="0" w:color="auto"/>
            </w:tcBorders>
          </w:tcPr>
          <w:p w14:paraId="37B7B00F" w14:textId="6E6F9551" w:rsidR="00024B85" w:rsidRPr="00E54643" w:rsidRDefault="00F37B2D" w:rsidP="00650580">
            <w:pPr>
              <w:pStyle w:val="Bezodstpw"/>
              <w:jc w:val="center"/>
              <w:rPr>
                <w:rFonts w:ascii="Times New Roman" w:hAnsi="Times New Roman" w:cs="Times New Roman"/>
              </w:rPr>
            </w:pPr>
            <w:r w:rsidRPr="00E54643">
              <w:rPr>
                <w:rFonts w:ascii="Times New Roman" w:hAnsi="Times New Roman" w:cs="Times New Roman"/>
              </w:rPr>
              <w:t>Załącznik</w:t>
            </w:r>
          </w:p>
          <w:p w14:paraId="397FC129" w14:textId="4AC021C5" w:rsidR="00F37B2D" w:rsidRPr="00E54643" w:rsidRDefault="00F37B2D" w:rsidP="00650580">
            <w:pPr>
              <w:pStyle w:val="Bezodstpw"/>
              <w:jc w:val="center"/>
              <w:rPr>
                <w:rFonts w:ascii="Times New Roman" w:hAnsi="Times New Roman" w:cs="Times New Roman"/>
              </w:rPr>
            </w:pPr>
            <w:r w:rsidRPr="00E54643">
              <w:rPr>
                <w:rFonts w:ascii="Times New Roman" w:hAnsi="Times New Roman" w:cs="Times New Roman"/>
              </w:rPr>
              <w:t>pkt 5.9</w:t>
            </w:r>
          </w:p>
        </w:tc>
        <w:tc>
          <w:tcPr>
            <w:tcW w:w="1692" w:type="dxa"/>
            <w:tcBorders>
              <w:bottom w:val="single" w:sz="4" w:space="0" w:color="auto"/>
            </w:tcBorders>
          </w:tcPr>
          <w:p w14:paraId="75220B2C" w14:textId="2D77CCF1" w:rsidR="00024B85" w:rsidRPr="006E2C35" w:rsidRDefault="00F37B2D" w:rsidP="00650580">
            <w:pPr>
              <w:pStyle w:val="Bezodstpw"/>
              <w:jc w:val="center"/>
              <w:rPr>
                <w:rFonts w:ascii="Times New Roman" w:hAnsi="Times New Roman" w:cs="Times New Roman"/>
                <w:b/>
                <w:bCs/>
              </w:rPr>
            </w:pPr>
            <w:r w:rsidRPr="006E2C35">
              <w:rPr>
                <w:rFonts w:ascii="Times New Roman" w:hAnsi="Times New Roman" w:cs="Times New Roman"/>
                <w:b/>
                <w:bCs/>
              </w:rPr>
              <w:t>Polska Izba Informatyki i Telekomunikacji</w:t>
            </w:r>
          </w:p>
        </w:tc>
        <w:tc>
          <w:tcPr>
            <w:tcW w:w="5534" w:type="dxa"/>
            <w:tcBorders>
              <w:bottom w:val="single" w:sz="4" w:space="0" w:color="auto"/>
            </w:tcBorders>
          </w:tcPr>
          <w:p w14:paraId="171E3FE9" w14:textId="77777777" w:rsidR="00F37B2D" w:rsidRPr="00E54643" w:rsidRDefault="00F37B2D" w:rsidP="00F37B2D">
            <w:pPr>
              <w:pStyle w:val="Bezodstpw"/>
              <w:spacing w:after="120"/>
              <w:jc w:val="both"/>
              <w:rPr>
                <w:rFonts w:ascii="Times New Roman" w:hAnsi="Times New Roman" w:cs="Times New Roman"/>
              </w:rPr>
            </w:pPr>
            <w:r w:rsidRPr="00E54643">
              <w:rPr>
                <w:rFonts w:ascii="Times New Roman" w:hAnsi="Times New Roman" w:cs="Times New Roman"/>
              </w:rPr>
              <w:t xml:space="preserve">Propozycja PIIT: </w:t>
            </w:r>
          </w:p>
          <w:p w14:paraId="7E868936" w14:textId="77777777" w:rsidR="00F37B2D" w:rsidRPr="00E54643" w:rsidRDefault="00F37B2D" w:rsidP="00F37B2D">
            <w:pPr>
              <w:pStyle w:val="Bezodstpw"/>
              <w:spacing w:after="120"/>
              <w:jc w:val="both"/>
              <w:rPr>
                <w:rFonts w:ascii="Times New Roman" w:hAnsi="Times New Roman" w:cs="Times New Roman"/>
              </w:rPr>
            </w:pPr>
            <w:r w:rsidRPr="00E54643">
              <w:rPr>
                <w:rFonts w:ascii="Times New Roman" w:hAnsi="Times New Roman" w:cs="Times New Roman"/>
                <w:i/>
                <w:iCs/>
              </w:rPr>
              <w:t xml:space="preserve">5.9. Interfejs LI HI przekazuje bez zbędnej zwłoki komunikaty elektroniczne i związane z nimi dane, o których mowa w art. 43 ust. 1 pkt 1 ustawy, do LEMF. Dla interfejsu LI HI jest stosowane </w:t>
            </w:r>
            <w:r w:rsidRPr="00E54643">
              <w:rPr>
                <w:rFonts w:ascii="Times New Roman" w:hAnsi="Times New Roman" w:cs="Times New Roman"/>
                <w:i/>
                <w:iCs/>
                <w:strike/>
              </w:rPr>
              <w:t xml:space="preserve">96 </w:t>
            </w:r>
            <w:r w:rsidRPr="00E54643">
              <w:rPr>
                <w:rFonts w:ascii="Times New Roman" w:hAnsi="Times New Roman" w:cs="Times New Roman"/>
                <w:b/>
                <w:bCs/>
                <w:i/>
                <w:iCs/>
              </w:rPr>
              <w:t>72</w:t>
            </w:r>
            <w:r w:rsidRPr="00E54643">
              <w:rPr>
                <w:rFonts w:ascii="Times New Roman" w:hAnsi="Times New Roman" w:cs="Times New Roman"/>
                <w:i/>
                <w:iCs/>
              </w:rPr>
              <w:t xml:space="preserve">-godzinne buforowanie. </w:t>
            </w:r>
          </w:p>
          <w:p w14:paraId="0A4AC5F8" w14:textId="2784618C" w:rsidR="00F37B2D" w:rsidRPr="00E54643" w:rsidRDefault="00F37B2D" w:rsidP="00F37B2D">
            <w:pPr>
              <w:pStyle w:val="Bezodstpw"/>
              <w:spacing w:after="120"/>
              <w:jc w:val="both"/>
              <w:rPr>
                <w:rFonts w:ascii="Times New Roman" w:hAnsi="Times New Roman" w:cs="Times New Roman"/>
              </w:rPr>
            </w:pPr>
            <w:r w:rsidRPr="00E54643">
              <w:rPr>
                <w:rFonts w:ascii="Times New Roman" w:hAnsi="Times New Roman" w:cs="Times New Roman"/>
              </w:rPr>
              <w:t xml:space="preserve">Projekt rozporządzenia przewiduje wydłużenie czasu buforowania z 72 do 96 godzin. W ocenie PIIT proponowana zmiana nie znajduje wystarczającego uzasadnienia. Dotychczasowe, wieloletnie doświadczenia eksploatacyjne wskazują, że okres 72 godzin zapewnia odpowiedni poziom zabezpieczenia przed utratą danych oraz jednocześnie umożliwia utrzymanie ciągłości działania interfejsu. </w:t>
            </w:r>
          </w:p>
          <w:p w14:paraId="3613898D" w14:textId="71997D8D" w:rsidR="00024B85" w:rsidRPr="00E54643" w:rsidRDefault="00F37B2D" w:rsidP="00F37B2D">
            <w:pPr>
              <w:pStyle w:val="Bezodstpw"/>
              <w:spacing w:after="120"/>
              <w:jc w:val="both"/>
              <w:rPr>
                <w:rFonts w:ascii="Times New Roman" w:hAnsi="Times New Roman" w:cs="Times New Roman"/>
              </w:rPr>
            </w:pPr>
            <w:r w:rsidRPr="00E54643">
              <w:rPr>
                <w:rFonts w:ascii="Times New Roman" w:hAnsi="Times New Roman" w:cs="Times New Roman"/>
              </w:rPr>
              <w:t>Wydłużenie czasu buforowania może negatywnie wpływać na stabilność funkcjonowania systemu, a korzyści w zakresie zwiększenia bezpieczeństwa danych wydają się ograniczone i nieproporcjonalne do skutków operacyjnych. Zmiana ta wiązała się będzie z koniecznością poniesienia dodatkowych kosztów po stronie przedsiębiorców telekomunikacyjnych. Postulujemy pozostawienie obecnie obowiązującego okresu buforowania wynoszącego 72 godziny, jako rozwiązania sprawdzonego oraz odpowiadającego potrzebom i zasadom funkcjonowania interfejsu.</w:t>
            </w:r>
          </w:p>
        </w:tc>
        <w:tc>
          <w:tcPr>
            <w:tcW w:w="5941" w:type="dxa"/>
            <w:tcBorders>
              <w:bottom w:val="single" w:sz="4" w:space="0" w:color="auto"/>
            </w:tcBorders>
          </w:tcPr>
          <w:p w14:paraId="68D5E5BB" w14:textId="2C474732" w:rsidR="00024B85" w:rsidRPr="00E54643" w:rsidRDefault="005F36F6" w:rsidP="00A74264">
            <w:pPr>
              <w:pStyle w:val="Bezodstpw"/>
              <w:spacing w:after="120"/>
              <w:rPr>
                <w:rFonts w:ascii="Times New Roman" w:hAnsi="Times New Roman" w:cs="Times New Roman"/>
                <w:b/>
                <w:bCs/>
              </w:rPr>
            </w:pPr>
            <w:r w:rsidRPr="00E54643">
              <w:rPr>
                <w:rFonts w:ascii="Times New Roman" w:hAnsi="Times New Roman" w:cs="Times New Roman"/>
                <w:b/>
                <w:bCs/>
              </w:rPr>
              <w:t>Uwaga uwzględniona</w:t>
            </w:r>
          </w:p>
          <w:p w14:paraId="4412E118" w14:textId="77777777" w:rsidR="005F36F6" w:rsidRDefault="000F720B" w:rsidP="005F36F6">
            <w:pPr>
              <w:pStyle w:val="Bezodstpw"/>
              <w:spacing w:after="120"/>
              <w:jc w:val="both"/>
              <w:rPr>
                <w:rFonts w:ascii="Times New Roman" w:hAnsi="Times New Roman" w:cs="Times New Roman"/>
              </w:rPr>
            </w:pPr>
            <w:r>
              <w:rPr>
                <w:rFonts w:ascii="Times New Roman" w:hAnsi="Times New Roman" w:cs="Times New Roman"/>
              </w:rPr>
              <w:t>Zmieniono wymóg dotyczący buforowania interfejsu LI HI z 96-godzinnego na 72-godzinne.</w:t>
            </w:r>
          </w:p>
          <w:p w14:paraId="2690B5B9" w14:textId="105E7FBF" w:rsidR="00C8131F" w:rsidRPr="00E54643" w:rsidRDefault="00C8131F" w:rsidP="005F36F6">
            <w:pPr>
              <w:pStyle w:val="Bezodstpw"/>
              <w:spacing w:after="120"/>
              <w:jc w:val="both"/>
              <w:rPr>
                <w:rFonts w:ascii="Times New Roman" w:hAnsi="Times New Roman" w:cs="Times New Roman"/>
              </w:rPr>
            </w:pPr>
            <w:r>
              <w:rPr>
                <w:rFonts w:ascii="Times New Roman" w:hAnsi="Times New Roman" w:cs="Times New Roman"/>
              </w:rPr>
              <w:t>Minister Spraw Wewnętrznych i Administracji oraz Minister – Członek Rady Ministrów Koordynator Służb Specjalnych zaakceptowali wprowadzoną zmianę.</w:t>
            </w:r>
          </w:p>
        </w:tc>
      </w:tr>
    </w:tbl>
    <w:p w14:paraId="07A8C5C9" w14:textId="77777777" w:rsidR="00425BDB" w:rsidRPr="00E54643" w:rsidRDefault="00425BDB" w:rsidP="005F36F6">
      <w:pPr>
        <w:pStyle w:val="Bezodstpw"/>
        <w:spacing w:line="276" w:lineRule="auto"/>
        <w:rPr>
          <w:rFonts w:ascii="Times New Roman" w:hAnsi="Times New Roman" w:cs="Times New Roman"/>
          <w:b/>
          <w:bCs/>
        </w:rPr>
      </w:pPr>
    </w:p>
    <w:sectPr w:rsidR="00425BDB" w:rsidRPr="00E54643"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EC898" w14:textId="77777777" w:rsidR="00861BC7" w:rsidRDefault="00861BC7" w:rsidP="00D841A6">
      <w:r>
        <w:separator/>
      </w:r>
    </w:p>
  </w:endnote>
  <w:endnote w:type="continuationSeparator" w:id="0">
    <w:p w14:paraId="09693ADA" w14:textId="77777777" w:rsidR="00861BC7" w:rsidRDefault="00861BC7"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A5A2" w14:textId="77777777" w:rsidR="00861BC7" w:rsidRDefault="00861BC7" w:rsidP="00D841A6">
      <w:r>
        <w:separator/>
      </w:r>
    </w:p>
  </w:footnote>
  <w:footnote w:type="continuationSeparator" w:id="0">
    <w:p w14:paraId="36899164" w14:textId="77777777" w:rsidR="00861BC7" w:rsidRDefault="00861BC7"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C5147D"/>
    <w:multiLevelType w:val="hybridMultilevel"/>
    <w:tmpl w:val="7B665DF0"/>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D3939"/>
    <w:multiLevelType w:val="hybridMultilevel"/>
    <w:tmpl w:val="212E388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54A7A1B"/>
    <w:multiLevelType w:val="hybridMultilevel"/>
    <w:tmpl w:val="7C0EA596"/>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D53909"/>
    <w:multiLevelType w:val="hybridMultilevel"/>
    <w:tmpl w:val="D13A3A6E"/>
    <w:lvl w:ilvl="0" w:tplc="77D8F7C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5FDD"/>
    <w:multiLevelType w:val="hybridMultilevel"/>
    <w:tmpl w:val="E8488EB0"/>
    <w:lvl w:ilvl="0" w:tplc="A6B645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FC0356"/>
    <w:multiLevelType w:val="hybridMultilevel"/>
    <w:tmpl w:val="6D667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794DA7"/>
    <w:multiLevelType w:val="hybridMultilevel"/>
    <w:tmpl w:val="6A3867FA"/>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229FA"/>
    <w:multiLevelType w:val="hybridMultilevel"/>
    <w:tmpl w:val="3E688A3C"/>
    <w:lvl w:ilvl="0" w:tplc="AD2AB74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15:restartNumberingAfterBreak="0">
    <w:nsid w:val="224B53DE"/>
    <w:multiLevelType w:val="hybridMultilevel"/>
    <w:tmpl w:val="B3B82708"/>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D77745"/>
    <w:multiLevelType w:val="hybridMultilevel"/>
    <w:tmpl w:val="E392F0B8"/>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7C073F"/>
    <w:multiLevelType w:val="hybridMultilevel"/>
    <w:tmpl w:val="71AA2988"/>
    <w:lvl w:ilvl="0" w:tplc="C5E8EAA4">
      <w:start w:val="1"/>
      <w:numFmt w:val="decimal"/>
      <w:lvlText w:val="%1)"/>
      <w:lvlJc w:val="left"/>
      <w:pPr>
        <w:ind w:left="1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5176AB86">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58AAD22">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9A4E2684">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25AFEEA">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93C73E4">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838626D6">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50C4B56">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33265B6">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4F7256"/>
    <w:multiLevelType w:val="hybridMultilevel"/>
    <w:tmpl w:val="3258E032"/>
    <w:lvl w:ilvl="0" w:tplc="953ED3C0">
      <w:start w:val="1"/>
      <w:numFmt w:val="decimal"/>
      <w:lvlText w:val="%1)"/>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0E8696D8">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541AC5FC">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D5662F80">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CE44993A">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EAD8EAD8">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01649AD4">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65C48D00">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DA3CDC82">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327743"/>
    <w:multiLevelType w:val="hybridMultilevel"/>
    <w:tmpl w:val="0C987A9E"/>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662D5C"/>
    <w:multiLevelType w:val="hybridMultilevel"/>
    <w:tmpl w:val="C4EC2A0E"/>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F824EC"/>
    <w:multiLevelType w:val="hybridMultilevel"/>
    <w:tmpl w:val="3EFA7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7F22FE"/>
    <w:multiLevelType w:val="hybridMultilevel"/>
    <w:tmpl w:val="F9501A40"/>
    <w:lvl w:ilvl="0" w:tplc="F42824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F015E8"/>
    <w:multiLevelType w:val="hybridMultilevel"/>
    <w:tmpl w:val="4CAAAD6A"/>
    <w:lvl w:ilvl="0" w:tplc="BAA61C96">
      <w:start w:val="1"/>
      <w:numFmt w:val="decimal"/>
      <w:lvlText w:val="%1)"/>
      <w:lvlJc w:val="left"/>
      <w:pPr>
        <w:ind w:left="1230" w:hanging="360"/>
      </w:pPr>
      <w:rPr>
        <w:rFonts w:ascii="Times New Roman" w:hAnsi="Times New Roman" w:hint="default"/>
        <w:b w:val="0"/>
        <w:i w:val="0"/>
        <w:caps w:val="0"/>
        <w:strike w:val="0"/>
        <w:dstrike w:val="0"/>
        <w:vanish w:val="0"/>
        <w:color w:val="000000"/>
        <w:sz w:val="20"/>
        <w:szCs w:val="16"/>
        <w:u w:val="none" w:color="000000"/>
        <w:vertAlign w:val="baseline"/>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8" w15:restartNumberingAfterBreak="0">
    <w:nsid w:val="48C56FB7"/>
    <w:multiLevelType w:val="hybridMultilevel"/>
    <w:tmpl w:val="3DE84D5E"/>
    <w:lvl w:ilvl="0" w:tplc="A5E83378">
      <w:start w:val="1"/>
      <w:numFmt w:val="decimal"/>
      <w:lvlText w:val="%1)"/>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E6E21A44">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E8582DFE">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D7685C4E">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82FEC838">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A3A7248">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94B465F2">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8780AEF6">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E3CD41E">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AC22DB6"/>
    <w:multiLevelType w:val="hybridMultilevel"/>
    <w:tmpl w:val="B498B9A6"/>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6D713E"/>
    <w:multiLevelType w:val="hybridMultilevel"/>
    <w:tmpl w:val="2E945252"/>
    <w:lvl w:ilvl="0" w:tplc="BAA61C96">
      <w:start w:val="1"/>
      <w:numFmt w:val="decimal"/>
      <w:lvlText w:val="%1)"/>
      <w:lvlJc w:val="left"/>
      <w:pPr>
        <w:ind w:left="720" w:hanging="360"/>
      </w:pPr>
      <w:rPr>
        <w:rFonts w:ascii="Times New Roman" w:hAnsi="Times New Roman" w:hint="default"/>
        <w:b w:val="0"/>
        <w:i w:val="0"/>
        <w:caps w:val="0"/>
        <w:strike w:val="0"/>
        <w:dstrike w:val="0"/>
        <w:vanish w:val="0"/>
        <w:color w:val="000000"/>
        <w:sz w:val="20"/>
        <w:szCs w:val="16"/>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E70D81"/>
    <w:multiLevelType w:val="hybridMultilevel"/>
    <w:tmpl w:val="37842974"/>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A95928"/>
    <w:multiLevelType w:val="hybridMultilevel"/>
    <w:tmpl w:val="37622456"/>
    <w:lvl w:ilvl="0" w:tplc="BAA61C96">
      <w:start w:val="1"/>
      <w:numFmt w:val="decimal"/>
      <w:lvlText w:val="%1)"/>
      <w:lvlJc w:val="left"/>
      <w:pPr>
        <w:ind w:left="1230" w:hanging="360"/>
      </w:pPr>
      <w:rPr>
        <w:rFonts w:ascii="Times New Roman" w:hAnsi="Times New Roman" w:hint="default"/>
        <w:b w:val="0"/>
        <w:i w:val="0"/>
        <w:caps w:val="0"/>
        <w:strike w:val="0"/>
        <w:dstrike w:val="0"/>
        <w:vanish w:val="0"/>
        <w:color w:val="000000"/>
        <w:sz w:val="20"/>
        <w:szCs w:val="16"/>
        <w:u w:val="none" w:color="000000"/>
        <w:vertAlign w:val="baseline"/>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3" w15:restartNumberingAfterBreak="0">
    <w:nsid w:val="711912F6"/>
    <w:multiLevelType w:val="hybridMultilevel"/>
    <w:tmpl w:val="1172B4E8"/>
    <w:lvl w:ilvl="0" w:tplc="AB5A3BC6">
      <w:start w:val="1"/>
      <w:numFmt w:val="decimal"/>
      <w:lvlText w:val="%1)"/>
      <w:lvlJc w:val="left"/>
      <w:pPr>
        <w:ind w:left="720" w:hanging="360"/>
      </w:pPr>
      <w:rPr>
        <w:rFonts w:ascii="Lato" w:hAnsi="Lato" w:cs="Times New Roman" w:hint="default"/>
        <w:b w:val="0"/>
        <w:i w:val="0"/>
        <w:caps w:val="0"/>
        <w:strike w:val="0"/>
        <w:dstrike w:val="0"/>
        <w:vanish w:val="0"/>
        <w:color w:val="auto"/>
        <w:sz w:val="20"/>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256DFC"/>
    <w:multiLevelType w:val="hybridMultilevel"/>
    <w:tmpl w:val="3C8E8884"/>
    <w:lvl w:ilvl="0" w:tplc="AAA4079E">
      <w:start w:val="3"/>
      <w:numFmt w:val="decimal"/>
      <w:lvlText w:val="%1."/>
      <w:lvlJc w:val="left"/>
      <w:pPr>
        <w:ind w:left="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5EE1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3AF6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ECEED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ACD1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C484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1629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90B1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30C4A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4291342"/>
    <w:multiLevelType w:val="hybridMultilevel"/>
    <w:tmpl w:val="73528EE4"/>
    <w:lvl w:ilvl="0" w:tplc="6AA00E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69251D"/>
    <w:multiLevelType w:val="hybridMultilevel"/>
    <w:tmpl w:val="D2186EC6"/>
    <w:lvl w:ilvl="0" w:tplc="1F5EA7FC">
      <w:start w:val="1"/>
      <w:numFmt w:val="decimal"/>
      <w:lvlText w:val="%1)"/>
      <w:lvlJc w:val="left"/>
      <w:pPr>
        <w:ind w:left="720" w:hanging="360"/>
      </w:pPr>
      <w:rPr>
        <w:rFonts w:ascii="Arial Narrow" w:hAnsi="Arial Narrow" w:cs="Times New Roman" w:hint="default"/>
        <w:b w:val="0"/>
        <w:i w:val="0"/>
        <w:caps w:val="0"/>
        <w:strike w:val="0"/>
        <w:dstrike w:val="0"/>
        <w:vanish w:val="0"/>
        <w:webHidden w:val="0"/>
        <w:color w:val="auto"/>
        <w:sz w:val="20"/>
        <w:u w:val="none"/>
        <w:effect w:val="none"/>
        <w:vertAlign w:val="baseline"/>
        <w:specVanish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C201FFF"/>
    <w:multiLevelType w:val="hybridMultilevel"/>
    <w:tmpl w:val="42CC1BE2"/>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77FFA"/>
    <w:multiLevelType w:val="hybridMultilevel"/>
    <w:tmpl w:val="6394C11A"/>
    <w:lvl w:ilvl="0" w:tplc="731EDCB0">
      <w:start w:val="1"/>
      <w:numFmt w:val="decimal"/>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4F5835"/>
    <w:multiLevelType w:val="hybridMultilevel"/>
    <w:tmpl w:val="82E89620"/>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6359420">
    <w:abstractNumId w:val="0"/>
  </w:num>
  <w:num w:numId="2" w16cid:durableId="408967821">
    <w:abstractNumId w:val="2"/>
  </w:num>
  <w:num w:numId="3" w16cid:durableId="16044596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6797131">
    <w:abstractNumId w:val="28"/>
  </w:num>
  <w:num w:numId="5" w16cid:durableId="1087922420">
    <w:abstractNumId w:val="15"/>
  </w:num>
  <w:num w:numId="6" w16cid:durableId="1001547804">
    <w:abstractNumId w:val="8"/>
  </w:num>
  <w:num w:numId="7" w16cid:durableId="2073888596">
    <w:abstractNumId w:val="20"/>
  </w:num>
  <w:num w:numId="8" w16cid:durableId="1885945217">
    <w:abstractNumId w:val="17"/>
  </w:num>
  <w:num w:numId="9" w16cid:durableId="989868491">
    <w:abstractNumId w:val="22"/>
  </w:num>
  <w:num w:numId="10" w16cid:durableId="500976403">
    <w:abstractNumId w:val="11"/>
  </w:num>
  <w:num w:numId="11" w16cid:durableId="1575093291">
    <w:abstractNumId w:val="6"/>
  </w:num>
  <w:num w:numId="12" w16cid:durableId="940576064">
    <w:abstractNumId w:val="24"/>
  </w:num>
  <w:num w:numId="13" w16cid:durableId="2077585655">
    <w:abstractNumId w:val="18"/>
  </w:num>
  <w:num w:numId="14" w16cid:durableId="228735825">
    <w:abstractNumId w:val="12"/>
  </w:num>
  <w:num w:numId="15" w16cid:durableId="1909072356">
    <w:abstractNumId w:val="23"/>
  </w:num>
  <w:num w:numId="16" w16cid:durableId="1590312525">
    <w:abstractNumId w:val="5"/>
  </w:num>
  <w:num w:numId="17" w16cid:durableId="150876173">
    <w:abstractNumId w:val="9"/>
  </w:num>
  <w:num w:numId="18" w16cid:durableId="1921862692">
    <w:abstractNumId w:val="21"/>
  </w:num>
  <w:num w:numId="19" w16cid:durableId="1706052543">
    <w:abstractNumId w:val="25"/>
  </w:num>
  <w:num w:numId="20" w16cid:durableId="362368112">
    <w:abstractNumId w:val="7"/>
  </w:num>
  <w:num w:numId="21" w16cid:durableId="1692145861">
    <w:abstractNumId w:val="29"/>
  </w:num>
  <w:num w:numId="22" w16cid:durableId="3631273">
    <w:abstractNumId w:val="16"/>
  </w:num>
  <w:num w:numId="23" w16cid:durableId="81922429">
    <w:abstractNumId w:val="14"/>
  </w:num>
  <w:num w:numId="24" w16cid:durableId="494958627">
    <w:abstractNumId w:val="10"/>
  </w:num>
  <w:num w:numId="25" w16cid:durableId="133915828">
    <w:abstractNumId w:val="1"/>
  </w:num>
  <w:num w:numId="26" w16cid:durableId="1657102040">
    <w:abstractNumId w:val="19"/>
  </w:num>
  <w:num w:numId="27" w16cid:durableId="1368792420">
    <w:abstractNumId w:val="13"/>
  </w:num>
  <w:num w:numId="28" w16cid:durableId="822159562">
    <w:abstractNumId w:val="27"/>
  </w:num>
  <w:num w:numId="29" w16cid:durableId="275452046">
    <w:abstractNumId w:val="4"/>
  </w:num>
  <w:num w:numId="30" w16cid:durableId="746072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21A18"/>
    <w:rsid w:val="00024B85"/>
    <w:rsid w:val="00050B75"/>
    <w:rsid w:val="000621FD"/>
    <w:rsid w:val="00062B92"/>
    <w:rsid w:val="00063BE4"/>
    <w:rsid w:val="00066747"/>
    <w:rsid w:val="0007167A"/>
    <w:rsid w:val="00072D23"/>
    <w:rsid w:val="00080031"/>
    <w:rsid w:val="00085B07"/>
    <w:rsid w:val="00087092"/>
    <w:rsid w:val="000912C1"/>
    <w:rsid w:val="00092369"/>
    <w:rsid w:val="0009328C"/>
    <w:rsid w:val="00094E02"/>
    <w:rsid w:val="000B394D"/>
    <w:rsid w:val="000B7603"/>
    <w:rsid w:val="000C50C2"/>
    <w:rsid w:val="000D0FE3"/>
    <w:rsid w:val="000D2310"/>
    <w:rsid w:val="000E46AD"/>
    <w:rsid w:val="000E5D79"/>
    <w:rsid w:val="000F2705"/>
    <w:rsid w:val="000F720B"/>
    <w:rsid w:val="00105E79"/>
    <w:rsid w:val="00110686"/>
    <w:rsid w:val="00111205"/>
    <w:rsid w:val="0011170F"/>
    <w:rsid w:val="00111EA5"/>
    <w:rsid w:val="0011508E"/>
    <w:rsid w:val="0012268F"/>
    <w:rsid w:val="0013024C"/>
    <w:rsid w:val="00174BB7"/>
    <w:rsid w:val="00175898"/>
    <w:rsid w:val="00187D2C"/>
    <w:rsid w:val="00187D3C"/>
    <w:rsid w:val="00190F60"/>
    <w:rsid w:val="00192B8A"/>
    <w:rsid w:val="001B45DC"/>
    <w:rsid w:val="001C126F"/>
    <w:rsid w:val="001D14B4"/>
    <w:rsid w:val="001E2EB9"/>
    <w:rsid w:val="001F4F8E"/>
    <w:rsid w:val="00214AF9"/>
    <w:rsid w:val="002242F4"/>
    <w:rsid w:val="00233E74"/>
    <w:rsid w:val="0024617A"/>
    <w:rsid w:val="002520FE"/>
    <w:rsid w:val="00253B6E"/>
    <w:rsid w:val="00260AE1"/>
    <w:rsid w:val="002644BD"/>
    <w:rsid w:val="0026635D"/>
    <w:rsid w:val="002730BB"/>
    <w:rsid w:val="00283B9A"/>
    <w:rsid w:val="0029301C"/>
    <w:rsid w:val="002A7FEF"/>
    <w:rsid w:val="002B3023"/>
    <w:rsid w:val="002B7F97"/>
    <w:rsid w:val="002D523F"/>
    <w:rsid w:val="002D71C9"/>
    <w:rsid w:val="002E34A8"/>
    <w:rsid w:val="002E67DA"/>
    <w:rsid w:val="002F37B9"/>
    <w:rsid w:val="002F4891"/>
    <w:rsid w:val="00301CA6"/>
    <w:rsid w:val="00325476"/>
    <w:rsid w:val="003279E2"/>
    <w:rsid w:val="00335C25"/>
    <w:rsid w:val="003559AF"/>
    <w:rsid w:val="00372427"/>
    <w:rsid w:val="003912B1"/>
    <w:rsid w:val="00391F1D"/>
    <w:rsid w:val="00394673"/>
    <w:rsid w:val="00396DAE"/>
    <w:rsid w:val="00397CC1"/>
    <w:rsid w:val="003A7888"/>
    <w:rsid w:val="003C5B04"/>
    <w:rsid w:val="003D7705"/>
    <w:rsid w:val="003E0F79"/>
    <w:rsid w:val="003F34F9"/>
    <w:rsid w:val="00406E44"/>
    <w:rsid w:val="00412579"/>
    <w:rsid w:val="0041668F"/>
    <w:rsid w:val="00417CEA"/>
    <w:rsid w:val="00425BDB"/>
    <w:rsid w:val="00431D75"/>
    <w:rsid w:val="0043636A"/>
    <w:rsid w:val="00436EBB"/>
    <w:rsid w:val="004702AF"/>
    <w:rsid w:val="00471299"/>
    <w:rsid w:val="00480827"/>
    <w:rsid w:val="0048171B"/>
    <w:rsid w:val="00484440"/>
    <w:rsid w:val="004B4A2A"/>
    <w:rsid w:val="004B63C9"/>
    <w:rsid w:val="004C0B30"/>
    <w:rsid w:val="004C33E7"/>
    <w:rsid w:val="004F3F3A"/>
    <w:rsid w:val="00525C4F"/>
    <w:rsid w:val="00526A76"/>
    <w:rsid w:val="00552AE5"/>
    <w:rsid w:val="00561C9F"/>
    <w:rsid w:val="00566ACF"/>
    <w:rsid w:val="00573F97"/>
    <w:rsid w:val="0057644A"/>
    <w:rsid w:val="005850B4"/>
    <w:rsid w:val="0059083E"/>
    <w:rsid w:val="005A3A91"/>
    <w:rsid w:val="005A6271"/>
    <w:rsid w:val="005B18A1"/>
    <w:rsid w:val="005D1500"/>
    <w:rsid w:val="005D656B"/>
    <w:rsid w:val="005E064C"/>
    <w:rsid w:val="005E3CA0"/>
    <w:rsid w:val="005F36F6"/>
    <w:rsid w:val="005F4717"/>
    <w:rsid w:val="00603581"/>
    <w:rsid w:val="00607237"/>
    <w:rsid w:val="0062103A"/>
    <w:rsid w:val="00626F99"/>
    <w:rsid w:val="0064569A"/>
    <w:rsid w:val="00650580"/>
    <w:rsid w:val="00653338"/>
    <w:rsid w:val="006556BD"/>
    <w:rsid w:val="00655CC6"/>
    <w:rsid w:val="00662CE9"/>
    <w:rsid w:val="0066592C"/>
    <w:rsid w:val="00671ADA"/>
    <w:rsid w:val="006733BF"/>
    <w:rsid w:val="006A5127"/>
    <w:rsid w:val="006A7027"/>
    <w:rsid w:val="006B3153"/>
    <w:rsid w:val="006E01AF"/>
    <w:rsid w:val="006E2073"/>
    <w:rsid w:val="006E2C35"/>
    <w:rsid w:val="006E73D7"/>
    <w:rsid w:val="006E7782"/>
    <w:rsid w:val="006F3059"/>
    <w:rsid w:val="006F310C"/>
    <w:rsid w:val="006F492C"/>
    <w:rsid w:val="00724868"/>
    <w:rsid w:val="0074115F"/>
    <w:rsid w:val="0074319A"/>
    <w:rsid w:val="00767CD4"/>
    <w:rsid w:val="00777F8A"/>
    <w:rsid w:val="007859D8"/>
    <w:rsid w:val="007A538E"/>
    <w:rsid w:val="007B7682"/>
    <w:rsid w:val="007C2209"/>
    <w:rsid w:val="007C2267"/>
    <w:rsid w:val="007C6FA0"/>
    <w:rsid w:val="007F1E4C"/>
    <w:rsid w:val="007F7FA1"/>
    <w:rsid w:val="00822E68"/>
    <w:rsid w:val="008250C7"/>
    <w:rsid w:val="008347E5"/>
    <w:rsid w:val="008427C4"/>
    <w:rsid w:val="00846599"/>
    <w:rsid w:val="008512F0"/>
    <w:rsid w:val="00861BC7"/>
    <w:rsid w:val="00872109"/>
    <w:rsid w:val="00881BBD"/>
    <w:rsid w:val="0088536F"/>
    <w:rsid w:val="008B0955"/>
    <w:rsid w:val="008B37EF"/>
    <w:rsid w:val="008B3A0E"/>
    <w:rsid w:val="008D10E8"/>
    <w:rsid w:val="008D254D"/>
    <w:rsid w:val="008D689B"/>
    <w:rsid w:val="008D6C95"/>
    <w:rsid w:val="008D6EB1"/>
    <w:rsid w:val="008F6203"/>
    <w:rsid w:val="009050EF"/>
    <w:rsid w:val="00913E38"/>
    <w:rsid w:val="0092127B"/>
    <w:rsid w:val="0093636D"/>
    <w:rsid w:val="00945021"/>
    <w:rsid w:val="009753A3"/>
    <w:rsid w:val="0099273F"/>
    <w:rsid w:val="009A2493"/>
    <w:rsid w:val="009B0D83"/>
    <w:rsid w:val="009C0B20"/>
    <w:rsid w:val="009C476D"/>
    <w:rsid w:val="009D0595"/>
    <w:rsid w:val="009D6E6E"/>
    <w:rsid w:val="009E0F8A"/>
    <w:rsid w:val="009E28A9"/>
    <w:rsid w:val="009F1023"/>
    <w:rsid w:val="009F211D"/>
    <w:rsid w:val="00A110D8"/>
    <w:rsid w:val="00A1110F"/>
    <w:rsid w:val="00A14C16"/>
    <w:rsid w:val="00A15263"/>
    <w:rsid w:val="00A27A40"/>
    <w:rsid w:val="00A37947"/>
    <w:rsid w:val="00A410EF"/>
    <w:rsid w:val="00A50AD3"/>
    <w:rsid w:val="00A54423"/>
    <w:rsid w:val="00A661F2"/>
    <w:rsid w:val="00A675BC"/>
    <w:rsid w:val="00A74264"/>
    <w:rsid w:val="00A9454E"/>
    <w:rsid w:val="00A94F7E"/>
    <w:rsid w:val="00AB583B"/>
    <w:rsid w:val="00AC2782"/>
    <w:rsid w:val="00AC485C"/>
    <w:rsid w:val="00AE61BD"/>
    <w:rsid w:val="00B0199B"/>
    <w:rsid w:val="00B01E14"/>
    <w:rsid w:val="00B0728D"/>
    <w:rsid w:val="00B135DF"/>
    <w:rsid w:val="00B142E2"/>
    <w:rsid w:val="00B20DFA"/>
    <w:rsid w:val="00B23B36"/>
    <w:rsid w:val="00B263F1"/>
    <w:rsid w:val="00B51EF8"/>
    <w:rsid w:val="00B66BB2"/>
    <w:rsid w:val="00B762CB"/>
    <w:rsid w:val="00B82022"/>
    <w:rsid w:val="00B83A96"/>
    <w:rsid w:val="00B96FEA"/>
    <w:rsid w:val="00BA5D12"/>
    <w:rsid w:val="00BA645E"/>
    <w:rsid w:val="00BA6CA2"/>
    <w:rsid w:val="00BB71EE"/>
    <w:rsid w:val="00BC2179"/>
    <w:rsid w:val="00BC6CDC"/>
    <w:rsid w:val="00BD2374"/>
    <w:rsid w:val="00BD2BBF"/>
    <w:rsid w:val="00BE1830"/>
    <w:rsid w:val="00BE7A0D"/>
    <w:rsid w:val="00BF0B52"/>
    <w:rsid w:val="00C22BD7"/>
    <w:rsid w:val="00C35730"/>
    <w:rsid w:val="00C43349"/>
    <w:rsid w:val="00C44B11"/>
    <w:rsid w:val="00C61D85"/>
    <w:rsid w:val="00C663A5"/>
    <w:rsid w:val="00C74ABA"/>
    <w:rsid w:val="00C8131F"/>
    <w:rsid w:val="00CB00B2"/>
    <w:rsid w:val="00CB5944"/>
    <w:rsid w:val="00CB72F9"/>
    <w:rsid w:val="00CF3835"/>
    <w:rsid w:val="00CF7A97"/>
    <w:rsid w:val="00D17F79"/>
    <w:rsid w:val="00D209A1"/>
    <w:rsid w:val="00D33B90"/>
    <w:rsid w:val="00D814AA"/>
    <w:rsid w:val="00D841A6"/>
    <w:rsid w:val="00D87FC4"/>
    <w:rsid w:val="00DA6AF0"/>
    <w:rsid w:val="00DA7599"/>
    <w:rsid w:val="00DF2ECD"/>
    <w:rsid w:val="00DF4527"/>
    <w:rsid w:val="00DF58E7"/>
    <w:rsid w:val="00E0015A"/>
    <w:rsid w:val="00E0210C"/>
    <w:rsid w:val="00E15F33"/>
    <w:rsid w:val="00E16F7E"/>
    <w:rsid w:val="00E201E9"/>
    <w:rsid w:val="00E33D44"/>
    <w:rsid w:val="00E37242"/>
    <w:rsid w:val="00E430A2"/>
    <w:rsid w:val="00E45AEA"/>
    <w:rsid w:val="00E54643"/>
    <w:rsid w:val="00E65C89"/>
    <w:rsid w:val="00E76A17"/>
    <w:rsid w:val="00E8393A"/>
    <w:rsid w:val="00E8710D"/>
    <w:rsid w:val="00E95B8E"/>
    <w:rsid w:val="00E97F40"/>
    <w:rsid w:val="00EA2DDB"/>
    <w:rsid w:val="00EC64CA"/>
    <w:rsid w:val="00ED514A"/>
    <w:rsid w:val="00ED78C7"/>
    <w:rsid w:val="00EE7E41"/>
    <w:rsid w:val="00EF0774"/>
    <w:rsid w:val="00EF306E"/>
    <w:rsid w:val="00EF5063"/>
    <w:rsid w:val="00EF664D"/>
    <w:rsid w:val="00F17062"/>
    <w:rsid w:val="00F170AC"/>
    <w:rsid w:val="00F26242"/>
    <w:rsid w:val="00F27686"/>
    <w:rsid w:val="00F3088A"/>
    <w:rsid w:val="00F33622"/>
    <w:rsid w:val="00F37164"/>
    <w:rsid w:val="00F37B2D"/>
    <w:rsid w:val="00F41C32"/>
    <w:rsid w:val="00F421F1"/>
    <w:rsid w:val="00F42A24"/>
    <w:rsid w:val="00F46A70"/>
    <w:rsid w:val="00F63B56"/>
    <w:rsid w:val="00F8023D"/>
    <w:rsid w:val="00F96E07"/>
    <w:rsid w:val="00FA7D26"/>
    <w:rsid w:val="00FB158C"/>
    <w:rsid w:val="00FB42F2"/>
    <w:rsid w:val="00FE2E25"/>
    <w:rsid w:val="00FF500F"/>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character" w:customStyle="1" w:styleId="FontStyle65">
    <w:name w:val="Font Style65"/>
    <w:rsid w:val="00650580"/>
    <w:rPr>
      <w:rFonts w:ascii="Times New Roman" w:hAnsi="Times New Roman" w:cs="Times New Roman"/>
      <w:sz w:val="22"/>
      <w:szCs w:val="22"/>
    </w:rPr>
  </w:style>
  <w:style w:type="paragraph" w:customStyle="1" w:styleId="LITlitera">
    <w:name w:val="LIT – litera"/>
    <w:basedOn w:val="Normalny"/>
    <w:uiPriority w:val="14"/>
    <w:qFormat/>
    <w:rsid w:val="00650580"/>
    <w:pPr>
      <w:spacing w:line="360" w:lineRule="auto"/>
      <w:ind w:left="986" w:hanging="476"/>
      <w:jc w:val="both"/>
    </w:pPr>
    <w:rPr>
      <w:rFonts w:ascii="Times" w:hAnsi="Times" w:cs="Arial"/>
      <w:bCs/>
      <w:sz w:val="24"/>
    </w:rPr>
  </w:style>
  <w:style w:type="paragraph" w:customStyle="1" w:styleId="PKTpunkt">
    <w:name w:val="PKT – punkt"/>
    <w:uiPriority w:val="13"/>
    <w:qFormat/>
    <w:rsid w:val="00650580"/>
    <w:pPr>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650580"/>
    <w:rPr>
      <w:b/>
    </w:rPr>
  </w:style>
  <w:style w:type="paragraph" w:customStyle="1" w:styleId="ARTartustawynprozporzdzenia">
    <w:name w:val="ART(§) – art. ustawy (§ np. rozporządzenia)"/>
    <w:uiPriority w:val="11"/>
    <w:qFormat/>
    <w:rsid w:val="00650580"/>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USTustnpkodeksu">
    <w:name w:val="UST(§) – ust. (§ np. kodeksu)"/>
    <w:basedOn w:val="ARTartustawynprozporzdzenia"/>
    <w:uiPriority w:val="12"/>
    <w:qFormat/>
    <w:rsid w:val="00650580"/>
    <w:pPr>
      <w:spacing w:before="0"/>
    </w:pPr>
    <w:rPr>
      <w:bCs/>
    </w:rPr>
  </w:style>
  <w:style w:type="paragraph" w:styleId="Tekstprzypisukocowego">
    <w:name w:val="endnote text"/>
    <w:basedOn w:val="Normalny"/>
    <w:link w:val="TekstprzypisukocowegoZnak"/>
    <w:uiPriority w:val="99"/>
    <w:semiHidden/>
    <w:unhideWhenUsed/>
    <w:rsid w:val="00D814AA"/>
    <w:rPr>
      <w:sz w:val="20"/>
    </w:rPr>
  </w:style>
  <w:style w:type="character" w:customStyle="1" w:styleId="TekstprzypisukocowegoZnak">
    <w:name w:val="Tekst przypisu końcowego Znak"/>
    <w:basedOn w:val="Domylnaczcionkaakapitu"/>
    <w:link w:val="Tekstprzypisukocowego"/>
    <w:uiPriority w:val="99"/>
    <w:semiHidden/>
    <w:rsid w:val="00D814AA"/>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814AA"/>
    <w:rPr>
      <w:vertAlign w:val="superscript"/>
    </w:rPr>
  </w:style>
  <w:style w:type="character" w:styleId="Hipercze">
    <w:name w:val="Hyperlink"/>
    <w:basedOn w:val="Domylnaczcionkaakapitu"/>
    <w:uiPriority w:val="99"/>
    <w:unhideWhenUsed/>
    <w:rsid w:val="006E2073"/>
    <w:rPr>
      <w:color w:val="467886" w:themeColor="hyperlink"/>
      <w:u w:val="single"/>
    </w:rPr>
  </w:style>
  <w:style w:type="character" w:styleId="Nierozpoznanawzmianka">
    <w:name w:val="Unresolved Mention"/>
    <w:basedOn w:val="Domylnaczcionkaakapitu"/>
    <w:uiPriority w:val="99"/>
    <w:semiHidden/>
    <w:unhideWhenUsed/>
    <w:rsid w:val="006E2073"/>
    <w:rPr>
      <w:color w:val="605E5C"/>
      <w:shd w:val="clear" w:color="auto" w:fill="E1DFDD"/>
    </w:rPr>
  </w:style>
  <w:style w:type="character" w:customStyle="1" w:styleId="IGindeksgrny">
    <w:name w:val="_IG_ – indeks górny"/>
    <w:basedOn w:val="Domylnaczcionkaakapitu"/>
    <w:uiPriority w:val="2"/>
    <w:qFormat/>
    <w:rsid w:val="00FA7D26"/>
    <w:rPr>
      <w:b w:val="0"/>
      <w:i w:val="0"/>
      <w:vanish w:val="0"/>
      <w:spacing w:val="0"/>
      <w:vertAlign w:val="superscript"/>
    </w:rPr>
  </w:style>
  <w:style w:type="paragraph" w:customStyle="1" w:styleId="TYTUAKTUprzedmiotregulacjiustawylubrozporzdzenia">
    <w:name w:val="TYTUŁ_AKTU – przedmiot regulacji ustawy lub rozporządzenia"/>
    <w:next w:val="ARTartustawynprozporzdzenia"/>
    <w:uiPriority w:val="6"/>
    <w:qFormat/>
    <w:rsid w:val="003D7705"/>
    <w:pPr>
      <w:keepNext/>
      <w:suppressAutoHyphens/>
      <w:spacing w:before="120" w:after="360" w:line="360" w:lineRule="auto"/>
      <w:jc w:val="center"/>
    </w:pPr>
    <w:rPr>
      <w:rFonts w:ascii="Times" w:eastAsiaTheme="minorEastAsia" w:hAnsi="Times" w:cs="Arial"/>
      <w:b/>
      <w:bCs/>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249</Words>
  <Characters>1496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DP WL</cp:lastModifiedBy>
  <cp:revision>16</cp:revision>
  <dcterms:created xsi:type="dcterms:W3CDTF">2026-08-12T08:12:00Z</dcterms:created>
  <dcterms:modified xsi:type="dcterms:W3CDTF">2026-08-26T06:12:00Z</dcterms:modified>
</cp:coreProperties>
</file>