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4BC2" w14:textId="1CB2CE1A" w:rsidR="00363999" w:rsidRPr="008A5D94" w:rsidRDefault="000746C5" w:rsidP="00363999">
      <w:pPr>
        <w:spacing w:before="80" w:after="0"/>
        <w:jc w:val="right"/>
        <w:rPr>
          <w:b/>
        </w:rPr>
      </w:pPr>
      <w:r>
        <w:rPr>
          <w:bCs/>
        </w:rPr>
        <w:t>Z</w:t>
      </w:r>
      <w:r w:rsidRPr="00A830B6">
        <w:rPr>
          <w:bCs/>
        </w:rPr>
        <w:t>ałącznik nr 2 do umowy</w:t>
      </w:r>
      <w:r>
        <w:rPr>
          <w:bCs/>
        </w:rPr>
        <w:t xml:space="preserve"> nr</w:t>
      </w:r>
    </w:p>
    <w:p w14:paraId="03D34BC3" w14:textId="11405A30" w:rsidR="00363999" w:rsidRPr="008A5D94" w:rsidRDefault="00363999" w:rsidP="00363999">
      <w:pPr>
        <w:spacing w:before="80" w:after="0"/>
        <w:jc w:val="right"/>
        <w:rPr>
          <w:b/>
        </w:rPr>
      </w:pPr>
      <w:bookmarkStart w:id="0" w:name="_Toc383694776"/>
    </w:p>
    <w:bookmarkEnd w:id="0"/>
    <w:p w14:paraId="03D34BC4" w14:textId="77777777" w:rsidR="00363999" w:rsidRPr="008A5D94" w:rsidRDefault="00363999" w:rsidP="00363999">
      <w:pPr>
        <w:spacing w:before="80" w:after="0"/>
        <w:jc w:val="right"/>
        <w:rPr>
          <w:b/>
        </w:rPr>
      </w:pPr>
    </w:p>
    <w:p w14:paraId="03D34BC5" w14:textId="77777777" w:rsidR="00363999" w:rsidRPr="008A5D94" w:rsidRDefault="00363999" w:rsidP="00363999">
      <w:pPr>
        <w:spacing w:before="80" w:after="0"/>
        <w:jc w:val="right"/>
        <w:rPr>
          <w:b/>
        </w:rPr>
      </w:pPr>
    </w:p>
    <w:p w14:paraId="03D34BC6" w14:textId="77777777" w:rsidR="00363999" w:rsidRPr="008A5D94" w:rsidRDefault="00363999" w:rsidP="00363999">
      <w:pPr>
        <w:spacing w:before="80" w:after="0"/>
        <w:jc w:val="right"/>
        <w:rPr>
          <w:b/>
        </w:rPr>
      </w:pPr>
    </w:p>
    <w:p w14:paraId="03D34BC7" w14:textId="77777777" w:rsidR="00363999" w:rsidRPr="008A5D94" w:rsidRDefault="00363999" w:rsidP="00363999">
      <w:pPr>
        <w:spacing w:before="80" w:after="0"/>
        <w:jc w:val="right"/>
        <w:rPr>
          <w:b/>
        </w:rPr>
      </w:pPr>
    </w:p>
    <w:p w14:paraId="03D34BC8" w14:textId="77777777" w:rsidR="00363999" w:rsidRPr="008A5D94" w:rsidRDefault="00363999" w:rsidP="00363999">
      <w:pPr>
        <w:spacing w:before="80" w:after="0"/>
        <w:jc w:val="right"/>
        <w:rPr>
          <w:b/>
        </w:rPr>
      </w:pPr>
    </w:p>
    <w:p w14:paraId="03D34BC9" w14:textId="77777777" w:rsidR="00363999" w:rsidRPr="008A5D94" w:rsidRDefault="00363999" w:rsidP="00363999">
      <w:pPr>
        <w:spacing w:before="80" w:after="0"/>
        <w:jc w:val="right"/>
        <w:rPr>
          <w:b/>
        </w:rPr>
      </w:pPr>
    </w:p>
    <w:p w14:paraId="03D34BCA" w14:textId="77777777" w:rsidR="00363999" w:rsidRPr="008A5D94" w:rsidRDefault="00363999" w:rsidP="00363999">
      <w:pPr>
        <w:spacing w:before="80" w:after="0"/>
        <w:rPr>
          <w:b/>
        </w:rPr>
      </w:pPr>
    </w:p>
    <w:p w14:paraId="03D34BCB" w14:textId="77777777" w:rsidR="00363999" w:rsidRPr="008A5D94" w:rsidRDefault="00363999" w:rsidP="00363999">
      <w:pPr>
        <w:spacing w:before="80" w:after="0"/>
        <w:rPr>
          <w:b/>
        </w:rPr>
      </w:pPr>
    </w:p>
    <w:p w14:paraId="03D34BCD" w14:textId="77777777" w:rsidR="00363999" w:rsidRPr="008A5D94" w:rsidRDefault="00363999" w:rsidP="00363999">
      <w:pPr>
        <w:spacing w:before="80" w:after="0"/>
        <w:rPr>
          <w:b/>
        </w:rPr>
      </w:pPr>
    </w:p>
    <w:p w14:paraId="03D34BCE" w14:textId="77777777" w:rsidR="00363999" w:rsidRPr="008A5D94" w:rsidRDefault="00363999" w:rsidP="00363999">
      <w:pPr>
        <w:spacing w:before="80" w:after="0"/>
        <w:rPr>
          <w:b/>
        </w:rPr>
      </w:pPr>
    </w:p>
    <w:p w14:paraId="03D34BCF" w14:textId="77777777" w:rsidR="00363999" w:rsidRPr="008A5D94" w:rsidRDefault="00363999" w:rsidP="00363999">
      <w:pPr>
        <w:spacing w:before="80" w:after="0"/>
        <w:rPr>
          <w:b/>
        </w:rPr>
      </w:pPr>
    </w:p>
    <w:p w14:paraId="03D34BD0" w14:textId="77777777" w:rsidR="00363999" w:rsidRPr="008A5D94" w:rsidRDefault="00363999" w:rsidP="00363999">
      <w:pPr>
        <w:spacing w:before="80" w:after="0"/>
        <w:ind w:right="71"/>
        <w:jc w:val="center"/>
        <w:rPr>
          <w:rFonts w:eastAsia="Verdana" w:cs="Verdana"/>
        </w:rPr>
      </w:pPr>
      <w:bookmarkStart w:id="1" w:name="_Toc408390906"/>
      <w:r w:rsidRPr="008A5D94">
        <w:rPr>
          <w:rFonts w:eastAsia="Verdana" w:cs="Verdana"/>
          <w:b/>
        </w:rPr>
        <w:t>GWARANCJA JAKOŚCI</w:t>
      </w:r>
    </w:p>
    <w:p w14:paraId="03D34BD3" w14:textId="77777777" w:rsidR="00363999" w:rsidRPr="008A5D94" w:rsidRDefault="00363999" w:rsidP="00855083">
      <w:pPr>
        <w:spacing w:before="80" w:after="0"/>
        <w:ind w:right="282"/>
        <w:rPr>
          <w:rFonts w:eastAsia="Verdana" w:cs="Verdana"/>
        </w:rPr>
      </w:pPr>
      <w:r w:rsidRPr="008A5D94">
        <w:rPr>
          <w:rFonts w:eastAsia="Verdana" w:cs="Verdana"/>
        </w:rPr>
        <w:br w:type="page"/>
      </w:r>
    </w:p>
    <w:p w14:paraId="03D34BD4" w14:textId="77777777" w:rsidR="00363999" w:rsidRPr="008A5D94" w:rsidRDefault="00363999" w:rsidP="00363999">
      <w:pPr>
        <w:keepNext/>
        <w:keepLines/>
        <w:spacing w:before="80" w:after="0"/>
        <w:ind w:left="-5" w:hanging="10"/>
        <w:outlineLvl w:val="2"/>
        <w:rPr>
          <w:rFonts w:eastAsia="Verdana" w:cs="Verdana"/>
          <w:b/>
        </w:rPr>
      </w:pPr>
      <w:r w:rsidRPr="008A5D94">
        <w:rPr>
          <w:rFonts w:eastAsia="Verdana" w:cs="Verdana"/>
          <w:b/>
        </w:rPr>
        <w:lastRenderedPageBreak/>
        <w:t xml:space="preserve">Spis treści </w:t>
      </w:r>
    </w:p>
    <w:sdt>
      <w:sdtPr>
        <w:rPr>
          <w:rFonts w:eastAsia="Verdana" w:cs="Verdana"/>
        </w:rPr>
        <w:id w:val="1485819311"/>
        <w:docPartObj>
          <w:docPartGallery w:val="Table of Contents"/>
        </w:docPartObj>
      </w:sdtPr>
      <w:sdtEndPr/>
      <w:sdtContent>
        <w:p w14:paraId="29D70380" w14:textId="328A4DA1" w:rsidR="000746C5" w:rsidRDefault="00363999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8A5D94">
            <w:rPr>
              <w:rFonts w:eastAsia="Verdana" w:cs="Verdana"/>
            </w:rPr>
            <w:fldChar w:fldCharType="begin"/>
          </w:r>
          <w:r w:rsidRPr="008A5D94">
            <w:rPr>
              <w:rFonts w:eastAsia="Verdana" w:cs="Verdana"/>
            </w:rPr>
            <w:instrText xml:space="preserve"> TOC \o "1-2" \h \z \u </w:instrText>
          </w:r>
          <w:r w:rsidRPr="008A5D94">
            <w:rPr>
              <w:rFonts w:eastAsia="Verdana" w:cs="Verdana"/>
            </w:rPr>
            <w:fldChar w:fldCharType="separate"/>
          </w:r>
          <w:hyperlink w:anchor="_Toc196292897" w:history="1">
            <w:r w:rsidR="000746C5" w:rsidRPr="00A901D2">
              <w:rPr>
                <w:rStyle w:val="Hipercze"/>
                <w:rFonts w:eastAsia="Verdana"/>
                <w:noProof/>
              </w:rPr>
              <w:t>I.</w:t>
            </w:r>
            <w:r w:rsidR="000746C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  <w:noProof/>
              </w:rPr>
              <w:t>INFORMACJE WSTĘPNE</w:t>
            </w:r>
            <w:r w:rsidR="000746C5">
              <w:rPr>
                <w:noProof/>
                <w:webHidden/>
              </w:rPr>
              <w:tab/>
            </w:r>
            <w:r w:rsidR="000746C5">
              <w:rPr>
                <w:noProof/>
                <w:webHidden/>
              </w:rPr>
              <w:fldChar w:fldCharType="begin"/>
            </w:r>
            <w:r w:rsidR="000746C5">
              <w:rPr>
                <w:noProof/>
                <w:webHidden/>
              </w:rPr>
              <w:instrText xml:space="preserve"> PAGEREF _Toc196292897 \h </w:instrText>
            </w:r>
            <w:r w:rsidR="000746C5">
              <w:rPr>
                <w:noProof/>
                <w:webHidden/>
              </w:rPr>
            </w:r>
            <w:r w:rsidR="000746C5">
              <w:rPr>
                <w:noProof/>
                <w:webHidden/>
              </w:rPr>
              <w:fldChar w:fldCharType="separate"/>
            </w:r>
            <w:r w:rsidR="000746C5">
              <w:rPr>
                <w:noProof/>
                <w:webHidden/>
              </w:rPr>
              <w:t>3</w:t>
            </w:r>
            <w:r w:rsidR="000746C5">
              <w:rPr>
                <w:noProof/>
                <w:webHidden/>
              </w:rPr>
              <w:fldChar w:fldCharType="end"/>
            </w:r>
          </w:hyperlink>
        </w:p>
        <w:p w14:paraId="38AE01F8" w14:textId="570BC57A" w:rsidR="000746C5" w:rsidRDefault="009A2DF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292898" w:history="1">
            <w:r w:rsidR="000746C5" w:rsidRPr="00A901D2">
              <w:rPr>
                <w:rStyle w:val="Hipercze"/>
                <w:rFonts w:eastAsia="Verdana"/>
                <w:noProof/>
              </w:rPr>
              <w:t>II.</w:t>
            </w:r>
            <w:r w:rsidR="000746C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  <w:noProof/>
              </w:rPr>
              <w:t>CZĘŚĆ OGÓLNA</w:t>
            </w:r>
            <w:r w:rsidR="000746C5">
              <w:rPr>
                <w:noProof/>
                <w:webHidden/>
              </w:rPr>
              <w:tab/>
            </w:r>
            <w:r w:rsidR="000746C5">
              <w:rPr>
                <w:noProof/>
                <w:webHidden/>
              </w:rPr>
              <w:fldChar w:fldCharType="begin"/>
            </w:r>
            <w:r w:rsidR="000746C5">
              <w:rPr>
                <w:noProof/>
                <w:webHidden/>
              </w:rPr>
              <w:instrText xml:space="preserve"> PAGEREF _Toc196292898 \h </w:instrText>
            </w:r>
            <w:r w:rsidR="000746C5">
              <w:rPr>
                <w:noProof/>
                <w:webHidden/>
              </w:rPr>
            </w:r>
            <w:r w:rsidR="000746C5">
              <w:rPr>
                <w:noProof/>
                <w:webHidden/>
              </w:rPr>
              <w:fldChar w:fldCharType="separate"/>
            </w:r>
            <w:r w:rsidR="000746C5">
              <w:rPr>
                <w:noProof/>
                <w:webHidden/>
              </w:rPr>
              <w:t>4</w:t>
            </w:r>
            <w:r w:rsidR="000746C5">
              <w:rPr>
                <w:noProof/>
                <w:webHidden/>
              </w:rPr>
              <w:fldChar w:fldCharType="end"/>
            </w:r>
          </w:hyperlink>
        </w:p>
        <w:p w14:paraId="068E50FA" w14:textId="2434EB2D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899" w:history="1">
            <w:r w:rsidR="000746C5" w:rsidRPr="00A901D2">
              <w:rPr>
                <w:rStyle w:val="Hipercze"/>
                <w:rFonts w:eastAsia="Verdana"/>
              </w:rPr>
              <w:t>1.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Przedmiot i Okres Gwarancji Jakości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_Toc196292899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4</w:t>
            </w:r>
            <w:r w:rsidR="000746C5">
              <w:rPr>
                <w:webHidden/>
              </w:rPr>
              <w:fldChar w:fldCharType="end"/>
            </w:r>
          </w:hyperlink>
        </w:p>
        <w:p w14:paraId="1CC53E0C" w14:textId="3E76056D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0" w:history="1">
            <w:r w:rsidR="000746C5" w:rsidRPr="00A901D2">
              <w:rPr>
                <w:rStyle w:val="Hipercze"/>
                <w:rFonts w:eastAsia="Verdana"/>
              </w:rPr>
              <w:t>2.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Obowiązki i uprawnienia Stron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_Toc196292900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5</w:t>
            </w:r>
            <w:r w:rsidR="000746C5">
              <w:rPr>
                <w:webHidden/>
              </w:rPr>
              <w:fldChar w:fldCharType="end"/>
            </w:r>
          </w:hyperlink>
        </w:p>
        <w:p w14:paraId="55EA00D0" w14:textId="5F660F23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1" w:history="1">
            <w:r w:rsidR="000746C5" w:rsidRPr="00A901D2">
              <w:rPr>
                <w:rStyle w:val="Hipercze"/>
                <w:rFonts w:eastAsia="Verdana"/>
              </w:rPr>
              <w:t>3.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Upoważnienie Zamawiającego (pełnomocnictwo)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_Toc196292901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5</w:t>
            </w:r>
            <w:r w:rsidR="000746C5">
              <w:rPr>
                <w:webHidden/>
              </w:rPr>
              <w:fldChar w:fldCharType="end"/>
            </w:r>
          </w:hyperlink>
        </w:p>
        <w:p w14:paraId="0D2E1D15" w14:textId="2660F36E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2" w:history="1">
            <w:r w:rsidR="000746C5" w:rsidRPr="00A901D2">
              <w:rPr>
                <w:rStyle w:val="Hipercze"/>
                <w:rFonts w:eastAsia="Verdana"/>
              </w:rPr>
              <w:t>4.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Komisyjne Przeglądy Gwarancyjne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_Toc196292902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5</w:t>
            </w:r>
            <w:r w:rsidR="000746C5">
              <w:rPr>
                <w:webHidden/>
              </w:rPr>
              <w:fldChar w:fldCharType="end"/>
            </w:r>
          </w:hyperlink>
        </w:p>
        <w:p w14:paraId="3D1E6939" w14:textId="5981E525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3" w:history="1">
            <w:r w:rsidR="000746C5" w:rsidRPr="00A901D2">
              <w:rPr>
                <w:rStyle w:val="Hipercze"/>
                <w:rFonts w:eastAsia="Verdana"/>
              </w:rPr>
              <w:t>5.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Tryb usuwania Wad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_Toc196292903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6</w:t>
            </w:r>
            <w:r w:rsidR="000746C5">
              <w:rPr>
                <w:webHidden/>
              </w:rPr>
              <w:fldChar w:fldCharType="end"/>
            </w:r>
          </w:hyperlink>
        </w:p>
        <w:p w14:paraId="52B78B32" w14:textId="2A4A1464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4" w:history="1">
            <w:r w:rsidR="000746C5" w:rsidRPr="00A901D2">
              <w:rPr>
                <w:rStyle w:val="Hipercze"/>
                <w:rFonts w:eastAsia="Verdana"/>
              </w:rPr>
              <w:t>6.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Komunikacja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_Toc196292904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7</w:t>
            </w:r>
            <w:r w:rsidR="000746C5">
              <w:rPr>
                <w:webHidden/>
              </w:rPr>
              <w:fldChar w:fldCharType="end"/>
            </w:r>
          </w:hyperlink>
        </w:p>
        <w:p w14:paraId="6663CEAF" w14:textId="50268268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5" w:history="1">
            <w:r w:rsidR="000746C5" w:rsidRPr="00A901D2">
              <w:rPr>
                <w:rStyle w:val="Hipercze"/>
                <w:rFonts w:eastAsia="Verdana"/>
              </w:rPr>
              <w:t>7.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Kary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_Toc196292905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8</w:t>
            </w:r>
            <w:r w:rsidR="000746C5">
              <w:rPr>
                <w:webHidden/>
              </w:rPr>
              <w:fldChar w:fldCharType="end"/>
            </w:r>
          </w:hyperlink>
        </w:p>
        <w:p w14:paraId="1DFD0165" w14:textId="002BCD42" w:rsidR="000746C5" w:rsidRDefault="009A2DFA" w:rsidP="000746C5">
          <w:pPr>
            <w:pStyle w:val="Spistreci2"/>
            <w:rPr>
              <w:rStyle w:val="Hipercze"/>
              <w:rFonts w:eastAsia="Calibri"/>
            </w:rPr>
          </w:pPr>
          <w:hyperlink w:anchor="_Toc196292906" w:history="1">
            <w:r w:rsidR="000746C5" w:rsidRPr="00A901D2">
              <w:rPr>
                <w:rStyle w:val="Hipercze"/>
                <w:rFonts w:eastAsia="Verdana"/>
              </w:rPr>
              <w:t>8.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Verdana"/>
              </w:rPr>
              <w:t>Postanowienia końcowe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_Toc196292906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9</w:t>
            </w:r>
            <w:r w:rsidR="000746C5">
              <w:rPr>
                <w:webHidden/>
              </w:rPr>
              <w:fldChar w:fldCharType="end"/>
            </w:r>
          </w:hyperlink>
        </w:p>
        <w:p w14:paraId="2B6E00CB" w14:textId="77777777" w:rsidR="000746C5" w:rsidRPr="000746C5" w:rsidRDefault="000746C5" w:rsidP="000746C5"/>
        <w:p w14:paraId="0E2B2FCC" w14:textId="7889273E" w:rsidR="000746C5" w:rsidRDefault="009A2DFA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96292907" w:history="1">
            <w:r w:rsidR="000746C5" w:rsidRPr="00A901D2">
              <w:rPr>
                <w:rStyle w:val="Hipercze"/>
                <w:noProof/>
              </w:rPr>
              <w:t>III.</w:t>
            </w:r>
            <w:r w:rsidR="000746C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noProof/>
              </w:rPr>
              <w:t>CZĘŚĆ SZCZEGÓŁOWA</w:t>
            </w:r>
            <w:r w:rsidR="000746C5">
              <w:rPr>
                <w:noProof/>
                <w:webHidden/>
              </w:rPr>
              <w:tab/>
            </w:r>
            <w:r w:rsidR="000746C5">
              <w:rPr>
                <w:noProof/>
                <w:webHidden/>
              </w:rPr>
              <w:fldChar w:fldCharType="begin"/>
            </w:r>
            <w:r w:rsidR="000746C5">
              <w:rPr>
                <w:noProof/>
                <w:webHidden/>
              </w:rPr>
              <w:instrText xml:space="preserve"> PAGEREF _Toc196292907 \h </w:instrText>
            </w:r>
            <w:r w:rsidR="000746C5">
              <w:rPr>
                <w:noProof/>
                <w:webHidden/>
              </w:rPr>
            </w:r>
            <w:r w:rsidR="000746C5">
              <w:rPr>
                <w:noProof/>
                <w:webHidden/>
              </w:rPr>
              <w:fldChar w:fldCharType="separate"/>
            </w:r>
            <w:r w:rsidR="000746C5">
              <w:rPr>
                <w:noProof/>
                <w:webHidden/>
              </w:rPr>
              <w:t>10</w:t>
            </w:r>
            <w:r w:rsidR="000746C5">
              <w:rPr>
                <w:noProof/>
                <w:webHidden/>
              </w:rPr>
              <w:fldChar w:fldCharType="end"/>
            </w:r>
          </w:hyperlink>
        </w:p>
        <w:p w14:paraId="29D5701D" w14:textId="6C79280F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8" w:history="1">
            <w:r w:rsidR="000746C5" w:rsidRPr="00A901D2">
              <w:rPr>
                <w:rStyle w:val="Hipercze"/>
                <w:rFonts w:eastAsia="Calibri"/>
              </w:rPr>
              <w:t>1.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Calibri"/>
              </w:rPr>
              <w:t>NAWIERZCHNIE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_Toc196292908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10</w:t>
            </w:r>
            <w:r w:rsidR="000746C5">
              <w:rPr>
                <w:webHidden/>
              </w:rPr>
              <w:fldChar w:fldCharType="end"/>
            </w:r>
          </w:hyperlink>
        </w:p>
        <w:p w14:paraId="7C3ADB8D" w14:textId="3B7CE3A2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09" w:history="1">
            <w:r w:rsidR="000746C5" w:rsidRPr="00A901D2">
              <w:rPr>
                <w:rStyle w:val="Hipercze"/>
                <w:rFonts w:eastAsia="Calibri"/>
              </w:rPr>
              <w:t>2.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Calibri"/>
              </w:rPr>
              <w:t>OZNAKOWANIE DRÓG ORAZ URZĄDZENIA BRD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_Toc196292909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20</w:t>
            </w:r>
            <w:r w:rsidR="000746C5">
              <w:rPr>
                <w:webHidden/>
              </w:rPr>
              <w:fldChar w:fldCharType="end"/>
            </w:r>
          </w:hyperlink>
        </w:p>
        <w:p w14:paraId="7905BA50" w14:textId="5ACEFFF9" w:rsid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10" w:history="1">
            <w:r w:rsidR="000746C5" w:rsidRPr="00A901D2">
              <w:rPr>
                <w:rStyle w:val="Hipercze"/>
                <w:rFonts w:eastAsia="Calibri"/>
              </w:rPr>
              <w:t>3.</w:t>
            </w:r>
            <w:r w:rsid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A901D2">
              <w:rPr>
                <w:rStyle w:val="Hipercze"/>
                <w:rFonts w:eastAsia="Calibri"/>
              </w:rPr>
              <w:t>ZIELEŃ</w:t>
            </w:r>
            <w:r w:rsidR="000746C5">
              <w:rPr>
                <w:webHidden/>
              </w:rPr>
              <w:tab/>
            </w:r>
            <w:r w:rsidR="000746C5">
              <w:rPr>
                <w:webHidden/>
              </w:rPr>
              <w:fldChar w:fldCharType="begin"/>
            </w:r>
            <w:r w:rsidR="000746C5">
              <w:rPr>
                <w:webHidden/>
              </w:rPr>
              <w:instrText xml:space="preserve"> PAGEREF _Toc196292910 \h </w:instrText>
            </w:r>
            <w:r w:rsidR="000746C5">
              <w:rPr>
                <w:webHidden/>
              </w:rPr>
            </w:r>
            <w:r w:rsidR="000746C5">
              <w:rPr>
                <w:webHidden/>
              </w:rPr>
              <w:fldChar w:fldCharType="separate"/>
            </w:r>
            <w:r w:rsidR="000746C5">
              <w:rPr>
                <w:webHidden/>
              </w:rPr>
              <w:t>20</w:t>
            </w:r>
            <w:r w:rsidR="000746C5">
              <w:rPr>
                <w:webHidden/>
              </w:rPr>
              <w:fldChar w:fldCharType="end"/>
            </w:r>
          </w:hyperlink>
        </w:p>
        <w:p w14:paraId="6BC98645" w14:textId="4D5D9E26" w:rsidR="000746C5" w:rsidRPr="000746C5" w:rsidRDefault="009A2DFA" w:rsidP="000746C5">
          <w:pPr>
            <w:pStyle w:val="Spistreci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96292911" w:history="1">
            <w:r w:rsidR="000746C5" w:rsidRPr="000746C5">
              <w:rPr>
                <w:rStyle w:val="Hipercze"/>
              </w:rPr>
              <w:t>4.</w:t>
            </w:r>
            <w:r w:rsidR="000746C5" w:rsidRPr="000746C5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0746C5" w:rsidRPr="000746C5">
              <w:rPr>
                <w:rStyle w:val="Hipercze"/>
              </w:rPr>
              <w:t>DROGOWE OBIEKTY INŻYNIERSKIE</w:t>
            </w:r>
            <w:r w:rsidR="000746C5" w:rsidRPr="000746C5">
              <w:rPr>
                <w:webHidden/>
              </w:rPr>
              <w:tab/>
            </w:r>
            <w:r w:rsidR="000746C5" w:rsidRPr="000746C5">
              <w:rPr>
                <w:webHidden/>
              </w:rPr>
              <w:fldChar w:fldCharType="begin"/>
            </w:r>
            <w:r w:rsidR="000746C5" w:rsidRPr="000746C5">
              <w:rPr>
                <w:webHidden/>
              </w:rPr>
              <w:instrText xml:space="preserve"> PAGEREF _Toc196292911 \h </w:instrText>
            </w:r>
            <w:r w:rsidR="000746C5" w:rsidRPr="000746C5">
              <w:rPr>
                <w:webHidden/>
              </w:rPr>
            </w:r>
            <w:r w:rsidR="000746C5" w:rsidRPr="000746C5">
              <w:rPr>
                <w:webHidden/>
              </w:rPr>
              <w:fldChar w:fldCharType="separate"/>
            </w:r>
            <w:r w:rsidR="000746C5" w:rsidRPr="000746C5">
              <w:rPr>
                <w:webHidden/>
              </w:rPr>
              <w:t>22</w:t>
            </w:r>
            <w:r w:rsidR="000746C5" w:rsidRPr="000746C5">
              <w:rPr>
                <w:webHidden/>
              </w:rPr>
              <w:fldChar w:fldCharType="end"/>
            </w:r>
          </w:hyperlink>
        </w:p>
        <w:p w14:paraId="03D34BE6" w14:textId="407DB7DE" w:rsidR="00363999" w:rsidRPr="008A5D94" w:rsidRDefault="00363999" w:rsidP="00363999">
          <w:pPr>
            <w:spacing w:before="80" w:after="0"/>
            <w:ind w:left="10" w:right="70" w:hanging="10"/>
            <w:jc w:val="both"/>
            <w:rPr>
              <w:rFonts w:eastAsia="Verdana" w:cs="Verdana"/>
            </w:rPr>
          </w:pPr>
          <w:r w:rsidRPr="008A5D94">
            <w:rPr>
              <w:rFonts w:eastAsia="Verdana" w:cs="Verdana"/>
            </w:rPr>
            <w:fldChar w:fldCharType="end"/>
          </w:r>
        </w:p>
      </w:sdtContent>
    </w:sdt>
    <w:p w14:paraId="03D34BE7" w14:textId="10895919" w:rsidR="00363999" w:rsidRPr="008A5D94" w:rsidRDefault="00363999" w:rsidP="00363999">
      <w:pPr>
        <w:spacing w:before="80" w:after="0"/>
        <w:rPr>
          <w:rFonts w:eastAsia="Verdana" w:cs="Verdana"/>
        </w:rPr>
      </w:pPr>
      <w:r w:rsidRPr="008A5D94">
        <w:rPr>
          <w:rFonts w:eastAsia="Verdana" w:cs="Verdana"/>
        </w:rPr>
        <w:br w:type="page"/>
      </w:r>
    </w:p>
    <w:p w14:paraId="03D34BE8" w14:textId="77777777" w:rsidR="00363999" w:rsidRPr="008A5D94" w:rsidRDefault="00363999" w:rsidP="00661C26">
      <w:pPr>
        <w:pStyle w:val="Nagwek1"/>
        <w:numPr>
          <w:ilvl w:val="0"/>
          <w:numId w:val="24"/>
        </w:numPr>
        <w:spacing w:before="80" w:after="0"/>
        <w:ind w:left="426" w:hanging="426"/>
        <w:rPr>
          <w:rFonts w:eastAsia="Verdana"/>
          <w:kern w:val="0"/>
          <w:szCs w:val="20"/>
        </w:rPr>
      </w:pPr>
      <w:bookmarkStart w:id="2" w:name="_Toc455047564"/>
      <w:bookmarkStart w:id="3" w:name="_Toc196292897"/>
      <w:r w:rsidRPr="008A5D94">
        <w:rPr>
          <w:rFonts w:eastAsia="Verdana"/>
          <w:kern w:val="0"/>
          <w:szCs w:val="20"/>
        </w:rPr>
        <w:lastRenderedPageBreak/>
        <w:t>INFORMACJE WSTĘPNE</w:t>
      </w:r>
      <w:bookmarkEnd w:id="2"/>
      <w:bookmarkEnd w:id="3"/>
      <w:r w:rsidRPr="008A5D94">
        <w:rPr>
          <w:rFonts w:eastAsia="Verdana"/>
          <w:kern w:val="0"/>
          <w:szCs w:val="20"/>
        </w:rPr>
        <w:t xml:space="preserve"> </w:t>
      </w:r>
    </w:p>
    <w:p w14:paraId="03D34BE9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EA" w14:textId="74D7C54B" w:rsidR="00363999" w:rsidRDefault="00363999" w:rsidP="00363999">
      <w:pPr>
        <w:spacing w:before="80" w:after="0"/>
        <w:ind w:left="-5" w:right="63" w:hanging="10"/>
        <w:jc w:val="both"/>
        <w:rPr>
          <w:rFonts w:eastAsia="Verdana" w:cs="Verdana"/>
        </w:rPr>
      </w:pPr>
      <w:r w:rsidRPr="008A5D94">
        <w:rPr>
          <w:rFonts w:eastAsia="Verdana" w:cs="Verdana"/>
        </w:rPr>
        <w:t>Nazwa zadania:</w:t>
      </w:r>
    </w:p>
    <w:p w14:paraId="03D34BEB" w14:textId="1F08C4C5" w:rsidR="00363999" w:rsidRDefault="003808FC" w:rsidP="00363999">
      <w:pPr>
        <w:spacing w:before="80" w:after="0"/>
        <w:rPr>
          <w:bCs/>
        </w:rPr>
      </w:pPr>
      <w:r w:rsidRPr="005C0970">
        <w:rPr>
          <w:b/>
        </w:rPr>
        <w:t>„</w:t>
      </w:r>
      <w:r w:rsidR="005C0970" w:rsidRPr="005C0970">
        <w:rPr>
          <w:b/>
        </w:rPr>
        <w:t>Dostawa i</w:t>
      </w:r>
      <w:r w:rsidR="005C0970">
        <w:rPr>
          <w:bCs/>
        </w:rPr>
        <w:t xml:space="preserve"> </w:t>
      </w:r>
      <w:r w:rsidR="005C0970">
        <w:rPr>
          <w:b/>
        </w:rPr>
        <w:t>m</w:t>
      </w:r>
      <w:r w:rsidRPr="003F3C26">
        <w:rPr>
          <w:b/>
        </w:rPr>
        <w:t>ontaż wygrodzeń dla pieszych U-12a na skrzyżowaniu drogi krajowej nr 17</w:t>
      </w:r>
      <w:r w:rsidR="005C0970">
        <w:rPr>
          <w:b/>
        </w:rPr>
        <w:t xml:space="preserve"> </w:t>
      </w:r>
      <w:r w:rsidRPr="003F3C26">
        <w:rPr>
          <w:b/>
        </w:rPr>
        <w:t>z drogą wojewódzką 812</w:t>
      </w:r>
      <w:r>
        <w:rPr>
          <w:b/>
        </w:rPr>
        <w:t xml:space="preserve"> </w:t>
      </w:r>
      <w:r w:rsidRPr="003F3C26">
        <w:rPr>
          <w:b/>
        </w:rPr>
        <w:t>w m. Krasnystaw</w:t>
      </w:r>
      <w:r w:rsidRPr="003F3C26">
        <w:rPr>
          <w:bCs/>
        </w:rPr>
        <w:t>”</w:t>
      </w:r>
      <w:r w:rsidR="005C0970">
        <w:rPr>
          <w:bCs/>
        </w:rPr>
        <w:t>.</w:t>
      </w:r>
    </w:p>
    <w:p w14:paraId="7525630D" w14:textId="77777777" w:rsidR="003808FC" w:rsidRPr="008A5D94" w:rsidRDefault="003808FC" w:rsidP="00363999">
      <w:pPr>
        <w:spacing w:before="80" w:after="0"/>
        <w:rPr>
          <w:rFonts w:eastAsia="Verdana" w:cs="Verdana"/>
        </w:rPr>
      </w:pPr>
    </w:p>
    <w:p w14:paraId="03D34BED" w14:textId="77777777" w:rsidR="00363999" w:rsidRPr="008A5D94" w:rsidRDefault="00363999" w:rsidP="00363999">
      <w:pPr>
        <w:spacing w:before="80" w:after="0"/>
        <w:ind w:left="-5" w:right="63" w:hanging="10"/>
        <w:jc w:val="both"/>
        <w:rPr>
          <w:rFonts w:eastAsia="Verdana" w:cs="Verdana"/>
        </w:rPr>
      </w:pPr>
      <w:r w:rsidRPr="008A5D94">
        <w:rPr>
          <w:rFonts w:eastAsia="Verdana" w:cs="Verdana"/>
        </w:rPr>
        <w:t>Kontrakt nr: ………………………………</w:t>
      </w:r>
    </w:p>
    <w:p w14:paraId="03D34BEF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0" w14:textId="77777777" w:rsidR="00363999" w:rsidRPr="008A5D94" w:rsidRDefault="00363999" w:rsidP="00363999">
      <w:pPr>
        <w:spacing w:before="80" w:after="0"/>
        <w:ind w:left="-5" w:right="-2" w:hanging="10"/>
        <w:rPr>
          <w:rFonts w:eastAsia="Verdana" w:cs="Verdana"/>
        </w:rPr>
      </w:pPr>
      <w:r w:rsidRPr="008A5D94">
        <w:rPr>
          <w:rFonts w:eastAsia="Verdana" w:cs="Verdana"/>
        </w:rPr>
        <w:t>GWARANTEM jest:</w:t>
      </w:r>
    </w:p>
    <w:p w14:paraId="03D34BF1" w14:textId="77777777" w:rsidR="00363999" w:rsidRPr="008A5D94" w:rsidRDefault="00363999" w:rsidP="00363999">
      <w:pPr>
        <w:spacing w:before="80" w:after="0"/>
        <w:ind w:left="-5" w:right="-2" w:hanging="10"/>
        <w:rPr>
          <w:rFonts w:eastAsia="Verdana" w:cs="Verdana"/>
        </w:rPr>
      </w:pPr>
      <w:r w:rsidRPr="008A5D94">
        <w:rPr>
          <w:rFonts w:eastAsia="Verdana" w:cs="Verdana"/>
        </w:rPr>
        <w:t xml:space="preserve">[nazwa, adres, dane z KRS] </w:t>
      </w:r>
    </w:p>
    <w:p w14:paraId="03D34BF2" w14:textId="77777777" w:rsidR="00363999" w:rsidRPr="008A5D94" w:rsidRDefault="00363999" w:rsidP="00363999">
      <w:pPr>
        <w:spacing w:before="80" w:after="0"/>
        <w:ind w:left="-5" w:right="-2" w:hanging="10"/>
        <w:rPr>
          <w:rFonts w:eastAsia="Verdana" w:cs="Verdana"/>
        </w:rPr>
      </w:pPr>
      <w:r w:rsidRPr="008A5D94">
        <w:rPr>
          <w:rFonts w:eastAsia="Verdana" w:cs="Verdana"/>
        </w:rPr>
        <w:t>będący Wykonawcą Kontraktu</w:t>
      </w:r>
    </w:p>
    <w:p w14:paraId="03D34BF3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4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5" w14:textId="77777777" w:rsidR="00363999" w:rsidRPr="008A5D94" w:rsidRDefault="00363999" w:rsidP="00363999">
      <w:pPr>
        <w:spacing w:before="80" w:after="0"/>
        <w:ind w:left="-5" w:right="63" w:hanging="1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Uprawnionym z tytułu Gwarancji Jakości jest: </w:t>
      </w:r>
    </w:p>
    <w:p w14:paraId="03D34BF6" w14:textId="77777777" w:rsidR="00363999" w:rsidRPr="008A5D94" w:rsidRDefault="00363999" w:rsidP="00363999">
      <w:pPr>
        <w:spacing w:before="80" w:after="0"/>
        <w:ind w:left="-5" w:right="63" w:hanging="10"/>
        <w:jc w:val="both"/>
        <w:rPr>
          <w:rFonts w:eastAsia="Verdana" w:cs="Verdana"/>
        </w:rPr>
      </w:pPr>
      <w:r w:rsidRPr="008A5D94">
        <w:rPr>
          <w:rFonts w:eastAsia="Verdana" w:cs="Verdana"/>
        </w:rPr>
        <w:t>Skarb Państwa – Generalny Dyrektor Dróg Krajowych i Autostrad, Oddział z siedzibą w …………………………………….</w:t>
      </w:r>
    </w:p>
    <w:p w14:paraId="03D34BF7" w14:textId="77777777" w:rsidR="00363999" w:rsidRPr="008A5D94" w:rsidRDefault="00363999" w:rsidP="00363999">
      <w:pPr>
        <w:spacing w:before="80" w:after="0"/>
        <w:ind w:left="-5" w:right="63" w:hanging="10"/>
        <w:jc w:val="both"/>
        <w:rPr>
          <w:rFonts w:eastAsia="Verdana" w:cs="Verdana"/>
        </w:rPr>
      </w:pPr>
    </w:p>
    <w:p w14:paraId="03D34BF8" w14:textId="77777777" w:rsidR="00363999" w:rsidRPr="008A5D94" w:rsidRDefault="00363999" w:rsidP="00363999">
      <w:pPr>
        <w:spacing w:before="80" w:after="0"/>
        <w:ind w:left="-5" w:right="63" w:hanging="1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zwany dalej „Zamawiającym”, </w:t>
      </w:r>
    </w:p>
    <w:p w14:paraId="03D34BF9" w14:textId="77777777" w:rsidR="00363999" w:rsidRPr="008A5D94" w:rsidRDefault="00363999" w:rsidP="00363999">
      <w:pPr>
        <w:spacing w:before="80" w:after="0"/>
        <w:ind w:left="-5" w:right="63" w:hanging="10"/>
        <w:jc w:val="both"/>
        <w:rPr>
          <w:rFonts w:eastAsia="Verdana" w:cs="Verdana"/>
        </w:rPr>
      </w:pPr>
      <w:r w:rsidRPr="008A5D94">
        <w:rPr>
          <w:rFonts w:eastAsia="Verdana" w:cs="Verdana"/>
        </w:rPr>
        <w:t>zwane dalej „Stronami”.</w:t>
      </w:r>
    </w:p>
    <w:p w14:paraId="03D34BFA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B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C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D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E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BFF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  <w:r w:rsidRPr="008A5D94">
        <w:rPr>
          <w:rFonts w:eastAsia="Verdana" w:cs="Verdana"/>
        </w:rPr>
        <w:br w:type="page"/>
      </w:r>
    </w:p>
    <w:p w14:paraId="03D34C00" w14:textId="77777777" w:rsidR="00363999" w:rsidRPr="008A5D94" w:rsidRDefault="00363999" w:rsidP="00661C26">
      <w:pPr>
        <w:pStyle w:val="Nagwek1"/>
        <w:numPr>
          <w:ilvl w:val="0"/>
          <w:numId w:val="24"/>
        </w:numPr>
        <w:spacing w:before="80" w:after="0"/>
        <w:ind w:left="567" w:hanging="567"/>
        <w:rPr>
          <w:rFonts w:eastAsia="Verdana"/>
          <w:kern w:val="0"/>
          <w:szCs w:val="20"/>
        </w:rPr>
      </w:pPr>
      <w:bookmarkStart w:id="4" w:name="_Toc455047565"/>
      <w:bookmarkStart w:id="5" w:name="_Toc196292898"/>
      <w:r w:rsidRPr="008A5D94">
        <w:rPr>
          <w:rFonts w:eastAsia="Verdana"/>
          <w:kern w:val="0"/>
          <w:szCs w:val="20"/>
        </w:rPr>
        <w:lastRenderedPageBreak/>
        <w:t>CZĘŚĆ OGÓLNA</w:t>
      </w:r>
      <w:bookmarkEnd w:id="4"/>
      <w:bookmarkEnd w:id="5"/>
      <w:r w:rsidRPr="008A5D94">
        <w:rPr>
          <w:rFonts w:eastAsia="Verdana"/>
          <w:kern w:val="0"/>
          <w:szCs w:val="20"/>
        </w:rPr>
        <w:t xml:space="preserve"> </w:t>
      </w:r>
    </w:p>
    <w:p w14:paraId="03D34C01" w14:textId="77777777" w:rsidR="00363999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rPr>
          <w:rFonts w:eastAsia="Verdana"/>
          <w:szCs w:val="20"/>
        </w:rPr>
      </w:pPr>
      <w:bookmarkStart w:id="6" w:name="_Toc455047566"/>
      <w:bookmarkStart w:id="7" w:name="_Toc196292899"/>
      <w:r w:rsidRPr="008A5D94">
        <w:rPr>
          <w:rFonts w:eastAsia="Verdana"/>
          <w:szCs w:val="20"/>
        </w:rPr>
        <w:t>Przedmiot i Okres Gwarancji Jakości</w:t>
      </w:r>
      <w:bookmarkEnd w:id="6"/>
      <w:bookmarkEnd w:id="7"/>
      <w:r w:rsidRPr="008A5D94">
        <w:rPr>
          <w:rFonts w:eastAsia="Verdana"/>
          <w:szCs w:val="20"/>
        </w:rPr>
        <w:t xml:space="preserve"> </w:t>
      </w:r>
    </w:p>
    <w:p w14:paraId="4F0B127C" w14:textId="0FADE708" w:rsidR="00A56D24" w:rsidRPr="00A56D24" w:rsidRDefault="00A56D24" w:rsidP="00A56D24">
      <w:pPr>
        <w:pStyle w:val="Akapitzlist"/>
        <w:numPr>
          <w:ilvl w:val="1"/>
          <w:numId w:val="19"/>
        </w:numPr>
        <w:spacing w:after="19" w:line="259" w:lineRule="auto"/>
        <w:ind w:left="567" w:hanging="567"/>
        <w:jc w:val="both"/>
        <w:rPr>
          <w:rFonts w:eastAsia="Verdana" w:cs="Verdana"/>
        </w:rPr>
      </w:pPr>
      <w:r w:rsidRPr="00A56D24">
        <w:rPr>
          <w:rFonts w:eastAsia="Verdana" w:cs="Verdana"/>
        </w:rPr>
        <w:t xml:space="preserve">Niniejsza Gwarancja Jakości (dalej zwana również „Gwarancją”) obejmuje całość Robót i Dokumentów Wykonawcy objętych przedmiotem zamówienia (dalej Przedmiotem Umowy) pt. </w:t>
      </w:r>
      <w:r w:rsidR="003808FC" w:rsidRPr="003F3C26">
        <w:rPr>
          <w:bCs/>
        </w:rPr>
        <w:t>„</w:t>
      </w:r>
      <w:r w:rsidR="005C0970" w:rsidRPr="005C0970">
        <w:rPr>
          <w:b/>
        </w:rPr>
        <w:t>Dostawa i</w:t>
      </w:r>
      <w:r w:rsidR="005C0970">
        <w:rPr>
          <w:bCs/>
        </w:rPr>
        <w:t xml:space="preserve"> </w:t>
      </w:r>
      <w:r w:rsidR="005C0970">
        <w:rPr>
          <w:b/>
        </w:rPr>
        <w:t>m</w:t>
      </w:r>
      <w:r w:rsidR="005C0970" w:rsidRPr="003F3C26">
        <w:rPr>
          <w:b/>
        </w:rPr>
        <w:t>ontaż wygrodzeń dla pieszych U-12a</w:t>
      </w:r>
      <w:r w:rsidR="005C0970">
        <w:rPr>
          <w:b/>
        </w:rPr>
        <w:br/>
      </w:r>
      <w:r w:rsidR="005C0970" w:rsidRPr="003F3C26">
        <w:rPr>
          <w:b/>
        </w:rPr>
        <w:t>na skrzyżowaniu drogi krajowej nr 17</w:t>
      </w:r>
      <w:r w:rsidR="005C0970">
        <w:rPr>
          <w:b/>
        </w:rPr>
        <w:t xml:space="preserve"> </w:t>
      </w:r>
      <w:r w:rsidR="005C0970" w:rsidRPr="003F3C26">
        <w:rPr>
          <w:b/>
        </w:rPr>
        <w:t>z drogą wojewódzką 812</w:t>
      </w:r>
      <w:r w:rsidR="005C0970">
        <w:rPr>
          <w:b/>
        </w:rPr>
        <w:br/>
      </w:r>
      <w:r w:rsidR="005C0970" w:rsidRPr="003F3C26">
        <w:rPr>
          <w:b/>
        </w:rPr>
        <w:t>w m. Krasnystaw</w:t>
      </w:r>
      <w:r w:rsidR="003808FC" w:rsidRPr="003F3C26">
        <w:rPr>
          <w:bCs/>
        </w:rPr>
        <w:t>”</w:t>
      </w:r>
      <w:r w:rsidRPr="00A56D24">
        <w:rPr>
          <w:rFonts w:eastAsia="Verdana" w:cs="Verdana"/>
        </w:rPr>
        <w:t xml:space="preserve"> określonych w Umowie oraz w</w:t>
      </w:r>
      <w:r w:rsidR="003808FC">
        <w:rPr>
          <w:rFonts w:eastAsia="Verdana" w:cs="Verdana"/>
        </w:rPr>
        <w:t xml:space="preserve"> </w:t>
      </w:r>
      <w:r w:rsidRPr="00A56D24">
        <w:rPr>
          <w:rFonts w:eastAsia="Verdana" w:cs="Verdana"/>
        </w:rPr>
        <w:t>innych dokumentach będących integralną częścią Umowy. Gwarant oświadcza, że niniejsza gwarancja nie wyłącza, nie ogranicza ani nie zawiesza uprawnień Zamawiającego wynikających z Rękojmi</w:t>
      </w:r>
      <w:r w:rsidR="003808FC">
        <w:rPr>
          <w:rFonts w:eastAsia="Verdana" w:cs="Verdana"/>
        </w:rPr>
        <w:br/>
      </w:r>
      <w:r w:rsidRPr="00A56D24">
        <w:rPr>
          <w:rFonts w:eastAsia="Verdana" w:cs="Verdana"/>
        </w:rPr>
        <w:t>za Wady.</w:t>
      </w:r>
    </w:p>
    <w:p w14:paraId="03D34C03" w14:textId="16681D4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Gwarant oświadcza i zapewnia Zamawiającego, że wykonany przez niego cały Przedmiot Umowy, o którym mowa w punkcie 1.1 niniejszej Części Ogólnej, został wykonany prawidłowo, zgodnie z zobowiązaniami Wykonawcy, o których mowa w Warunkach Kontraktu, a także zgodnie z najlepszą wiedzą Gwaranta.</w:t>
      </w:r>
    </w:p>
    <w:p w14:paraId="03D34C04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Poprzez niniejszą Gwarancję Gwarant przyjmuje na siebie odpowiedzialność za Przedmiot Umowy, w tym za Dokumenty Wykonawcy i odpowiedni zakres Przedmiotu Umowy zrealizowany przez </w:t>
      </w:r>
      <w:r w:rsidR="00855083" w:rsidRPr="008A5D94">
        <w:rPr>
          <w:rFonts w:eastAsia="Verdana" w:cs="Verdana"/>
        </w:rPr>
        <w:t>P</w:t>
      </w:r>
      <w:r w:rsidRPr="008A5D94">
        <w:rPr>
          <w:rFonts w:eastAsia="Verdana" w:cs="Verdana"/>
        </w:rPr>
        <w:t>odwykonawców. Gwarant jest odpowiedzialny wobec Zamawiającego za realizację wszystkich zobowiązań, o których mowa w punkcie 2. niniejszej Części Ogólnej.</w:t>
      </w:r>
    </w:p>
    <w:p w14:paraId="03D34C05" w14:textId="234F7124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Okres Gwarancji Jakości jest określony w § </w:t>
      </w:r>
      <w:r w:rsidR="00EB67CE">
        <w:rPr>
          <w:rFonts w:eastAsia="Verdana" w:cs="Verdana"/>
        </w:rPr>
        <w:t>1</w:t>
      </w:r>
      <w:r w:rsidR="003808FC">
        <w:rPr>
          <w:rFonts w:eastAsia="Verdana" w:cs="Verdana"/>
        </w:rPr>
        <w:t>6</w:t>
      </w:r>
      <w:r w:rsidRPr="008A5D94">
        <w:rPr>
          <w:rFonts w:eastAsia="Verdana" w:cs="Verdana"/>
        </w:rPr>
        <w:t xml:space="preserve"> Umowy.</w:t>
      </w:r>
    </w:p>
    <w:p w14:paraId="03D34C06" w14:textId="2EC165CE" w:rsidR="00363999" w:rsidRPr="008A5D94" w:rsidRDefault="00363999" w:rsidP="00363999">
      <w:pPr>
        <w:spacing w:before="80" w:after="0"/>
        <w:ind w:left="567" w:right="75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Okresy, o których mowa w § </w:t>
      </w:r>
      <w:r w:rsidR="00EB67CE">
        <w:rPr>
          <w:rFonts w:eastAsia="Verdana" w:cs="Verdana"/>
        </w:rPr>
        <w:t>1</w:t>
      </w:r>
      <w:r w:rsidR="003808FC">
        <w:rPr>
          <w:rFonts w:eastAsia="Verdana" w:cs="Verdana"/>
        </w:rPr>
        <w:t>6</w:t>
      </w:r>
      <w:r w:rsidRPr="008A5D94">
        <w:rPr>
          <w:rFonts w:eastAsia="Verdana" w:cs="Verdana"/>
        </w:rPr>
        <w:t xml:space="preserve"> Umowy, liczone będą od </w:t>
      </w:r>
      <w:r w:rsidR="00EB67CE" w:rsidRPr="00BB5F67">
        <w:t>dni</w:t>
      </w:r>
      <w:r w:rsidR="00EB67CE">
        <w:t>a następnego od daty</w:t>
      </w:r>
      <w:r w:rsidR="00EB67CE" w:rsidRPr="00BB5F67">
        <w:t xml:space="preserve"> </w:t>
      </w:r>
      <w:r w:rsidR="003808FC">
        <w:t>o</w:t>
      </w:r>
      <w:r w:rsidR="00EB67CE" w:rsidRPr="00BB5F67">
        <w:t xml:space="preserve">dbioru </w:t>
      </w:r>
      <w:r w:rsidR="003808FC">
        <w:t>końcowego</w:t>
      </w:r>
      <w:r w:rsidR="00EB67CE">
        <w:t xml:space="preserve"> bez wad lub od d</w:t>
      </w:r>
      <w:r w:rsidR="003808FC">
        <w:t xml:space="preserve">nia potwierdzenia </w:t>
      </w:r>
      <w:r w:rsidR="00EB67CE" w:rsidRPr="00ED6FA2">
        <w:rPr>
          <w:rFonts w:cs="Verdana"/>
        </w:rPr>
        <w:t>usunięci</w:t>
      </w:r>
      <w:r w:rsidR="003808FC">
        <w:rPr>
          <w:rFonts w:cs="Verdana"/>
        </w:rPr>
        <w:t>a</w:t>
      </w:r>
      <w:r w:rsidR="00EB67CE" w:rsidRPr="00ED6FA2">
        <w:rPr>
          <w:rFonts w:cs="Verdana"/>
        </w:rPr>
        <w:t xml:space="preserve"> wad stwierdzonych przy odbiorze ostatecznym</w:t>
      </w:r>
      <w:r w:rsidR="00EB67CE" w:rsidRPr="00580309">
        <w:t xml:space="preserve"> przedmiotu Umowy</w:t>
      </w:r>
      <w:r w:rsidR="00EB67CE" w:rsidRPr="00ED6FA2">
        <w:rPr>
          <w:rFonts w:eastAsia="Verdana" w:cs="Verdana"/>
        </w:rPr>
        <w:t>.</w:t>
      </w:r>
      <w:r w:rsidR="003808FC">
        <w:rPr>
          <w:rFonts w:eastAsia="Verdana" w:cs="Verdana"/>
        </w:rPr>
        <w:t xml:space="preserve"> </w:t>
      </w:r>
      <w:r w:rsidR="00EB67CE" w:rsidRPr="00ED6FA2">
        <w:rPr>
          <w:rFonts w:eastAsia="Verdana" w:cs="Verdana"/>
        </w:rPr>
        <w:t>Przy określaniu odpowiedniego przedłużenia czasu obowiązywania gwarancji jakości stosuje się postanowienia</w:t>
      </w:r>
      <w:r w:rsidR="003808FC">
        <w:rPr>
          <w:rFonts w:eastAsia="Verdana" w:cs="Verdana"/>
        </w:rPr>
        <w:br/>
      </w:r>
      <w:r w:rsidR="00EB67CE" w:rsidRPr="00ED6FA2">
        <w:rPr>
          <w:rFonts w:eastAsia="Verdana" w:cs="Verdana"/>
        </w:rPr>
        <w:t>art. 581 ust. – Kodeks cywilny (tj. Dz.U. z 20</w:t>
      </w:r>
      <w:r w:rsidR="003808FC">
        <w:rPr>
          <w:rFonts w:eastAsia="Verdana" w:cs="Verdana"/>
        </w:rPr>
        <w:t>24</w:t>
      </w:r>
      <w:r w:rsidR="00EB67CE" w:rsidRPr="00ED6FA2">
        <w:rPr>
          <w:rFonts w:eastAsia="Verdana" w:cs="Verdana"/>
        </w:rPr>
        <w:t xml:space="preserve"> r.</w:t>
      </w:r>
      <w:r w:rsidR="003808FC">
        <w:rPr>
          <w:rFonts w:eastAsia="Verdana" w:cs="Verdana"/>
        </w:rPr>
        <w:t xml:space="preserve"> </w:t>
      </w:r>
      <w:r w:rsidR="00EB67CE" w:rsidRPr="00ED6FA2">
        <w:rPr>
          <w:rFonts w:eastAsia="Verdana" w:cs="Verdana"/>
        </w:rPr>
        <w:t>poz. 1</w:t>
      </w:r>
      <w:r w:rsidR="003808FC">
        <w:rPr>
          <w:rFonts w:eastAsia="Verdana" w:cs="Verdana"/>
        </w:rPr>
        <w:t>061</w:t>
      </w:r>
      <w:r w:rsidR="00EB67CE" w:rsidRPr="00ED6FA2">
        <w:rPr>
          <w:rFonts w:eastAsia="Verdana" w:cs="Verdana"/>
        </w:rPr>
        <w:t xml:space="preserve"> ze zm.).</w:t>
      </w:r>
    </w:p>
    <w:p w14:paraId="03D34C07" w14:textId="18B5B564" w:rsidR="00363999" w:rsidRPr="008A5D94" w:rsidRDefault="00D8206C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>Przed</w:t>
      </w:r>
      <w:r w:rsidRPr="00764DA1">
        <w:rPr>
          <w:rFonts w:eastAsia="Verdana" w:cs="Verdana"/>
        </w:rPr>
        <w:t xml:space="preserve"> podpisaniem Protokołu odbioru ostatecznego Komisja odbioru ustali wpływ stwierdzonych odstępstw od postanowień Szczegółowych Specyfikacji Technicznych na zobowiązania Gwaranta</w:t>
      </w:r>
      <w:r w:rsidR="00363999" w:rsidRPr="008A5D94">
        <w:rPr>
          <w:rFonts w:eastAsia="Verdana" w:cs="Verdana"/>
        </w:rPr>
        <w:t>.</w:t>
      </w:r>
    </w:p>
    <w:p w14:paraId="247A60B5" w14:textId="77777777" w:rsidR="00D8206C" w:rsidRPr="00764DA1" w:rsidRDefault="00D8206C" w:rsidP="00D8206C">
      <w:pPr>
        <w:pStyle w:val="Akapitzlist"/>
        <w:numPr>
          <w:ilvl w:val="1"/>
          <w:numId w:val="19"/>
        </w:numPr>
        <w:spacing w:before="80" w:after="0"/>
        <w:ind w:left="567" w:right="62" w:hanging="567"/>
        <w:jc w:val="both"/>
        <w:rPr>
          <w:rFonts w:eastAsia="Verdana" w:cs="Verdana"/>
        </w:rPr>
      </w:pPr>
      <w:r w:rsidRPr="00764DA1">
        <w:rPr>
          <w:rFonts w:eastAsia="Verdana" w:cs="Verdana"/>
        </w:rPr>
        <w:t xml:space="preserve">Ilekroć w niniejszej Gwarancji Jakości jest mowa o Wadzie, należy przez to rozumieć wadę o której mowa w art. 556¹ § 1 ustawy – Kodeks Cywilny polegającą </w:t>
      </w:r>
      <w:r>
        <w:rPr>
          <w:rFonts w:eastAsia="Verdana" w:cs="Verdana"/>
        </w:rPr>
        <w:br/>
      </w:r>
      <w:r w:rsidRPr="00764DA1">
        <w:rPr>
          <w:rFonts w:eastAsia="Verdana" w:cs="Verdana"/>
        </w:rPr>
        <w:t xml:space="preserve">w szczególności na zmniejszeniu funkcjonalności rzeczy, jej wartości użytkowej, technicznej lub estetycznej a także niezgodność rzeczy z przedmiotem Umowy, SST, </w:t>
      </w:r>
      <w:r>
        <w:rPr>
          <w:rFonts w:eastAsia="Verdana" w:cs="Verdana"/>
        </w:rPr>
        <w:t>Dokumentacją Projektową,</w:t>
      </w:r>
      <w:r w:rsidRPr="00764DA1">
        <w:rPr>
          <w:rFonts w:eastAsia="Verdana" w:cs="Verdana"/>
        </w:rPr>
        <w:t xml:space="preserve"> a także najlepszą wiedzą Gwaranta oraz aktualnie obowiązującymi zasadami wiedzy technicznej i sztuki budowlanej. Wadę stanowi także wada w Dokumentach Wykonawcy. Zakłada się następującą klasyfikację wad: </w:t>
      </w:r>
    </w:p>
    <w:p w14:paraId="05DCD061" w14:textId="77777777" w:rsidR="00D8206C" w:rsidRPr="00764DA1" w:rsidRDefault="00D8206C" w:rsidP="00D8206C">
      <w:pPr>
        <w:pStyle w:val="Akapitzlist"/>
        <w:spacing w:before="80" w:after="0"/>
        <w:ind w:left="851" w:right="62" w:hanging="284"/>
        <w:jc w:val="both"/>
        <w:rPr>
          <w:rFonts w:eastAsia="Verdana" w:cs="Verdana"/>
        </w:rPr>
      </w:pPr>
      <w:r>
        <w:rPr>
          <w:rFonts w:eastAsia="Verdana" w:cs="Verdana"/>
        </w:rPr>
        <w:t xml:space="preserve">a) </w:t>
      </w:r>
      <w:r w:rsidRPr="00764DA1">
        <w:rPr>
          <w:rFonts w:eastAsia="Verdana" w:cs="Verdana"/>
        </w:rPr>
        <w:t>Wady istotne – czyniące rzecz niezdatną do zwykłego użytku, sprzeciwiającą się bezpośrednio lub pośrednio do określonego w Umowie użytku ze względu na brak cech umożliwiających jego bezpieczną eksploatację lub ograniczenie możliwości eksploatacji całości lub jakiejkolwiek części (wady usuwalne, wady nieusuwalne)</w:t>
      </w:r>
      <w:r>
        <w:rPr>
          <w:rFonts w:eastAsia="Verdana" w:cs="Verdana"/>
        </w:rPr>
        <w:t>,</w:t>
      </w:r>
    </w:p>
    <w:p w14:paraId="0332DDCD" w14:textId="77777777" w:rsidR="00D8206C" w:rsidRPr="00764DA1" w:rsidRDefault="00D8206C" w:rsidP="00D8206C">
      <w:pPr>
        <w:pStyle w:val="Akapitzlist"/>
        <w:spacing w:before="80" w:after="0"/>
        <w:ind w:left="851" w:right="62" w:hanging="284"/>
        <w:jc w:val="both"/>
        <w:rPr>
          <w:rFonts w:eastAsia="Verdana" w:cs="Verdana"/>
        </w:rPr>
      </w:pPr>
      <w:r>
        <w:rPr>
          <w:rFonts w:eastAsia="Verdana" w:cs="Verdana"/>
        </w:rPr>
        <w:t xml:space="preserve">b) </w:t>
      </w:r>
      <w:r w:rsidRPr="00764DA1">
        <w:rPr>
          <w:rFonts w:eastAsia="Verdana" w:cs="Verdana"/>
        </w:rPr>
        <w:t>Wady nieistotne – wady inne niż zakwalifikowane jako wady istotne z wyjątkiem wad zaliczanych do lit. c)</w:t>
      </w:r>
      <w:r>
        <w:rPr>
          <w:rFonts w:eastAsia="Verdana" w:cs="Verdana"/>
        </w:rPr>
        <w:t>,</w:t>
      </w:r>
    </w:p>
    <w:p w14:paraId="03D34C08" w14:textId="5173BCAA" w:rsidR="00363999" w:rsidRPr="008A5D94" w:rsidRDefault="00D8206C" w:rsidP="00D8206C">
      <w:pPr>
        <w:pStyle w:val="Akapitzlist"/>
        <w:spacing w:before="80" w:after="0"/>
        <w:ind w:left="567" w:right="63"/>
        <w:contextualSpacing w:val="0"/>
        <w:jc w:val="both"/>
        <w:rPr>
          <w:rFonts w:eastAsia="Verdana" w:cs="Verdana"/>
        </w:rPr>
      </w:pPr>
      <w:r>
        <w:rPr>
          <w:rFonts w:eastAsia="Verdana" w:cs="Verdana"/>
        </w:rPr>
        <w:t xml:space="preserve">c) </w:t>
      </w:r>
      <w:r w:rsidRPr="00764DA1">
        <w:rPr>
          <w:rFonts w:eastAsia="Verdana" w:cs="Verdana"/>
        </w:rPr>
        <w:t>Wady w Dokumentach Wykonawcy</w:t>
      </w:r>
      <w:r w:rsidR="00363999" w:rsidRPr="008A5D94">
        <w:rPr>
          <w:rFonts w:eastAsia="Verdana" w:cs="Verdana"/>
        </w:rPr>
        <w:t>.</w:t>
      </w:r>
    </w:p>
    <w:p w14:paraId="03D34C09" w14:textId="77777777" w:rsidR="009234EF" w:rsidRPr="008A5D94" w:rsidRDefault="009234EF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Zamawiający może dochodzić roszczeń z tytułu Gwarancji Jakości także po terminie określonym w punkcie 1.4 , jeżeli poinformował Gwaranta o wystąpieniu wady przed upływem tego terminu.</w:t>
      </w:r>
    </w:p>
    <w:p w14:paraId="03D34C0A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Ilekroć w postanowieniach jest mowa o „usunięciu Wady” należy przez to rozumieć również wymianę rzeczy wchodzącej w zakres Przedmiotu Umowy na nową, wolną od Wad.</w:t>
      </w:r>
    </w:p>
    <w:p w14:paraId="03D34C0C" w14:textId="77777777" w:rsidR="00363999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rPr>
          <w:rFonts w:eastAsia="Verdana"/>
          <w:szCs w:val="20"/>
        </w:rPr>
      </w:pPr>
      <w:bookmarkStart w:id="8" w:name="_Toc455047567"/>
      <w:bookmarkStart w:id="9" w:name="_Toc196292900"/>
      <w:r w:rsidRPr="008A5D94">
        <w:rPr>
          <w:rFonts w:eastAsia="Verdana"/>
          <w:szCs w:val="20"/>
        </w:rPr>
        <w:lastRenderedPageBreak/>
        <w:t>Obowiązki i uprawnienia Stron</w:t>
      </w:r>
      <w:bookmarkEnd w:id="8"/>
      <w:bookmarkEnd w:id="9"/>
      <w:r w:rsidRPr="008A5D94">
        <w:rPr>
          <w:rFonts w:eastAsia="Verdana"/>
          <w:szCs w:val="20"/>
        </w:rPr>
        <w:t xml:space="preserve"> </w:t>
      </w:r>
    </w:p>
    <w:p w14:paraId="03D34C0D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 przypadku ujawnienia jakiejkolwiek Wady w Przedmiocie Umowy Gwarant jest zobowiązany do: </w:t>
      </w:r>
    </w:p>
    <w:p w14:paraId="03D34C0E" w14:textId="77777777" w:rsidR="00363999" w:rsidRPr="008A5D94" w:rsidRDefault="00363999" w:rsidP="00661C26">
      <w:pPr>
        <w:numPr>
          <w:ilvl w:val="0"/>
          <w:numId w:val="20"/>
        </w:numPr>
        <w:spacing w:before="80" w:after="0"/>
        <w:ind w:left="993" w:right="63" w:hanging="426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terminowego spełnienia żądania Zamawiającego dotyczącego nieodpłatnego usunięcia Wady oraz trybu jej usunięcia, </w:t>
      </w:r>
    </w:p>
    <w:p w14:paraId="03D34C0F" w14:textId="77777777" w:rsidR="00363999" w:rsidRPr="008A5D94" w:rsidRDefault="00363999" w:rsidP="00661C26">
      <w:pPr>
        <w:numPr>
          <w:ilvl w:val="0"/>
          <w:numId w:val="20"/>
        </w:numPr>
        <w:spacing w:before="80" w:after="0"/>
        <w:ind w:left="993" w:right="63" w:hanging="426"/>
        <w:jc w:val="both"/>
        <w:rPr>
          <w:rFonts w:eastAsia="Verdana" w:cs="Verdana"/>
        </w:rPr>
      </w:pPr>
      <w:r w:rsidRPr="008A5D94">
        <w:rPr>
          <w:rFonts w:eastAsia="Verdana" w:cs="Verdana"/>
        </w:rPr>
        <w:t>terminowego spełnienia żądania Zamawiającego dotyczącego nieodpłatnej wymiany rzeczy na wolną od Wad oraz trybu jej wymiany.</w:t>
      </w:r>
    </w:p>
    <w:p w14:paraId="03D34C10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 przypadku ujawnienia jakiejkolwiek Wady w Przedmiocie Umowy, Zamawiający jest uprawniony do: </w:t>
      </w:r>
    </w:p>
    <w:p w14:paraId="2C70044A" w14:textId="13C776AE" w:rsidR="00B5053A" w:rsidRDefault="009234EF" w:rsidP="00B5053A">
      <w:pPr>
        <w:numPr>
          <w:ilvl w:val="0"/>
          <w:numId w:val="21"/>
        </w:numPr>
        <w:spacing w:before="80" w:after="0"/>
        <w:ind w:left="993" w:right="63" w:hanging="426"/>
        <w:jc w:val="both"/>
        <w:rPr>
          <w:rFonts w:eastAsia="Verdana" w:cs="Verdana"/>
        </w:rPr>
      </w:pPr>
      <w:r w:rsidRPr="008A5D94">
        <w:rPr>
          <w:rFonts w:eastAsia="Verdana" w:cs="Verdana"/>
        </w:rPr>
        <w:t>żądania nieodpłatnego usunięcia Wady, a w przypadku, gdy dana rzecz wchodząca w zakres Przedmiotu Umowy była już dwukrotnie naprawiana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>lub wymieniana – do żądania wymiany tej rzeczy lub jej części na nową, wolną od Wad;</w:t>
      </w:r>
    </w:p>
    <w:p w14:paraId="03D34C13" w14:textId="6CEC74A8" w:rsidR="00363999" w:rsidRPr="00B5053A" w:rsidRDefault="00B5053A" w:rsidP="00B5053A">
      <w:pPr>
        <w:numPr>
          <w:ilvl w:val="0"/>
          <w:numId w:val="21"/>
        </w:numPr>
        <w:spacing w:before="80" w:after="0"/>
        <w:ind w:left="993" w:right="63" w:hanging="426"/>
        <w:jc w:val="both"/>
        <w:rPr>
          <w:rFonts w:eastAsia="Verdana" w:cs="Verdana"/>
        </w:rPr>
      </w:pPr>
      <w:r w:rsidRPr="00B5053A">
        <w:rPr>
          <w:rFonts w:eastAsia="Verdana" w:cs="Verdana"/>
        </w:rPr>
        <w:t>wskazania trybu usunięcia Wady, lub po uprzednim wyznaczeniu Gwarantowi dodatkowego terminu na usunięcie Wad, do zlecenia usunięcia Wady podmiotowi trzeciemu, na wyłączny koszt i ryzyko Gwaranta bez potrzeby występowania</w:t>
      </w:r>
      <w:r w:rsidR="00DB477F">
        <w:rPr>
          <w:rFonts w:eastAsia="Verdana" w:cs="Verdana"/>
        </w:rPr>
        <w:br/>
      </w:r>
      <w:r w:rsidRPr="00B5053A">
        <w:rPr>
          <w:rFonts w:eastAsia="Verdana" w:cs="Verdana"/>
        </w:rPr>
        <w:t>o zastępczą zgodę Sądu, na co Gwarant wyraża zgodę, zgodnie z</w:t>
      </w:r>
      <w:r w:rsidR="00DB477F">
        <w:rPr>
          <w:rFonts w:eastAsia="Verdana" w:cs="Verdana"/>
        </w:rPr>
        <w:t xml:space="preserve"> </w:t>
      </w:r>
      <w:r w:rsidRPr="00B5053A">
        <w:rPr>
          <w:rFonts w:eastAsia="Verdana" w:cs="Verdana"/>
        </w:rPr>
        <w:t>pkt. 5.6.</w:t>
      </w:r>
    </w:p>
    <w:p w14:paraId="03D34C14" w14:textId="77777777" w:rsidR="00AF0120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jc w:val="both"/>
        <w:rPr>
          <w:rFonts w:eastAsia="Verdana"/>
          <w:szCs w:val="20"/>
        </w:rPr>
      </w:pPr>
      <w:bookmarkStart w:id="10" w:name="_Toc455047568"/>
      <w:bookmarkStart w:id="11" w:name="_Toc196292901"/>
      <w:r w:rsidRPr="008A5D94">
        <w:rPr>
          <w:rFonts w:eastAsia="Verdana"/>
          <w:szCs w:val="20"/>
        </w:rPr>
        <w:t>Upoważnienie Zamawiającego (pełnomocnictwo)</w:t>
      </w:r>
      <w:bookmarkEnd w:id="10"/>
      <w:bookmarkEnd w:id="11"/>
    </w:p>
    <w:p w14:paraId="03D34C15" w14:textId="1A34B5FE" w:rsidR="00AF0120" w:rsidRPr="008A5D94" w:rsidRDefault="00AF0120" w:rsidP="00AF0120">
      <w:pPr>
        <w:pStyle w:val="Akapitzlist"/>
        <w:spacing w:before="80" w:after="0"/>
        <w:ind w:left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Niezależnie od udzielonej </w:t>
      </w:r>
      <w:r w:rsidR="00B5053A">
        <w:rPr>
          <w:rFonts w:eastAsia="Verdana" w:cs="Verdana"/>
        </w:rPr>
        <w:t>G</w:t>
      </w:r>
      <w:r w:rsidRPr="008A5D94">
        <w:rPr>
          <w:rFonts w:eastAsia="Verdana" w:cs="Verdana"/>
        </w:rPr>
        <w:t xml:space="preserve">warancji, Gwarant niniejszym upoważnia Zamawiającego do wykonywania uprawnień z </w:t>
      </w:r>
      <w:r w:rsidR="00B5053A">
        <w:rPr>
          <w:rFonts w:eastAsia="Verdana" w:cs="Verdana"/>
        </w:rPr>
        <w:t>G</w:t>
      </w:r>
      <w:r w:rsidRPr="008A5D94">
        <w:rPr>
          <w:rFonts w:eastAsia="Verdana" w:cs="Verdana"/>
        </w:rPr>
        <w:t xml:space="preserve">warancji przysługujących Gwarantowi wobec podmiotów, wobec których Gwarantowi przysługują takie uprawnienia, tj. w szczególności wobec producentów urządzeń, </w:t>
      </w:r>
      <w:r w:rsidR="00855083" w:rsidRPr="008A5D94">
        <w:rPr>
          <w:rFonts w:eastAsia="Verdana" w:cs="Verdana"/>
        </w:rPr>
        <w:t>P</w:t>
      </w:r>
      <w:r w:rsidRPr="008A5D94">
        <w:rPr>
          <w:rFonts w:eastAsia="Verdana" w:cs="Verdana"/>
        </w:rPr>
        <w:t>odwykonawców.</w:t>
      </w:r>
    </w:p>
    <w:p w14:paraId="03D34C16" w14:textId="77777777" w:rsidR="00363999" w:rsidRPr="008A5D94" w:rsidRDefault="00363999" w:rsidP="00363999">
      <w:pPr>
        <w:spacing w:before="80" w:after="0"/>
        <w:ind w:left="567" w:right="63"/>
        <w:jc w:val="both"/>
        <w:rPr>
          <w:rFonts w:eastAsia="Verdana" w:cs="Verdana"/>
        </w:rPr>
      </w:pPr>
    </w:p>
    <w:p w14:paraId="03D34C17" w14:textId="77777777" w:rsidR="00363999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jc w:val="both"/>
        <w:rPr>
          <w:rFonts w:eastAsia="Verdana"/>
          <w:szCs w:val="20"/>
        </w:rPr>
      </w:pPr>
      <w:bookmarkStart w:id="12" w:name="_Toc455047569"/>
      <w:bookmarkStart w:id="13" w:name="_Toc196292902"/>
      <w:r w:rsidRPr="008A5D94">
        <w:rPr>
          <w:rFonts w:eastAsia="Verdana"/>
          <w:szCs w:val="20"/>
        </w:rPr>
        <w:t>Komisyjne Przeglądy Gwarancyjne</w:t>
      </w:r>
      <w:bookmarkEnd w:id="12"/>
      <w:bookmarkEnd w:id="13"/>
      <w:r w:rsidRPr="008A5D94">
        <w:rPr>
          <w:rFonts w:eastAsia="Verdana"/>
          <w:szCs w:val="20"/>
        </w:rPr>
        <w:t xml:space="preserve"> </w:t>
      </w:r>
    </w:p>
    <w:p w14:paraId="03D34C18" w14:textId="4557C345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Komisyjne Przeglądy Gwarancyjne odbywać się będą według uznania Zamawiającego, nie rzadziej niż raz w roku i zawsze, kiedy Zamawiający uzna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>to za uzasadnione w okresie obowiązywania Gwarancji.</w:t>
      </w:r>
    </w:p>
    <w:p w14:paraId="03D34C19" w14:textId="1C33D11F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W przypadku Komisyjnych Przeglądów Gwarancyjnych, dla każdej grupy robót (w szczególności mostowa, drogowa, ochrona środowiska, instalacje), Zamawiający może przeprowadzić odrębne Komisyjne Przeglądy Gwarancyjne niekoniecznie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>w tym samym czasie.</w:t>
      </w:r>
    </w:p>
    <w:p w14:paraId="03D34C1A" w14:textId="2881FB7C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hanging="567"/>
        <w:contextualSpacing w:val="0"/>
        <w:jc w:val="both"/>
      </w:pPr>
      <w:r w:rsidRPr="008A5D94">
        <w:t xml:space="preserve">Datę, godzinę i miejsce dokonania Komisyjnego Przeglądu Gwarancyjnego dla każdej </w:t>
      </w:r>
      <w:r w:rsidR="009234EF" w:rsidRPr="008A5D94">
        <w:t>K</w:t>
      </w:r>
      <w:r w:rsidRPr="008A5D94">
        <w:t xml:space="preserve">omisji </w:t>
      </w:r>
      <w:r w:rsidR="009234EF" w:rsidRPr="008A5D94">
        <w:t>P</w:t>
      </w:r>
      <w:r w:rsidRPr="008A5D94">
        <w:t>rzegląd</w:t>
      </w:r>
      <w:r w:rsidR="009234EF" w:rsidRPr="008A5D94">
        <w:t>u Gwarancyjnego</w:t>
      </w:r>
      <w:r w:rsidRPr="008A5D94">
        <w:t xml:space="preserve"> wyznacza Zamawiający, zawiadamiając</w:t>
      </w:r>
      <w:r w:rsidR="00DB477F">
        <w:br/>
      </w:r>
      <w:r w:rsidRPr="008A5D94">
        <w:t xml:space="preserve">o nim Gwaranta na piśmie, z co najmniej </w:t>
      </w:r>
      <w:r w:rsidR="00B5053A">
        <w:t>7</w:t>
      </w:r>
      <w:r w:rsidRPr="008A5D94">
        <w:t>-dniowym wyprzedzeniem. Gwarant</w:t>
      </w:r>
      <w:r w:rsidR="00DB477F">
        <w:br/>
      </w:r>
      <w:r w:rsidRPr="008A5D94">
        <w:t>jest obowiązany uczestniczyć w Komisyjnych Przeglądach Gwarancyjnych.</w:t>
      </w:r>
    </w:p>
    <w:p w14:paraId="03D34C1B" w14:textId="2400FC0D" w:rsidR="009234EF" w:rsidRPr="008A5D94" w:rsidRDefault="00B5053A" w:rsidP="008A5D94">
      <w:pPr>
        <w:pStyle w:val="Akapitzlist"/>
        <w:numPr>
          <w:ilvl w:val="1"/>
          <w:numId w:val="19"/>
        </w:numPr>
        <w:spacing w:before="80" w:after="0"/>
        <w:ind w:left="567" w:hanging="567"/>
        <w:contextualSpacing w:val="0"/>
        <w:jc w:val="both"/>
      </w:pPr>
      <w:r w:rsidRPr="008A5D94">
        <w:t>W skład każdej Komisji Przeglądu Gwarancyjnego będą wchodziły co najmniej dwie osoby wyznaczone przez Zamawiającego</w:t>
      </w:r>
      <w:r>
        <w:t>,</w:t>
      </w:r>
      <w:r w:rsidRPr="00BD0763">
        <w:t xml:space="preserve"> </w:t>
      </w:r>
      <w:r w:rsidRPr="008A5D94">
        <w:t>posiadające stosowne pełnomocnictwa</w:t>
      </w:r>
      <w:r w:rsidR="00DB477F">
        <w:br/>
      </w:r>
      <w:r w:rsidRPr="008A5D94">
        <w:t>do działania w jego imieniu oraz co najmniej dwie osoby wyznaczone przez Gwaranta, posiadające stosowne pełnomocnictwa do działania w jego imieniu.</w:t>
      </w:r>
    </w:p>
    <w:p w14:paraId="03D34C1C" w14:textId="71B7F1B9" w:rsidR="009234EF" w:rsidRPr="008A5D94" w:rsidRDefault="00B5053A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Na Gwarancie spoczywa obowiązek zabezpieczenia dokonania Komisyjnego Przeglądu Gwarancyjnego w okresie gwarancyjnym, tj. opracowanie</w:t>
      </w:r>
      <w:r>
        <w:rPr>
          <w:rFonts w:eastAsia="Verdana" w:cs="Verdana"/>
        </w:rPr>
        <w:t>,</w:t>
      </w:r>
      <w:r w:rsidRPr="008A5D94">
        <w:rPr>
          <w:rFonts w:eastAsia="Verdana" w:cs="Verdana"/>
        </w:rPr>
        <w:t xml:space="preserve"> uzgodnienie</w:t>
      </w:r>
      <w:r>
        <w:rPr>
          <w:rFonts w:eastAsia="Verdana" w:cs="Verdana"/>
        </w:rPr>
        <w:t xml:space="preserve"> i uzyskanie zatwierdzenia</w:t>
      </w:r>
      <w:r w:rsidRPr="008A5D94">
        <w:rPr>
          <w:rFonts w:eastAsia="Verdana" w:cs="Verdana"/>
        </w:rPr>
        <w:t xml:space="preserve"> Projektu czasowej organizacji ruchu </w:t>
      </w:r>
      <w:r w:rsidRPr="006E6FE4">
        <w:rPr>
          <w:rFonts w:eastAsia="Times New Roman"/>
        </w:rPr>
        <w:t>opracowanego</w:t>
      </w:r>
      <w:r w:rsidR="00DB477F">
        <w:rPr>
          <w:rFonts w:eastAsia="Times New Roman"/>
        </w:rPr>
        <w:br/>
      </w:r>
      <w:r w:rsidRPr="006E6FE4">
        <w:rPr>
          <w:rFonts w:eastAsia="Times New Roman"/>
        </w:rPr>
        <w:t>na podstawie rys. V.19 – V.23 (przeglądy gwarancyjne) Załącznika nr 2</w:t>
      </w:r>
      <w:r w:rsidR="00DB477F">
        <w:rPr>
          <w:rFonts w:eastAsia="Times New Roman"/>
        </w:rPr>
        <w:br/>
      </w:r>
      <w:r w:rsidRPr="006E6FE4">
        <w:rPr>
          <w:rFonts w:eastAsia="Times New Roman"/>
        </w:rPr>
        <w:t>do Zarządzenia nr 18 Generalnego Dyrektora Dróg Krajowych i Autostrad z dnia</w:t>
      </w:r>
      <w:r w:rsidR="00DB477F">
        <w:rPr>
          <w:rFonts w:eastAsia="Times New Roman"/>
        </w:rPr>
        <w:br/>
      </w:r>
      <w:r w:rsidRPr="006E6FE4">
        <w:rPr>
          <w:rFonts w:eastAsia="Times New Roman"/>
        </w:rPr>
        <w:t>26 lipca 2022 w</w:t>
      </w:r>
      <w:r>
        <w:rPr>
          <w:rFonts w:eastAsia="Times New Roman"/>
        </w:rPr>
        <w:t> </w:t>
      </w:r>
      <w:r w:rsidRPr="006E6FE4">
        <w:rPr>
          <w:rFonts w:eastAsia="Times New Roman"/>
        </w:rPr>
        <w:t xml:space="preserve">sprawie typowych schematów oznakowania robót oraz pomiarów </w:t>
      </w:r>
      <w:r w:rsidRPr="006E6FE4">
        <w:rPr>
          <w:rFonts w:eastAsia="Times New Roman"/>
        </w:rPr>
        <w:lastRenderedPageBreak/>
        <w:t>diagnostycznych prowadzonych w pasie drogowym</w:t>
      </w:r>
      <w:r w:rsidRPr="006E6FE4">
        <w:rPr>
          <w:rFonts w:eastAsia="Times New Roman"/>
          <w:bCs/>
        </w:rPr>
        <w:t xml:space="preserve"> </w:t>
      </w:r>
      <w:r w:rsidRPr="008A5D94">
        <w:rPr>
          <w:rFonts w:eastAsia="Verdana" w:cs="Verdana"/>
        </w:rPr>
        <w:t>oraz montaż i demontaż oznakowania tymczasowego materiałem Gwaranta wraz z obsługą na czas przeglądu przez osoby do tego upoważnione, zapewnienia dostępu do przeglądania elementów konstrukcji i</w:t>
      </w:r>
      <w:r>
        <w:rPr>
          <w:rFonts w:eastAsia="Verdana" w:cs="Verdana"/>
        </w:rPr>
        <w:t> </w:t>
      </w:r>
      <w:r w:rsidRPr="008A5D94">
        <w:rPr>
          <w:rFonts w:eastAsia="Verdana" w:cs="Verdana"/>
        </w:rPr>
        <w:t>wyposażenia, w tym nieodpłatne zapewnienie urządzeń potrzebnych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>do dokonania przeglądu, takich jak w szczególności podnośnik koszowy (zwyżka)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>lub łódź wraz z</w:t>
      </w:r>
      <w:r>
        <w:rPr>
          <w:rFonts w:eastAsia="Verdana" w:cs="Verdana"/>
        </w:rPr>
        <w:t> </w:t>
      </w:r>
      <w:r w:rsidRPr="008A5D94">
        <w:rPr>
          <w:rFonts w:eastAsia="Verdana" w:cs="Verdana"/>
        </w:rPr>
        <w:t>uprawnionymi osobami do obsługi tych urządzeń</w:t>
      </w:r>
      <w:r w:rsidR="009234EF" w:rsidRPr="008A5D94">
        <w:rPr>
          <w:rFonts w:eastAsia="Verdana" w:cs="Verdana"/>
        </w:rPr>
        <w:t xml:space="preserve">. </w:t>
      </w:r>
    </w:p>
    <w:p w14:paraId="03D34C1D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Z każdego Komisyjnego Przeglądu Gwarancyjnego sporządzany będzie szczegółowy Protokół Komisyjnego Przeglądu Gwarancyjnego, w co najmniej dwóch egzemplarzach, po jednym dla Zamawiającego i dla Gwaranta. W przypadku nieobecności </w:t>
      </w:r>
      <w:r w:rsidR="005C5559" w:rsidRPr="008A5D94">
        <w:rPr>
          <w:rFonts w:eastAsia="Verdana" w:cs="Verdana"/>
        </w:rPr>
        <w:t xml:space="preserve">pełnomocników </w:t>
      </w:r>
      <w:r w:rsidRPr="008A5D94">
        <w:rPr>
          <w:rFonts w:eastAsia="Verdana" w:cs="Verdana"/>
        </w:rPr>
        <w:t>Gwaranta w komisji, Zamawiający niezwłocznie prześle Gwarantowi jeden egzemplarz Protokołu Komisyjnego Przeglądu Gwarancyjnego.</w:t>
      </w:r>
    </w:p>
    <w:p w14:paraId="03D34C1E" w14:textId="68B16795" w:rsidR="009234EF" w:rsidRPr="008A5D94" w:rsidRDefault="009234EF" w:rsidP="008A697D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 przypadku odmowy przez </w:t>
      </w:r>
      <w:r w:rsidR="005C5559" w:rsidRPr="008A5D94">
        <w:rPr>
          <w:rFonts w:eastAsia="Verdana" w:cs="Verdana"/>
        </w:rPr>
        <w:t xml:space="preserve">pełnomocników </w:t>
      </w:r>
      <w:r w:rsidRPr="008A5D94">
        <w:rPr>
          <w:rFonts w:eastAsia="Verdana" w:cs="Verdana"/>
        </w:rPr>
        <w:t>Gwaranta podpisania Protokołu Komisyjnego Przeglądu Gwarancyjnego, Zamawiający będzie uprawniony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 xml:space="preserve">do jednostronnego podpisania Protokołu Komisyjnego Przeglądu Gwarancyjnego, przy czym brak podpisania Protokołu przez Gwaranta nie będzie wywoływał żadnych ujemnych skutków dla ważności i skuteczności ustaleń dokonanych przez komisję przeglądową. Fakt odmowy złożenia podpisu przez </w:t>
      </w:r>
      <w:r w:rsidR="005C5559" w:rsidRPr="008A5D94">
        <w:rPr>
          <w:rFonts w:eastAsia="Verdana" w:cs="Verdana"/>
        </w:rPr>
        <w:t xml:space="preserve">pełnomocników </w:t>
      </w:r>
      <w:r w:rsidRPr="008A5D94">
        <w:rPr>
          <w:rFonts w:eastAsia="Verdana" w:cs="Verdana"/>
        </w:rPr>
        <w:t>Gwaranta zostanie odnotowany w Protokole Komisyjnego Przeglądu Gwarancyjnego</w:t>
      </w:r>
    </w:p>
    <w:p w14:paraId="03D34C1F" w14:textId="2E5B5456" w:rsidR="005C5559" w:rsidRPr="008A5D94" w:rsidRDefault="003D25F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5D086BF6">
        <w:rPr>
          <w:rFonts w:eastAsia="Verdana" w:cs="Verdana"/>
        </w:rPr>
        <w:t>Jeżeli Gwarant został prawidłowo zawiadomiony o terminie i miejscu dokonania Komisyjnego Przeglądu Gwarancyjnego, tj. zgodnie z punktem 4.3 niniejszej Części Ogólnej, niestawienie się jego pełnomocników nie będzie wywoływało żadnych ujemnych skutków dla ważności i skuteczności ustaleń dokonanych przez komisję przeglądową. Strony zgodnie potwierdzają, że w takim przypadku Zamawiający jest uprawniony do jednostronnego podpisania Protokołu Komisyjnego Przeglądu Gwarancyjnego, który zostanie niezwłocznie przesłany przez Zamawiającego</w:t>
      </w:r>
      <w:r w:rsidR="00DB477F">
        <w:rPr>
          <w:rFonts w:eastAsia="Verdana" w:cs="Verdana"/>
        </w:rPr>
        <w:br/>
      </w:r>
      <w:r w:rsidRPr="5D086BF6">
        <w:rPr>
          <w:rFonts w:eastAsia="Verdana" w:cs="Verdana"/>
        </w:rPr>
        <w:t>do Gwaranta zgodnie z zasadami określonymi w punkcie 6.</w:t>
      </w:r>
      <w:r>
        <w:t xml:space="preserve"> </w:t>
      </w:r>
      <w:r w:rsidRPr="5D086BF6">
        <w:rPr>
          <w:rFonts w:eastAsia="Verdana" w:cs="Verdana"/>
        </w:rPr>
        <w:t>Brak podpisania Protokołu przez Gwaranta nie będzie wywoływał żadnych ujemnych skutków</w:t>
      </w:r>
      <w:r w:rsidR="00DB477F">
        <w:rPr>
          <w:rFonts w:eastAsia="Verdana" w:cs="Verdana"/>
        </w:rPr>
        <w:br/>
      </w:r>
      <w:r w:rsidRPr="5D086BF6">
        <w:rPr>
          <w:rFonts w:eastAsia="Verdana" w:cs="Verdana"/>
        </w:rPr>
        <w:t>dla ważności i skuteczności ustaleń dokonanych przez komisję przeglądową</w:t>
      </w:r>
      <w:r w:rsidR="005C5559" w:rsidRPr="008A5D94">
        <w:rPr>
          <w:rFonts w:eastAsia="Verdana" w:cs="Verdana"/>
        </w:rPr>
        <w:t>.</w:t>
      </w:r>
    </w:p>
    <w:p w14:paraId="03D34C20" w14:textId="493D9AFA" w:rsidR="00363999" w:rsidRPr="008A5D94" w:rsidRDefault="003D25F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F158BC">
        <w:rPr>
          <w:rFonts w:eastAsia="Verdana" w:cs="Verdana"/>
        </w:rPr>
        <w:t xml:space="preserve">W przypadku niestawiennictwa pełnomocników Gwaranta w komisji w miejscu dokonania Komisyjnego Przeglądu Gwarancyjnego lub niewypełnienie przez Gwaranta innych zobowiązań określonych w niniejszej </w:t>
      </w:r>
      <w:r>
        <w:rPr>
          <w:rFonts w:eastAsia="Verdana" w:cs="Verdana"/>
        </w:rPr>
        <w:t>G</w:t>
      </w:r>
      <w:r w:rsidRPr="00F158BC">
        <w:rPr>
          <w:rFonts w:eastAsia="Verdana" w:cs="Verdana"/>
        </w:rPr>
        <w:t xml:space="preserve">warancji, jeżeli na skutek tego nie będzie możliwe wykonanie przeglądu, Zamawiający, po uprzednim wyznaczeniu Gwarantowi dodatkowego terminu, będzie uprawniony do zlecenia wykonania przeglądu lub wykonania innych zobowiązań określonych w niniejszej </w:t>
      </w:r>
      <w:r>
        <w:rPr>
          <w:rFonts w:eastAsia="Verdana" w:cs="Verdana"/>
        </w:rPr>
        <w:t>G</w:t>
      </w:r>
      <w:r w:rsidRPr="00F158BC">
        <w:rPr>
          <w:rFonts w:eastAsia="Verdana" w:cs="Verdana"/>
        </w:rPr>
        <w:t>warancji</w:t>
      </w:r>
      <w:r w:rsidRPr="00357A29">
        <w:t xml:space="preserve"> </w:t>
      </w:r>
      <w:r w:rsidRPr="00F158BC">
        <w:rPr>
          <w:rFonts w:eastAsia="Verdana" w:cs="Verdana"/>
        </w:rPr>
        <w:t xml:space="preserve">podmiotowi trzeciemu bez konieczności uzyskiwania zgody sądu, na koszt </w:t>
      </w:r>
      <w:r>
        <w:rPr>
          <w:rFonts w:eastAsia="Verdana" w:cs="Verdana"/>
        </w:rPr>
        <w:br/>
      </w:r>
      <w:r w:rsidRPr="00F158BC">
        <w:rPr>
          <w:rFonts w:eastAsia="Verdana" w:cs="Verdana"/>
        </w:rPr>
        <w:t>i ryzyko Gwaranta</w:t>
      </w:r>
      <w:r w:rsidR="00363999" w:rsidRPr="008A5D94">
        <w:rPr>
          <w:rFonts w:eastAsia="Verdana" w:cs="Verdana"/>
        </w:rPr>
        <w:t>.</w:t>
      </w:r>
    </w:p>
    <w:p w14:paraId="03D34C21" w14:textId="77777777" w:rsidR="00363999" w:rsidRPr="008A5D94" w:rsidRDefault="00363999" w:rsidP="00363999">
      <w:pPr>
        <w:pStyle w:val="Akapitzlist"/>
        <w:spacing w:before="80" w:after="0"/>
        <w:ind w:left="567" w:right="63"/>
        <w:contextualSpacing w:val="0"/>
        <w:jc w:val="both"/>
        <w:rPr>
          <w:rFonts w:eastAsia="Verdana" w:cs="Verdana"/>
        </w:rPr>
      </w:pPr>
    </w:p>
    <w:p w14:paraId="03D34C22" w14:textId="77777777" w:rsidR="00363999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rPr>
          <w:rFonts w:eastAsia="Verdana"/>
          <w:szCs w:val="20"/>
        </w:rPr>
      </w:pPr>
      <w:bookmarkStart w:id="14" w:name="_Toc455047570"/>
      <w:bookmarkStart w:id="15" w:name="_Toc196292903"/>
      <w:r w:rsidRPr="008A5D94">
        <w:rPr>
          <w:rFonts w:eastAsia="Verdana"/>
          <w:szCs w:val="20"/>
        </w:rPr>
        <w:t>Tryb usuwania Wad</w:t>
      </w:r>
      <w:bookmarkEnd w:id="14"/>
      <w:bookmarkEnd w:id="15"/>
    </w:p>
    <w:p w14:paraId="03D34C23" w14:textId="3095A4C9" w:rsidR="00363999" w:rsidRDefault="00363999" w:rsidP="00661C26">
      <w:pPr>
        <w:pStyle w:val="Akapitzlist"/>
        <w:numPr>
          <w:ilvl w:val="1"/>
          <w:numId w:val="25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Gwarant obowiązany jest rozpocząć usuwanie ujawnionej Wady według przedstawionych w tabeli 1 wymagań technicznych oraz czasowych:</w:t>
      </w:r>
    </w:p>
    <w:p w14:paraId="03D34C24" w14:textId="00BF3339" w:rsidR="00363999" w:rsidRDefault="00363999" w:rsidP="00363999">
      <w:pPr>
        <w:tabs>
          <w:tab w:val="left" w:pos="1134"/>
        </w:tabs>
        <w:spacing w:before="80" w:after="0"/>
        <w:ind w:left="-5" w:right="63" w:hanging="10"/>
        <w:jc w:val="both"/>
        <w:rPr>
          <w:rFonts w:eastAsia="Verdana" w:cs="Verdana"/>
        </w:rPr>
      </w:pPr>
      <w:r w:rsidRPr="008A5D94">
        <w:rPr>
          <w:rFonts w:eastAsia="Verdana" w:cs="Verdana"/>
        </w:rPr>
        <w:t>Tabela 1.</w:t>
      </w:r>
      <w:r w:rsidRPr="008A5D94">
        <w:rPr>
          <w:rFonts w:eastAsia="Verdana" w:cs="Verdana"/>
        </w:rPr>
        <w:tab/>
        <w:t>Wymagania techniczne oraz czasowe dla usuwania Wad.</w:t>
      </w:r>
    </w:p>
    <w:p w14:paraId="33A7347E" w14:textId="77777777" w:rsidR="00DB477F" w:rsidRPr="008A5D94" w:rsidRDefault="00DB477F" w:rsidP="00363999">
      <w:pPr>
        <w:tabs>
          <w:tab w:val="left" w:pos="1134"/>
        </w:tabs>
        <w:spacing w:before="80" w:after="0"/>
        <w:ind w:left="-5" w:right="63" w:hanging="10"/>
        <w:jc w:val="both"/>
        <w:rPr>
          <w:rFonts w:eastAsia="Verdana" w:cs="Verdana"/>
        </w:rPr>
      </w:pPr>
    </w:p>
    <w:tbl>
      <w:tblPr>
        <w:tblStyle w:val="Siatkatabelijasna1"/>
        <w:tblW w:w="959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110"/>
        <w:gridCol w:w="3779"/>
      </w:tblGrid>
      <w:tr w:rsidR="00363999" w:rsidRPr="008A5D94" w14:paraId="03D34C28" w14:textId="77777777" w:rsidTr="00B951AA">
        <w:trPr>
          <w:cantSplit/>
          <w:trHeight w:val="239"/>
        </w:trPr>
        <w:tc>
          <w:tcPr>
            <w:tcW w:w="1702" w:type="dxa"/>
            <w:vAlign w:val="center"/>
          </w:tcPr>
          <w:p w14:paraId="03D34C25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Klasyfikacja Wad</w:t>
            </w:r>
          </w:p>
        </w:tc>
        <w:tc>
          <w:tcPr>
            <w:tcW w:w="4110" w:type="dxa"/>
            <w:vAlign w:val="center"/>
          </w:tcPr>
          <w:p w14:paraId="03D34C26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Reakcja Gwaranta</w:t>
            </w:r>
          </w:p>
        </w:tc>
        <w:tc>
          <w:tcPr>
            <w:tcW w:w="3779" w:type="dxa"/>
            <w:vAlign w:val="center"/>
          </w:tcPr>
          <w:p w14:paraId="03D34C27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 xml:space="preserve">Wymagany czas reakcji </w:t>
            </w:r>
          </w:p>
        </w:tc>
      </w:tr>
      <w:tr w:rsidR="00363999" w:rsidRPr="008A5D94" w14:paraId="03D34C2D" w14:textId="77777777" w:rsidTr="00B951AA">
        <w:trPr>
          <w:cantSplit/>
          <w:trHeight w:val="378"/>
        </w:trPr>
        <w:tc>
          <w:tcPr>
            <w:tcW w:w="1702" w:type="dxa"/>
            <w:vMerge w:val="restart"/>
            <w:vAlign w:val="center"/>
          </w:tcPr>
          <w:p w14:paraId="03D34C2A" w14:textId="093EB3B0" w:rsidR="00363999" w:rsidRPr="008A5D94" w:rsidRDefault="00363999" w:rsidP="003D25F9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Wady Istotne</w:t>
            </w:r>
          </w:p>
        </w:tc>
        <w:tc>
          <w:tcPr>
            <w:tcW w:w="4110" w:type="dxa"/>
            <w:vAlign w:val="center"/>
          </w:tcPr>
          <w:p w14:paraId="03D34C2B" w14:textId="05EC36C5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1) Potwierdzenie przyjęcia powiadomienia o wystąpieniu Wady i określenie</w:t>
            </w:r>
            <w:r w:rsidR="003D25F9">
              <w:rPr>
                <w:rFonts w:eastAsia="Verdana" w:cs="Verdana"/>
                <w:sz w:val="18"/>
              </w:rPr>
              <w:t xml:space="preserve"> przez Gwaranta</w:t>
            </w:r>
            <w:r w:rsidRPr="008A5D94">
              <w:rPr>
                <w:rFonts w:eastAsia="Verdana" w:cs="Verdana"/>
                <w:sz w:val="18"/>
              </w:rPr>
              <w:t xml:space="preserve"> sposobu usunięcia Wady</w:t>
            </w:r>
          </w:p>
        </w:tc>
        <w:tc>
          <w:tcPr>
            <w:tcW w:w="3779" w:type="dxa"/>
            <w:vAlign w:val="center"/>
          </w:tcPr>
          <w:p w14:paraId="03D34C2C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Do 24 h od chwili powiadomienia o wystąpieniu Wady</w:t>
            </w:r>
          </w:p>
        </w:tc>
      </w:tr>
      <w:tr w:rsidR="00363999" w:rsidRPr="008A5D94" w14:paraId="03D34C31" w14:textId="77777777" w:rsidTr="00B951AA">
        <w:trPr>
          <w:cantSplit/>
          <w:trHeight w:val="385"/>
        </w:trPr>
        <w:tc>
          <w:tcPr>
            <w:tcW w:w="1702" w:type="dxa"/>
            <w:vMerge/>
            <w:vAlign w:val="center"/>
          </w:tcPr>
          <w:p w14:paraId="03D34C2E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</w:p>
        </w:tc>
        <w:tc>
          <w:tcPr>
            <w:tcW w:w="4110" w:type="dxa"/>
            <w:vAlign w:val="center"/>
          </w:tcPr>
          <w:p w14:paraId="03D34C2F" w14:textId="23CC7B88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 xml:space="preserve">2) </w:t>
            </w:r>
            <w:r w:rsidR="00D63F41" w:rsidRPr="5D086BF6">
              <w:rPr>
                <w:rFonts w:eastAsia="Verdana" w:cs="Verdana"/>
                <w:sz w:val="18"/>
                <w:szCs w:val="18"/>
              </w:rPr>
              <w:t>Zapewnienie dostępności do drogi i jej przejezdności, a także wyeliminowanie lub zabezpieczenie czynników zagrażających życiu i zdrowiu</w:t>
            </w:r>
          </w:p>
        </w:tc>
        <w:tc>
          <w:tcPr>
            <w:tcW w:w="3779" w:type="dxa"/>
            <w:vAlign w:val="center"/>
          </w:tcPr>
          <w:p w14:paraId="03D34C30" w14:textId="25B005AE" w:rsidR="00363999" w:rsidRPr="008A5D94" w:rsidRDefault="00D63F41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5D086BF6">
              <w:rPr>
                <w:rFonts w:eastAsia="Verdana" w:cs="Verdana"/>
                <w:sz w:val="18"/>
                <w:szCs w:val="18"/>
              </w:rPr>
              <w:t>Do 72 h od chwili powiadomienia</w:t>
            </w:r>
            <w:r w:rsidRPr="5D086BF6">
              <w:rPr>
                <w:sz w:val="18"/>
                <w:szCs w:val="18"/>
              </w:rPr>
              <w:t xml:space="preserve"> </w:t>
            </w:r>
            <w:r w:rsidRPr="5D086BF6">
              <w:rPr>
                <w:rFonts w:eastAsia="Verdana" w:cs="Verdana"/>
                <w:sz w:val="18"/>
                <w:szCs w:val="18"/>
              </w:rPr>
              <w:t>o wystąpieniu Wady a w przypadku wad zagrażających życiu i zdrowiu niezwłocznie po otrzymaniu zawiadomienia i nie później niż 24h</w:t>
            </w:r>
          </w:p>
        </w:tc>
      </w:tr>
      <w:tr w:rsidR="00363999" w:rsidRPr="008A5D94" w14:paraId="03D34C35" w14:textId="77777777" w:rsidTr="00B951AA">
        <w:trPr>
          <w:cantSplit/>
          <w:trHeight w:val="648"/>
        </w:trPr>
        <w:tc>
          <w:tcPr>
            <w:tcW w:w="1702" w:type="dxa"/>
            <w:vMerge/>
            <w:vAlign w:val="center"/>
          </w:tcPr>
          <w:p w14:paraId="03D34C32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</w:p>
        </w:tc>
        <w:tc>
          <w:tcPr>
            <w:tcW w:w="4110" w:type="dxa"/>
            <w:vAlign w:val="center"/>
          </w:tcPr>
          <w:p w14:paraId="03D34C33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3) Całkowite usunięcie Wady</w:t>
            </w:r>
          </w:p>
        </w:tc>
        <w:tc>
          <w:tcPr>
            <w:tcW w:w="3779" w:type="dxa"/>
            <w:vAlign w:val="center"/>
          </w:tcPr>
          <w:p w14:paraId="03D34C34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Zgodnie ze wskazanym przez Zamawiającego w powiadomieniu o wystąpieniu Wady terminem na usunięcie Wady</w:t>
            </w:r>
          </w:p>
        </w:tc>
      </w:tr>
      <w:tr w:rsidR="00363999" w:rsidRPr="008A5D94" w14:paraId="03D34C3A" w14:textId="77777777" w:rsidTr="00B951AA">
        <w:trPr>
          <w:cantSplit/>
          <w:trHeight w:val="378"/>
        </w:trPr>
        <w:tc>
          <w:tcPr>
            <w:tcW w:w="1702" w:type="dxa"/>
            <w:vMerge w:val="restart"/>
            <w:vAlign w:val="center"/>
          </w:tcPr>
          <w:p w14:paraId="03D34C37" w14:textId="10F69BF6" w:rsidR="00363999" w:rsidRPr="008A5D94" w:rsidRDefault="00363999" w:rsidP="00D63F41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sz w:val="18"/>
              </w:rPr>
              <w:br w:type="page"/>
            </w:r>
            <w:r w:rsidRPr="008A5D94">
              <w:rPr>
                <w:rFonts w:eastAsia="Verdana" w:cs="Verdana"/>
                <w:sz w:val="18"/>
              </w:rPr>
              <w:t>Wady Nieistotne</w:t>
            </w:r>
          </w:p>
        </w:tc>
        <w:tc>
          <w:tcPr>
            <w:tcW w:w="4110" w:type="dxa"/>
            <w:vAlign w:val="center"/>
          </w:tcPr>
          <w:p w14:paraId="03D34C38" w14:textId="0DB3731E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 xml:space="preserve">1) </w:t>
            </w:r>
            <w:r w:rsidR="00D63F41" w:rsidRPr="008A5D94">
              <w:rPr>
                <w:rFonts w:eastAsia="Verdana" w:cs="Verdana"/>
                <w:sz w:val="18"/>
              </w:rPr>
              <w:t>Potwierdzenie przyjęcia powiadomienia o wystąpieniu Wady i określenie</w:t>
            </w:r>
            <w:r w:rsidR="00D63F41">
              <w:rPr>
                <w:rFonts w:eastAsia="Verdana" w:cs="Verdana"/>
                <w:sz w:val="18"/>
              </w:rPr>
              <w:t xml:space="preserve"> przez Gwaranta </w:t>
            </w:r>
            <w:r w:rsidR="00D63F41" w:rsidRPr="008A5D94">
              <w:rPr>
                <w:rFonts w:eastAsia="Verdana" w:cs="Verdana"/>
                <w:sz w:val="18"/>
              </w:rPr>
              <w:t>sposobu usunięcia Wady</w:t>
            </w:r>
          </w:p>
        </w:tc>
        <w:tc>
          <w:tcPr>
            <w:tcW w:w="3779" w:type="dxa"/>
            <w:vAlign w:val="center"/>
          </w:tcPr>
          <w:p w14:paraId="03D34C39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Do 72 h od chwili powiadomienia</w:t>
            </w:r>
            <w:r w:rsidRPr="008A5D94">
              <w:rPr>
                <w:sz w:val="18"/>
              </w:rPr>
              <w:t xml:space="preserve"> </w:t>
            </w:r>
            <w:r w:rsidRPr="008A5D94">
              <w:rPr>
                <w:rFonts w:eastAsia="Verdana" w:cs="Verdana"/>
                <w:sz w:val="18"/>
              </w:rPr>
              <w:t>o wystąpieniu Wady</w:t>
            </w:r>
          </w:p>
        </w:tc>
      </w:tr>
      <w:tr w:rsidR="00363999" w:rsidRPr="008A5D94" w14:paraId="03D34C3E" w14:textId="77777777" w:rsidTr="00B951AA">
        <w:trPr>
          <w:cantSplit/>
          <w:trHeight w:val="641"/>
        </w:trPr>
        <w:tc>
          <w:tcPr>
            <w:tcW w:w="1702" w:type="dxa"/>
            <w:vMerge/>
            <w:vAlign w:val="center"/>
          </w:tcPr>
          <w:p w14:paraId="03D34C3B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</w:p>
        </w:tc>
        <w:tc>
          <w:tcPr>
            <w:tcW w:w="4110" w:type="dxa"/>
            <w:vAlign w:val="center"/>
          </w:tcPr>
          <w:p w14:paraId="03D34C3C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2) Całkowite usunięcie Wady</w:t>
            </w:r>
          </w:p>
        </w:tc>
        <w:tc>
          <w:tcPr>
            <w:tcW w:w="3779" w:type="dxa"/>
            <w:vAlign w:val="center"/>
          </w:tcPr>
          <w:p w14:paraId="03D34C3D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Zgodnie ze wskazanym przez Zamawiającego w powiadomieniu o wystąpieniu Wady terminem na usunięcie Wady</w:t>
            </w:r>
          </w:p>
        </w:tc>
      </w:tr>
      <w:tr w:rsidR="00363999" w:rsidRPr="008A5D94" w14:paraId="03D34C43" w14:textId="77777777" w:rsidTr="00B951AA">
        <w:trPr>
          <w:cantSplit/>
          <w:trHeight w:val="1116"/>
        </w:trPr>
        <w:tc>
          <w:tcPr>
            <w:tcW w:w="1702" w:type="dxa"/>
            <w:vAlign w:val="center"/>
          </w:tcPr>
          <w:p w14:paraId="03D34C40" w14:textId="6A6E5DB0" w:rsidR="00363999" w:rsidRPr="008A5D94" w:rsidRDefault="00363999" w:rsidP="00D63F41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Wady w Dokumentach Wykonawcy</w:t>
            </w:r>
          </w:p>
        </w:tc>
        <w:tc>
          <w:tcPr>
            <w:tcW w:w="4110" w:type="dxa"/>
            <w:vAlign w:val="center"/>
          </w:tcPr>
          <w:p w14:paraId="03D34C41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Usunięcie Wady</w:t>
            </w:r>
          </w:p>
        </w:tc>
        <w:tc>
          <w:tcPr>
            <w:tcW w:w="3779" w:type="dxa"/>
            <w:vAlign w:val="center"/>
          </w:tcPr>
          <w:p w14:paraId="03D34C42" w14:textId="77777777" w:rsidR="00363999" w:rsidRPr="008A5D94" w:rsidRDefault="00363999" w:rsidP="00BD40BF">
            <w:pPr>
              <w:spacing w:before="80" w:after="0"/>
              <w:ind w:left="11" w:right="68" w:hanging="11"/>
              <w:jc w:val="center"/>
              <w:rPr>
                <w:rFonts w:eastAsia="Verdana" w:cs="Verdana"/>
                <w:sz w:val="18"/>
              </w:rPr>
            </w:pPr>
            <w:r w:rsidRPr="008A5D94">
              <w:rPr>
                <w:rFonts w:eastAsia="Verdana" w:cs="Verdana"/>
                <w:sz w:val="18"/>
              </w:rPr>
              <w:t>Zgodnie ze wskazanym przez Zamawiającego w powiadomieniu o wystąpieniu Wady terminem na usunięcie Wady</w:t>
            </w:r>
          </w:p>
        </w:tc>
      </w:tr>
    </w:tbl>
    <w:p w14:paraId="03D34C44" w14:textId="77777777" w:rsidR="00363999" w:rsidRPr="008A5D94" w:rsidRDefault="00363999" w:rsidP="00363999">
      <w:pPr>
        <w:pStyle w:val="Akapitzlist"/>
        <w:spacing w:before="80" w:after="0"/>
        <w:ind w:left="567" w:right="62"/>
        <w:contextualSpacing w:val="0"/>
        <w:jc w:val="both"/>
        <w:rPr>
          <w:rFonts w:eastAsia="Verdana" w:cs="Verdana"/>
        </w:rPr>
      </w:pPr>
    </w:p>
    <w:p w14:paraId="03D34C45" w14:textId="77777777" w:rsidR="00363999" w:rsidRPr="008A5D94" w:rsidRDefault="00363999" w:rsidP="00661C26">
      <w:pPr>
        <w:pStyle w:val="Akapitzlist"/>
        <w:numPr>
          <w:ilvl w:val="1"/>
          <w:numId w:val="25"/>
        </w:numPr>
        <w:spacing w:before="80" w:after="0"/>
        <w:ind w:left="567" w:right="62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Zamawiający, uprawniony jest po przedłożeniu przez Gwaranta pisemnego uzasadnienia, do zmiany terminów wskazanych w punkcie 5.1 niniejszej Części Ogólnej, uwzględniając technologię usuwania Wady, zasady wiedzy technicznej i warunki klimatyczne.</w:t>
      </w:r>
    </w:p>
    <w:p w14:paraId="03D34C46" w14:textId="77777777" w:rsidR="00363999" w:rsidRPr="008A5D94" w:rsidRDefault="00363999" w:rsidP="00661C26">
      <w:pPr>
        <w:pStyle w:val="Akapitzlist"/>
        <w:numPr>
          <w:ilvl w:val="1"/>
          <w:numId w:val="25"/>
        </w:numPr>
        <w:spacing w:before="80" w:after="0"/>
        <w:ind w:left="567" w:right="62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Stwierdzenie usunięcia Wady nastąpi z chwilą niezwłocznego podpisania przez obie Strony Protokołu Odbioru Prac z usuwania Wady. W Protokole Strony potwierdzą także termin usunięcia Wady. W przypadku braku możliwości podpisania protokołu w dniu, w którym dokonano usunięcia Wady, należy </w:t>
      </w:r>
      <w:r w:rsidR="00E233BC" w:rsidRPr="008A5D94">
        <w:rPr>
          <w:rFonts w:eastAsia="Verdana" w:cs="Verdana"/>
        </w:rPr>
        <w:t>w p</w:t>
      </w:r>
      <w:r w:rsidR="005C5559" w:rsidRPr="008A5D94">
        <w:rPr>
          <w:rFonts w:eastAsia="Verdana" w:cs="Verdana"/>
        </w:rPr>
        <w:t xml:space="preserve">rotokole podpisanym </w:t>
      </w:r>
      <w:r w:rsidR="005E0823">
        <w:rPr>
          <w:rFonts w:eastAsia="Verdana" w:cs="Verdana"/>
        </w:rPr>
        <w:t>w </w:t>
      </w:r>
      <w:r w:rsidR="005C5559" w:rsidRPr="008A5D94">
        <w:rPr>
          <w:rFonts w:eastAsia="Verdana" w:cs="Verdana"/>
        </w:rPr>
        <w:t>późniejszym terminie podać faktyczną datę usunięcia Wady.</w:t>
      </w:r>
    </w:p>
    <w:p w14:paraId="03D34C47" w14:textId="403A5B3C" w:rsidR="00363999" w:rsidRPr="008A5D94" w:rsidRDefault="00B31EDC" w:rsidP="00661C26">
      <w:pPr>
        <w:pStyle w:val="Akapitzlist"/>
        <w:numPr>
          <w:ilvl w:val="1"/>
          <w:numId w:val="25"/>
        </w:numPr>
        <w:spacing w:before="80" w:after="0"/>
        <w:ind w:left="567" w:right="62" w:hanging="567"/>
        <w:contextualSpacing w:val="0"/>
        <w:jc w:val="both"/>
        <w:rPr>
          <w:rFonts w:eastAsia="Verdana" w:cs="Verdana"/>
        </w:rPr>
      </w:pPr>
      <w:r w:rsidRPr="5D086BF6">
        <w:rPr>
          <w:rFonts w:eastAsia="Verdana" w:cs="Verdana"/>
        </w:rPr>
        <w:t>Jeżeli Gwarant nie wypełni obowiązku usunięcia Wady w uzgodnionym terminie, Zamawiający, po uprzednim wyznaczeniu Gwarantowi dodatkowego terminu</w:t>
      </w:r>
      <w:r w:rsidR="00DB477F">
        <w:rPr>
          <w:rFonts w:eastAsia="Verdana" w:cs="Verdana"/>
        </w:rPr>
        <w:br/>
      </w:r>
      <w:r w:rsidRPr="5D086BF6">
        <w:rPr>
          <w:rFonts w:eastAsia="Verdana" w:cs="Verdana"/>
        </w:rPr>
        <w:t xml:space="preserve">na usunięcie Wad, uprawniony będzie do zlecenia usunięcia Wady podmiotowi trzeciemu, na wyłączny koszt i ryzyko Gwaranta bez potrzeby występowania </w:t>
      </w:r>
      <w:r>
        <w:br/>
      </w:r>
      <w:r w:rsidRPr="5D086BF6">
        <w:rPr>
          <w:rFonts w:eastAsia="Verdana" w:cs="Verdana"/>
        </w:rPr>
        <w:t>o zastępczą zgodę Sądu, na co Gwarant wyraża zgodę</w:t>
      </w:r>
      <w:r w:rsidR="00363999" w:rsidRPr="008A5D94">
        <w:rPr>
          <w:rFonts w:eastAsia="Verdana" w:cs="Verdana"/>
        </w:rPr>
        <w:t>.</w:t>
      </w:r>
    </w:p>
    <w:p w14:paraId="03D34C48" w14:textId="77777777" w:rsidR="00363999" w:rsidRPr="008A5D94" w:rsidRDefault="00363999" w:rsidP="00661C26">
      <w:pPr>
        <w:pStyle w:val="Akapitzlist"/>
        <w:numPr>
          <w:ilvl w:val="1"/>
          <w:numId w:val="25"/>
        </w:numPr>
        <w:spacing w:before="80" w:after="0"/>
        <w:ind w:left="567" w:right="62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Gwarant jest odpowiedzialny za wszelkie szkody i straty, które spowodował w czasie prac nad usuwaniem Wad.</w:t>
      </w:r>
    </w:p>
    <w:p w14:paraId="03D34C4A" w14:textId="77777777" w:rsidR="00363999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rPr>
          <w:rFonts w:eastAsia="Verdana"/>
          <w:szCs w:val="20"/>
        </w:rPr>
      </w:pPr>
      <w:bookmarkStart w:id="16" w:name="_Toc455047571"/>
      <w:bookmarkStart w:id="17" w:name="_Toc196292904"/>
      <w:r w:rsidRPr="008A5D94">
        <w:rPr>
          <w:rFonts w:eastAsia="Verdana"/>
          <w:szCs w:val="20"/>
        </w:rPr>
        <w:t>Komunikacja</w:t>
      </w:r>
      <w:bookmarkEnd w:id="16"/>
      <w:bookmarkEnd w:id="17"/>
      <w:r w:rsidRPr="008A5D94">
        <w:rPr>
          <w:rFonts w:eastAsia="Verdana"/>
          <w:szCs w:val="20"/>
        </w:rPr>
        <w:t xml:space="preserve"> </w:t>
      </w:r>
    </w:p>
    <w:p w14:paraId="03D34C4B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Powiadomienia o wystąpieniu Wady dokonuje Zamawiający poprzez przekazanie odpowiedniej informacji osobie wskazanej przez Gwaranta.</w:t>
      </w:r>
    </w:p>
    <w:p w14:paraId="03D34C4C" w14:textId="6470DF24" w:rsidR="00363999" w:rsidRPr="008A5D94" w:rsidRDefault="00B31EDC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 powiadomieniu o wystąpieniu Wady, Zamawiający kwalifikuje kategorię Wady </w:t>
      </w:r>
      <w:r>
        <w:rPr>
          <w:rFonts w:eastAsia="Verdana" w:cs="Verdana"/>
        </w:rPr>
        <w:t xml:space="preserve">oraz wskazuje termin jej usunięcia zgodnie z pkt </w:t>
      </w:r>
      <w:r w:rsidRPr="008A5D94">
        <w:rPr>
          <w:rFonts w:eastAsia="Verdana" w:cs="Verdana"/>
        </w:rPr>
        <w:t>5.1</w:t>
      </w:r>
      <w:r>
        <w:rPr>
          <w:rFonts w:eastAsia="Verdana" w:cs="Verdana"/>
        </w:rPr>
        <w:t xml:space="preserve"> </w:t>
      </w:r>
      <w:r w:rsidRPr="008A5D94">
        <w:rPr>
          <w:rFonts w:eastAsia="Verdana" w:cs="Verdana"/>
        </w:rPr>
        <w:t>niniejszej Części Ogólnej</w:t>
      </w:r>
      <w:r w:rsidR="00363999" w:rsidRPr="008A5D94">
        <w:rPr>
          <w:rFonts w:eastAsia="Verdana" w:cs="Verdana"/>
        </w:rPr>
        <w:t>.</w:t>
      </w:r>
    </w:p>
    <w:p w14:paraId="03D34C4D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Wszelka komunikacja pomiędzy Stronami potwierdzona zostanie w formie pisemnej.</w:t>
      </w:r>
    </w:p>
    <w:p w14:paraId="03D34C4E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O wystąpieniu Wady stwierdzonej „ad hoc” lub podczas Komisyjnego Przeglądu Gwarancyjnego odbywającego się bez udziału przedstawicieli Gwaranta w komisji, osoba wyznaczona przez Zamawiającego powiadamia telefonicznie osobę wskazaną przez Gwaranta, a następnie potwierdza powiadomienie o wystąpieniu wady faksem </w:t>
      </w:r>
      <w:r w:rsidR="005C5559" w:rsidRPr="008A5D94">
        <w:rPr>
          <w:rFonts w:eastAsia="Verdana" w:cs="Verdana"/>
        </w:rPr>
        <w:lastRenderedPageBreak/>
        <w:t xml:space="preserve">lub </w:t>
      </w:r>
      <w:r w:rsidRPr="008A5D94">
        <w:rPr>
          <w:rFonts w:eastAsia="Verdana" w:cs="Verdana"/>
        </w:rPr>
        <w:t>pocztą elektroniczną na wskazane numery telefonów, numery faks i adresy</w:t>
      </w:r>
      <w:r w:rsidR="005C5559" w:rsidRPr="008A5D94">
        <w:rPr>
          <w:rFonts w:eastAsia="Verdana" w:cs="Verdana"/>
        </w:rPr>
        <w:t xml:space="preserve"> email</w:t>
      </w:r>
      <w:r w:rsidRPr="008A5D94">
        <w:rPr>
          <w:rFonts w:eastAsia="Verdana" w:cs="Verdana"/>
        </w:rPr>
        <w:t>. Potwierdzenie powiadomienia należy zachować dla celów dowodowych.</w:t>
      </w:r>
    </w:p>
    <w:p w14:paraId="03D34C4F" w14:textId="3BD2FD2D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W przypadku złożenia powiadomienia o wy</w:t>
      </w:r>
      <w:r w:rsidR="005E0823">
        <w:rPr>
          <w:rFonts w:eastAsia="Verdana" w:cs="Verdana"/>
        </w:rPr>
        <w:t>stąpieniu Wady, o którym mowa w </w:t>
      </w:r>
      <w:r w:rsidR="005C5559" w:rsidRPr="008A5D94">
        <w:rPr>
          <w:rFonts w:eastAsia="Verdana" w:cs="Verdana"/>
        </w:rPr>
        <w:t xml:space="preserve">punkcie </w:t>
      </w:r>
      <w:r w:rsidRPr="008A5D94">
        <w:rPr>
          <w:rFonts w:eastAsia="Verdana" w:cs="Verdana"/>
        </w:rPr>
        <w:t xml:space="preserve">6.4, Gwarant zobowiązany jest do potwierdzenia otrzymania tego powiadomienia. Kopia potwierdzenia otrzymania powiadomienia o wystąpieniu Wady przesyłana jest przez Gwaranta również faksem </w:t>
      </w:r>
      <w:r w:rsidR="005C5559" w:rsidRPr="008A5D94">
        <w:rPr>
          <w:rFonts w:eastAsia="Verdana" w:cs="Verdana"/>
        </w:rPr>
        <w:t>lub</w:t>
      </w:r>
      <w:r w:rsidRPr="008A5D94">
        <w:rPr>
          <w:rFonts w:eastAsia="Verdana" w:cs="Verdana"/>
        </w:rPr>
        <w:t xml:space="preserve"> pocztą elektroniczną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>do Zamawiającego.</w:t>
      </w:r>
    </w:p>
    <w:p w14:paraId="03D34C50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W przypadku Wad stwierdzonych podczas Komisyjnego Przeglądu Gwarancyjnego odbywającego się z udziałem przedstawicieli Gwaranta, przedstawiciel Zamawiającego przekazuje osobiście i ustnie powiadomienie o wystąpieniu Wady. Protokół Komisyjnego Przeglądu Gwarancyjnego ma moc potwierdzenia powiadomienia o wystąpieniu Wady oraz moc potwierdzenia przez Gwaranta otrzymania powiadomienia o wystąpieniu Wady, bez konieczności dokonania przez Zamawiającego dodatkowego powiadomienia o wystąpieniu Wady oraz bez konieczności dokonania przez Gwaranta dodatkowego potwierdzenia otrzymania powiadomienia o wystąpieniu Wady.</w:t>
      </w:r>
    </w:p>
    <w:p w14:paraId="03D34C51" w14:textId="5A731D43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Zarówno Zamawiający jak i Gwarant sporządzą wykaz osób upoważnionych do kontaktów, przekazywania, przyjmowania powiadomień o ujawnieniu się Wad i potwierdzania otrzymania powiadomienia o ujawnieniu Wady. Wykazy osób zostaną przekazane przez Strony w terminie 7 dni od daty przekazania dokumentu Gwarancji Jakości Zamawiającemu. O każdej zmianie takich osób, Strony obowiązane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>są informować się niezwłocznie, pod rygorem uznania ostatnio wskazanej osoby jako upoważnionej w myśl niniejszego postanowienia.</w:t>
      </w:r>
    </w:p>
    <w:p w14:paraId="03D34C52" w14:textId="61D78E75" w:rsidR="00363999" w:rsidRPr="008A5D94" w:rsidRDefault="00B31EDC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Wszelkie pisma, kierowane będą przez Strony na adresy podane w </w:t>
      </w:r>
      <w:r>
        <w:rPr>
          <w:rFonts w:eastAsia="Verdana" w:cs="Verdana"/>
        </w:rPr>
        <w:t>§ 2</w:t>
      </w:r>
      <w:r w:rsidR="00DB477F">
        <w:rPr>
          <w:rFonts w:eastAsia="Verdana" w:cs="Verdana"/>
        </w:rPr>
        <w:t>4</w:t>
      </w:r>
      <w:r>
        <w:rPr>
          <w:rFonts w:eastAsia="Verdana" w:cs="Verdana"/>
        </w:rPr>
        <w:t xml:space="preserve"> ust. </w:t>
      </w:r>
      <w:r w:rsidR="00DB477F">
        <w:rPr>
          <w:rFonts w:eastAsia="Verdana" w:cs="Verdana"/>
        </w:rPr>
        <w:t>2</w:t>
      </w:r>
      <w:r>
        <w:rPr>
          <w:rFonts w:eastAsia="Verdana" w:cs="Verdana"/>
        </w:rPr>
        <w:t xml:space="preserve"> Umowy</w:t>
      </w:r>
      <w:r w:rsidR="00363999" w:rsidRPr="008A5D94">
        <w:rPr>
          <w:rFonts w:eastAsia="Verdana" w:cs="Verdana"/>
        </w:rPr>
        <w:t>.</w:t>
      </w:r>
    </w:p>
    <w:p w14:paraId="03D34C53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O zmianach w danych adresowych, o których mowa w punkcie 6.8 niniejszej Części Ogólnej, Strony obowiązane są informować się niezwłocznie, nie później niż 7 dni od chwili zaistnienia zmian, pod rygorem uznania wysłania korespondencji pod ostatnio znany adres za skutecznie doręczoną.</w:t>
      </w:r>
    </w:p>
    <w:p w14:paraId="03D34C54" w14:textId="5F590A6F" w:rsidR="00363999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Gwarant jest obowiązany w terminie 7 dni od daty złożenia wniosku o ogłoszenie upadłości powiadomić pisemnie o tym fakcie Zamawiającego.</w:t>
      </w:r>
    </w:p>
    <w:p w14:paraId="75F23610" w14:textId="77777777" w:rsidR="00B951AA" w:rsidRPr="008A5D94" w:rsidRDefault="00B951AA" w:rsidP="00B951AA">
      <w:pPr>
        <w:pStyle w:val="Akapitzlist"/>
        <w:spacing w:before="80" w:after="0"/>
        <w:ind w:left="567" w:right="63"/>
        <w:contextualSpacing w:val="0"/>
        <w:jc w:val="both"/>
        <w:rPr>
          <w:rFonts w:eastAsia="Verdana" w:cs="Verdana"/>
        </w:rPr>
      </w:pPr>
    </w:p>
    <w:p w14:paraId="03D34C56" w14:textId="77777777" w:rsidR="00363999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rPr>
          <w:rFonts w:eastAsia="Verdana"/>
          <w:szCs w:val="20"/>
        </w:rPr>
      </w:pPr>
      <w:bookmarkStart w:id="18" w:name="_Toc196292905"/>
      <w:r w:rsidRPr="008A5D94">
        <w:rPr>
          <w:rFonts w:eastAsia="Verdana"/>
          <w:szCs w:val="20"/>
        </w:rPr>
        <w:t>Kary</w:t>
      </w:r>
      <w:bookmarkEnd w:id="18"/>
    </w:p>
    <w:p w14:paraId="03D34C57" w14:textId="3474DCFE" w:rsidR="00363999" w:rsidRPr="008A5D94" w:rsidRDefault="00B31EDC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W przypadku niepotwierdzenia w terminie przyjęcia powiadomienia o wystąpieniu Wady od Zamawiającego przez Gwaranta, Zamawiający będzie uprawniony</w:t>
      </w:r>
      <w:r w:rsidR="00DB477F">
        <w:rPr>
          <w:rFonts w:eastAsia="Verdana" w:cs="Verdana"/>
        </w:rPr>
        <w:br/>
      </w:r>
      <w:r w:rsidRPr="008A5D94">
        <w:rPr>
          <w:rFonts w:eastAsia="Verdana" w:cs="Verdana"/>
        </w:rPr>
        <w:t xml:space="preserve">do naliczenia Gwarantowi </w:t>
      </w:r>
      <w:r>
        <w:rPr>
          <w:rFonts w:eastAsia="Verdana" w:cs="Verdana"/>
        </w:rPr>
        <w:t>K</w:t>
      </w:r>
      <w:r w:rsidRPr="008A5D94">
        <w:rPr>
          <w:rFonts w:eastAsia="Verdana" w:cs="Verdana"/>
        </w:rPr>
        <w:t xml:space="preserve">ary umownej w wysokości 0,01 % </w:t>
      </w:r>
      <w:r>
        <w:rPr>
          <w:rFonts w:eastAsia="Verdana" w:cs="Verdana"/>
        </w:rPr>
        <w:t xml:space="preserve">wynagrodzenia netto, określonego w § </w:t>
      </w:r>
      <w:r w:rsidR="00DB477F">
        <w:rPr>
          <w:rFonts w:eastAsia="Verdana" w:cs="Verdana"/>
        </w:rPr>
        <w:t>5</w:t>
      </w:r>
      <w:r>
        <w:rPr>
          <w:rFonts w:eastAsia="Verdana" w:cs="Verdana"/>
        </w:rPr>
        <w:t xml:space="preserve"> ust. 1 Umowy </w:t>
      </w:r>
      <w:r w:rsidRPr="008A5D94">
        <w:rPr>
          <w:rFonts w:eastAsia="Verdana" w:cs="Verdana"/>
        </w:rPr>
        <w:t>, jednak nie mniej niż 500 zł za każdy dzień zwłoki</w:t>
      </w:r>
      <w:r w:rsidR="00363999" w:rsidRPr="008A5D94">
        <w:rPr>
          <w:rFonts w:eastAsia="Verdana" w:cs="Verdana"/>
        </w:rPr>
        <w:t>.</w:t>
      </w:r>
    </w:p>
    <w:p w14:paraId="03D34C58" w14:textId="24F1CE4A" w:rsidR="00363999" w:rsidRPr="008A5D94" w:rsidRDefault="00B31EDC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5D086BF6">
        <w:rPr>
          <w:rFonts w:eastAsia="Verdana" w:cs="Verdana"/>
        </w:rPr>
        <w:t xml:space="preserve">W przypadku niewskazania w terminie przez Gwaranta sposobu/sposobów usunięcia Wady, Zamawiający będzie uprawniony do naliczenia Gwarantowi Kary umownej w wysokości 0,01 % </w:t>
      </w:r>
      <w:r>
        <w:rPr>
          <w:rFonts w:eastAsia="Verdana" w:cs="Verdana"/>
        </w:rPr>
        <w:t xml:space="preserve">wynagrodzenia </w:t>
      </w:r>
      <w:r w:rsidRPr="5D086BF6">
        <w:rPr>
          <w:rFonts w:eastAsia="Verdana" w:cs="Verdana"/>
        </w:rPr>
        <w:t xml:space="preserve">netto, </w:t>
      </w:r>
      <w:r>
        <w:rPr>
          <w:rFonts w:eastAsia="Verdana" w:cs="Verdana"/>
        </w:rPr>
        <w:t xml:space="preserve">określonego w § </w:t>
      </w:r>
      <w:r w:rsidR="00DB477F">
        <w:rPr>
          <w:rFonts w:eastAsia="Verdana" w:cs="Verdana"/>
        </w:rPr>
        <w:t>5</w:t>
      </w:r>
      <w:r>
        <w:rPr>
          <w:rFonts w:eastAsia="Verdana" w:cs="Verdana"/>
        </w:rPr>
        <w:t xml:space="preserve"> ust. 1 Umowy, </w:t>
      </w:r>
      <w:r w:rsidRPr="5D086BF6">
        <w:rPr>
          <w:rFonts w:eastAsia="Verdana" w:cs="Verdana"/>
        </w:rPr>
        <w:t>jednak nie mniej niż 500 zł za każdy dzień zwłoki</w:t>
      </w:r>
      <w:r w:rsidR="00363999" w:rsidRPr="008A5D94">
        <w:rPr>
          <w:rFonts w:eastAsia="Verdana" w:cs="Verdana"/>
        </w:rPr>
        <w:t>.</w:t>
      </w:r>
    </w:p>
    <w:p w14:paraId="03D34C59" w14:textId="33E26FA4" w:rsidR="00363999" w:rsidRPr="008A5D94" w:rsidRDefault="00B31EDC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 przypadku nieusunięcia w terminie Wady lub wymiany rzeczy na wolną od Wad przez Gwaranta albo w przypadku gdy Wada zostanie usunięta przez Gwaranta w sposób nieprawidłowy, niezgodnie ze sztuką budowlaną, </w:t>
      </w:r>
      <w:r>
        <w:rPr>
          <w:rFonts w:eastAsia="Verdana" w:cs="Verdana"/>
        </w:rPr>
        <w:t>lub niezgodnie z zaakceptowanym przez Zamawiającego sposobem usunięcia Wad</w:t>
      </w:r>
      <w:r w:rsidRPr="008A5D94">
        <w:rPr>
          <w:rFonts w:eastAsia="Verdana" w:cs="Verdana"/>
        </w:rPr>
        <w:t xml:space="preserve">, Zamawiający będzie uprawniony do naliczenia Gwarantowi </w:t>
      </w:r>
      <w:r>
        <w:rPr>
          <w:rFonts w:eastAsia="Verdana" w:cs="Verdana"/>
        </w:rPr>
        <w:t>K</w:t>
      </w:r>
      <w:r w:rsidRPr="008A5D94">
        <w:rPr>
          <w:rFonts w:eastAsia="Verdana" w:cs="Verdana"/>
        </w:rPr>
        <w:t xml:space="preserve">ary umownej w wysokości 0,01% </w:t>
      </w:r>
      <w:proofErr w:type="spellStart"/>
      <w:r>
        <w:rPr>
          <w:rFonts w:eastAsia="Verdana" w:cs="Verdana"/>
        </w:rPr>
        <w:lastRenderedPageBreak/>
        <w:t>wynagordzenia</w:t>
      </w:r>
      <w:proofErr w:type="spellEnd"/>
      <w:r>
        <w:rPr>
          <w:rFonts w:eastAsia="Verdana" w:cs="Verdana"/>
        </w:rPr>
        <w:t xml:space="preserve"> netto</w:t>
      </w:r>
      <w:r w:rsidRPr="008A5D94">
        <w:rPr>
          <w:rFonts w:eastAsia="Verdana" w:cs="Verdana"/>
        </w:rPr>
        <w:t xml:space="preserve">, </w:t>
      </w:r>
      <w:r>
        <w:rPr>
          <w:rFonts w:eastAsia="Verdana" w:cs="Verdana"/>
        </w:rPr>
        <w:t xml:space="preserve">określonego w § </w:t>
      </w:r>
      <w:r w:rsidR="00DB477F">
        <w:rPr>
          <w:rFonts w:eastAsia="Verdana" w:cs="Verdana"/>
        </w:rPr>
        <w:t>5</w:t>
      </w:r>
      <w:r>
        <w:rPr>
          <w:rFonts w:eastAsia="Verdana" w:cs="Verdana"/>
        </w:rPr>
        <w:t xml:space="preserve"> ust. 1 Umowy </w:t>
      </w:r>
      <w:r w:rsidRPr="008A5D94">
        <w:rPr>
          <w:rFonts w:eastAsia="Verdana" w:cs="Verdana"/>
        </w:rPr>
        <w:t>jednak nie mniej niż 500 zł, za każdy dzień zwłoki</w:t>
      </w:r>
      <w:r w:rsidR="00363999" w:rsidRPr="008A5D94">
        <w:rPr>
          <w:rFonts w:eastAsia="Verdana" w:cs="Verdana"/>
        </w:rPr>
        <w:t>.</w:t>
      </w:r>
    </w:p>
    <w:p w14:paraId="03D34C5A" w14:textId="3DF62DAF" w:rsidR="00363999" w:rsidRPr="008A5D94" w:rsidRDefault="00B31EDC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 przypadku niestawiennictwa Gwaranta w miejscu dokonania Komisyjnego Przeglądu Gwarancyjnego, Zamawiający będzie uprawniony do naliczenia Gwarantowi </w:t>
      </w:r>
      <w:r>
        <w:rPr>
          <w:rFonts w:eastAsia="Verdana" w:cs="Verdana"/>
        </w:rPr>
        <w:t>K</w:t>
      </w:r>
      <w:r w:rsidRPr="008A5D94">
        <w:rPr>
          <w:rFonts w:eastAsia="Verdana" w:cs="Verdana"/>
        </w:rPr>
        <w:t xml:space="preserve">ary umownej w wysokości 0,01% </w:t>
      </w:r>
      <w:r>
        <w:rPr>
          <w:rFonts w:eastAsia="Verdana" w:cs="Verdana"/>
        </w:rPr>
        <w:t>wynagrodzenia umownego netto</w:t>
      </w:r>
      <w:r w:rsidRPr="008A5D94">
        <w:rPr>
          <w:rFonts w:eastAsia="Verdana" w:cs="Verdana"/>
        </w:rPr>
        <w:t xml:space="preserve">, </w:t>
      </w:r>
      <w:r>
        <w:rPr>
          <w:rFonts w:eastAsia="Verdana" w:cs="Verdana"/>
        </w:rPr>
        <w:t xml:space="preserve">o którym mowa w § </w:t>
      </w:r>
      <w:r w:rsidR="00DB477F">
        <w:rPr>
          <w:rFonts w:eastAsia="Verdana" w:cs="Verdana"/>
        </w:rPr>
        <w:t>5</w:t>
      </w:r>
      <w:r>
        <w:rPr>
          <w:rFonts w:eastAsia="Verdana" w:cs="Verdana"/>
        </w:rPr>
        <w:t xml:space="preserve"> ust. 1, </w:t>
      </w:r>
      <w:r w:rsidRPr="008A5D94">
        <w:rPr>
          <w:rFonts w:eastAsia="Verdana" w:cs="Verdana"/>
        </w:rPr>
        <w:t>jednak nie mniej niż 500 zł, za każde zdarzenie</w:t>
      </w:r>
      <w:r w:rsidR="00363999" w:rsidRPr="008A5D94">
        <w:rPr>
          <w:rFonts w:eastAsia="Verdana" w:cs="Verdana"/>
        </w:rPr>
        <w:t>.</w:t>
      </w:r>
    </w:p>
    <w:p w14:paraId="03D34C5B" w14:textId="3CFC37AE" w:rsidR="008A697D" w:rsidRPr="008A5D94" w:rsidRDefault="00B31EDC" w:rsidP="00661C26">
      <w:pPr>
        <w:pStyle w:val="Akapitzlist"/>
        <w:numPr>
          <w:ilvl w:val="1"/>
          <w:numId w:val="19"/>
        </w:numPr>
        <w:spacing w:before="80" w:after="0" w:line="240" w:lineRule="auto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W przypadku niezabezpieczenia dokonania Komisyjnego Przeglądu Gwarancyjnego o którym mowa w pkt 4.5, Zamawiający będzie uprawniony do naliczenia Gwarantowi </w:t>
      </w:r>
      <w:r>
        <w:rPr>
          <w:rFonts w:eastAsia="Verdana" w:cs="Verdana"/>
        </w:rPr>
        <w:t>K</w:t>
      </w:r>
      <w:r w:rsidRPr="008A5D94">
        <w:rPr>
          <w:rFonts w:eastAsia="Verdana" w:cs="Verdana"/>
        </w:rPr>
        <w:t xml:space="preserve">ary umownej w wysokości 0,01% </w:t>
      </w:r>
      <w:r>
        <w:rPr>
          <w:rFonts w:eastAsia="Verdana" w:cs="Verdana"/>
        </w:rPr>
        <w:t>wynagrodzenia netto</w:t>
      </w:r>
      <w:r w:rsidRPr="008A5D94">
        <w:rPr>
          <w:rFonts w:eastAsia="Verdana" w:cs="Verdana"/>
        </w:rPr>
        <w:t xml:space="preserve">, </w:t>
      </w:r>
      <w:r>
        <w:rPr>
          <w:rFonts w:eastAsia="Verdana" w:cs="Verdana"/>
        </w:rPr>
        <w:t xml:space="preserve">określonego w § </w:t>
      </w:r>
      <w:r w:rsidR="00DB477F">
        <w:rPr>
          <w:rFonts w:eastAsia="Verdana" w:cs="Verdana"/>
        </w:rPr>
        <w:t>5</w:t>
      </w:r>
      <w:r>
        <w:rPr>
          <w:rFonts w:eastAsia="Verdana" w:cs="Verdana"/>
        </w:rPr>
        <w:t xml:space="preserve"> ust. 1 Umowy, </w:t>
      </w:r>
      <w:r w:rsidRPr="008A5D94">
        <w:rPr>
          <w:rFonts w:eastAsia="Verdana" w:cs="Verdana"/>
        </w:rPr>
        <w:t>jednak nie mniej niż 500 zł, za każde zdarzenie</w:t>
      </w:r>
      <w:r w:rsidR="008A697D" w:rsidRPr="008A5D94">
        <w:rPr>
          <w:rFonts w:eastAsia="Verdana" w:cs="Verdana"/>
        </w:rPr>
        <w:t>.</w:t>
      </w:r>
    </w:p>
    <w:p w14:paraId="03D34C5C" w14:textId="486ADD4B" w:rsidR="008A697D" w:rsidRPr="008A5D94" w:rsidRDefault="00B31EDC" w:rsidP="00661C26">
      <w:pPr>
        <w:pStyle w:val="Akapitzlist"/>
        <w:numPr>
          <w:ilvl w:val="1"/>
          <w:numId w:val="19"/>
        </w:numPr>
        <w:spacing w:before="80" w:after="0" w:line="240" w:lineRule="auto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 xml:space="preserve">Limit </w:t>
      </w:r>
      <w:r>
        <w:rPr>
          <w:rFonts w:eastAsia="Verdana" w:cs="Verdana"/>
        </w:rPr>
        <w:t>K</w:t>
      </w:r>
      <w:r w:rsidRPr="008A5D94">
        <w:rPr>
          <w:rFonts w:eastAsia="Verdana" w:cs="Verdana"/>
        </w:rPr>
        <w:t xml:space="preserve">ar umownych, o którym mowa w </w:t>
      </w:r>
      <w:r>
        <w:rPr>
          <w:rFonts w:eastAsia="Verdana" w:cs="Verdana"/>
        </w:rPr>
        <w:t>§ 1</w:t>
      </w:r>
      <w:r w:rsidR="00B951AA">
        <w:rPr>
          <w:rFonts w:eastAsia="Verdana" w:cs="Verdana"/>
        </w:rPr>
        <w:t>8</w:t>
      </w:r>
      <w:r>
        <w:rPr>
          <w:rFonts w:eastAsia="Verdana" w:cs="Verdana"/>
        </w:rPr>
        <w:t xml:space="preserve"> ust. </w:t>
      </w:r>
      <w:r w:rsidR="00B951AA">
        <w:rPr>
          <w:rFonts w:eastAsia="Verdana" w:cs="Verdana"/>
        </w:rPr>
        <w:t>3</w:t>
      </w:r>
      <w:r>
        <w:rPr>
          <w:rFonts w:eastAsia="Verdana" w:cs="Verdana"/>
        </w:rPr>
        <w:t xml:space="preserve"> Umowy,</w:t>
      </w:r>
      <w:r w:rsidRPr="008A5D94">
        <w:rPr>
          <w:rFonts w:eastAsia="Verdana" w:cs="Verdana"/>
        </w:rPr>
        <w:t xml:space="preserve"> dotyczy także </w:t>
      </w:r>
      <w:r>
        <w:rPr>
          <w:rFonts w:eastAsia="Verdana" w:cs="Verdana"/>
        </w:rPr>
        <w:t>K</w:t>
      </w:r>
      <w:r w:rsidRPr="008A5D94">
        <w:rPr>
          <w:rFonts w:eastAsia="Verdana" w:cs="Verdana"/>
        </w:rPr>
        <w:t>ar umownych nal</w:t>
      </w:r>
      <w:r>
        <w:rPr>
          <w:rFonts w:eastAsia="Verdana" w:cs="Verdana"/>
        </w:rPr>
        <w:t>iczanych na Wykonawcę zgodnie z</w:t>
      </w:r>
      <w:r w:rsidR="00B951AA">
        <w:rPr>
          <w:rFonts w:eastAsia="Verdana" w:cs="Verdana"/>
        </w:rPr>
        <w:t xml:space="preserve"> </w:t>
      </w:r>
      <w:r w:rsidRPr="008A5D94">
        <w:rPr>
          <w:rFonts w:eastAsia="Verdana" w:cs="Verdana"/>
        </w:rPr>
        <w:t>niniejszym dokumentem Gwarancji Jakości</w:t>
      </w:r>
      <w:r w:rsidR="008A697D" w:rsidRPr="008A5D94">
        <w:rPr>
          <w:rFonts w:eastAsia="Verdana" w:cs="Verdana"/>
        </w:rPr>
        <w:t>.</w:t>
      </w:r>
    </w:p>
    <w:p w14:paraId="5E07BD58" w14:textId="77777777" w:rsidR="00B31EDC" w:rsidRPr="00B31EDC" w:rsidRDefault="00B31EDC" w:rsidP="00661C26">
      <w:pPr>
        <w:pStyle w:val="Akapitzlist"/>
        <w:numPr>
          <w:ilvl w:val="1"/>
          <w:numId w:val="19"/>
        </w:numPr>
        <w:spacing w:before="80" w:after="0" w:line="240" w:lineRule="auto"/>
        <w:ind w:left="567" w:right="63" w:hanging="567"/>
        <w:contextualSpacing w:val="0"/>
        <w:jc w:val="both"/>
        <w:rPr>
          <w:rFonts w:eastAsia="Verdana"/>
          <w:b/>
          <w:bCs/>
          <w:iCs/>
        </w:rPr>
      </w:pPr>
      <w:r w:rsidRPr="008A5D94">
        <w:rPr>
          <w:rFonts w:eastAsia="Verdana" w:cs="Verdana"/>
        </w:rPr>
        <w:t xml:space="preserve">Niezależnie od naliczenia </w:t>
      </w:r>
      <w:r>
        <w:rPr>
          <w:rFonts w:eastAsia="Verdana" w:cs="Verdana"/>
        </w:rPr>
        <w:t>K</w:t>
      </w:r>
      <w:r w:rsidRPr="008A5D94">
        <w:rPr>
          <w:rFonts w:eastAsia="Verdana" w:cs="Verdana"/>
        </w:rPr>
        <w:t xml:space="preserve">ar umownych, o którym mowa w pkt 7.1-7.5 Zamawiający zastrzega możliwość dochodzenia od Gwaranta odszkodowania uzupełniającego, przewyższającego wysokość </w:t>
      </w:r>
      <w:r>
        <w:rPr>
          <w:rFonts w:eastAsia="Verdana" w:cs="Verdana"/>
          <w:spacing w:val="-2"/>
        </w:rPr>
        <w:t>K</w:t>
      </w:r>
      <w:r w:rsidRPr="008A5D94">
        <w:rPr>
          <w:rFonts w:eastAsia="Verdana" w:cs="Verdana"/>
          <w:spacing w:val="-2"/>
        </w:rPr>
        <w:t>ar umownych do wysokości rzeczywiście poniesionej szkody, na zasadach ogólnych</w:t>
      </w:r>
      <w:r w:rsidR="00363999" w:rsidRPr="008A5D94">
        <w:rPr>
          <w:rFonts w:eastAsia="Verdana" w:cs="Verdana"/>
          <w:spacing w:val="-2"/>
        </w:rPr>
        <w:t>.</w:t>
      </w:r>
      <w:bookmarkStart w:id="19" w:name="_Toc455047572"/>
    </w:p>
    <w:p w14:paraId="03D34C5D" w14:textId="6810F9AC" w:rsidR="00363999" w:rsidRPr="00B951AA" w:rsidRDefault="00B31EDC" w:rsidP="00661C26">
      <w:pPr>
        <w:pStyle w:val="Akapitzlist"/>
        <w:numPr>
          <w:ilvl w:val="1"/>
          <w:numId w:val="19"/>
        </w:numPr>
        <w:spacing w:before="80" w:after="0" w:line="240" w:lineRule="auto"/>
        <w:ind w:left="567" w:right="63" w:hanging="567"/>
        <w:contextualSpacing w:val="0"/>
        <w:jc w:val="both"/>
        <w:rPr>
          <w:rFonts w:eastAsia="Verdana"/>
          <w:b/>
          <w:bCs/>
          <w:iCs/>
        </w:rPr>
      </w:pPr>
      <w:r w:rsidRPr="5D086BF6">
        <w:rPr>
          <w:rFonts w:eastAsia="Verdana" w:cs="Verdana"/>
        </w:rPr>
        <w:t xml:space="preserve">Strony zgodnie potwierdzają, że Zamawiający może potrącić kwotę Kary umownej </w:t>
      </w:r>
      <w:r>
        <w:br/>
      </w:r>
      <w:r w:rsidRPr="5D086BF6">
        <w:rPr>
          <w:rFonts w:eastAsia="Verdana" w:cs="Verdana"/>
        </w:rPr>
        <w:t>z każdą płatnością należną lub jaka będzie się należeć Gwarantowi lub uzyskać jej wartość z Zabezpieczenia Należytego Wykonania</w:t>
      </w:r>
      <w:r>
        <w:rPr>
          <w:rFonts w:eastAsia="Verdana" w:cs="Verdana"/>
        </w:rPr>
        <w:t>.</w:t>
      </w:r>
    </w:p>
    <w:p w14:paraId="6E47310B" w14:textId="77777777" w:rsidR="00B951AA" w:rsidRPr="008A5D94" w:rsidRDefault="00B951AA" w:rsidP="00B951AA">
      <w:pPr>
        <w:pStyle w:val="Akapitzlist"/>
        <w:spacing w:before="80" w:after="0" w:line="240" w:lineRule="auto"/>
        <w:ind w:left="567" w:right="63"/>
        <w:contextualSpacing w:val="0"/>
        <w:jc w:val="both"/>
        <w:rPr>
          <w:rFonts w:eastAsia="Verdana"/>
          <w:b/>
          <w:bCs/>
          <w:iCs/>
        </w:rPr>
      </w:pPr>
    </w:p>
    <w:p w14:paraId="03D34C5E" w14:textId="77777777" w:rsidR="00363999" w:rsidRPr="008A5D94" w:rsidRDefault="00363999" w:rsidP="00661C26">
      <w:pPr>
        <w:pStyle w:val="Nagwek2"/>
        <w:numPr>
          <w:ilvl w:val="0"/>
          <w:numId w:val="19"/>
        </w:numPr>
        <w:spacing w:before="80" w:after="0"/>
        <w:ind w:left="567" w:hanging="567"/>
        <w:rPr>
          <w:rFonts w:eastAsia="Verdana"/>
          <w:szCs w:val="20"/>
        </w:rPr>
      </w:pPr>
      <w:bookmarkStart w:id="20" w:name="_Toc196292906"/>
      <w:r w:rsidRPr="008A5D94">
        <w:rPr>
          <w:rFonts w:eastAsia="Verdana"/>
          <w:szCs w:val="20"/>
        </w:rPr>
        <w:t>Postanowienia końcowe</w:t>
      </w:r>
      <w:bookmarkEnd w:id="19"/>
      <w:bookmarkEnd w:id="20"/>
      <w:r w:rsidRPr="008A5D94">
        <w:rPr>
          <w:rFonts w:eastAsia="Verdana"/>
          <w:szCs w:val="20"/>
        </w:rPr>
        <w:t xml:space="preserve"> </w:t>
      </w:r>
    </w:p>
    <w:p w14:paraId="03D34C5F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Arial"/>
        </w:rPr>
      </w:pPr>
      <w:r w:rsidRPr="008A5D94">
        <w:rPr>
          <w:rFonts w:eastAsia="Verdana" w:cs="Verdana"/>
        </w:rPr>
        <w:t>W sprawach nieuregulowanych niniejszą Gwarancją Jakości zastosowanie mają odpowiednie przepisy prawa polskiego, w szczególności przepisy Działu III Gwarancja przy sprzedaży ustawy - Kodeks Cywilny oraz ustawa - Prawo Zamówień Publicznych.</w:t>
      </w:r>
    </w:p>
    <w:p w14:paraId="03D34C60" w14:textId="77777777" w:rsidR="00363999" w:rsidRPr="008A5D94" w:rsidRDefault="00363999" w:rsidP="00661C26">
      <w:pPr>
        <w:pStyle w:val="Akapitzlist"/>
        <w:numPr>
          <w:ilvl w:val="1"/>
          <w:numId w:val="19"/>
        </w:numPr>
        <w:spacing w:before="80" w:after="0"/>
        <w:ind w:left="567" w:right="63" w:hanging="567"/>
        <w:contextualSpacing w:val="0"/>
        <w:jc w:val="both"/>
        <w:rPr>
          <w:rFonts w:eastAsia="Verdana" w:cs="Verdana"/>
        </w:rPr>
      </w:pPr>
      <w:r w:rsidRPr="008A5D94">
        <w:rPr>
          <w:rFonts w:eastAsia="Verdana" w:cs="Verdana"/>
        </w:rPr>
        <w:t>Niniejsza Gwarancja Jakości stanowi integralną część Umowy.</w:t>
      </w:r>
    </w:p>
    <w:p w14:paraId="03D34C62" w14:textId="77777777" w:rsidR="00363999" w:rsidRPr="008A5D94" w:rsidRDefault="00363999" w:rsidP="00363999">
      <w:pPr>
        <w:spacing w:before="80" w:after="0"/>
        <w:rPr>
          <w:rFonts w:eastAsia="Verdana" w:cs="Verdana"/>
        </w:rPr>
      </w:pPr>
    </w:p>
    <w:p w14:paraId="03D34C65" w14:textId="77777777" w:rsidR="00363999" w:rsidRPr="008A5D94" w:rsidRDefault="00363999" w:rsidP="00363999">
      <w:pPr>
        <w:spacing w:before="80" w:after="0"/>
        <w:ind w:left="-5" w:hanging="10"/>
        <w:rPr>
          <w:rFonts w:eastAsia="Verdana" w:cs="Verdana"/>
        </w:rPr>
      </w:pPr>
      <w:r w:rsidRPr="008A5D94">
        <w:rPr>
          <w:rFonts w:eastAsia="Verdana" w:cs="Verdana"/>
          <w:b/>
        </w:rPr>
        <w:t xml:space="preserve">PODPISY I PIECZĘCIE </w:t>
      </w:r>
    </w:p>
    <w:p w14:paraId="03D34C66" w14:textId="77777777" w:rsidR="00363999" w:rsidRPr="008A5D94" w:rsidRDefault="00363999" w:rsidP="00363999">
      <w:pPr>
        <w:spacing w:before="80" w:after="0"/>
        <w:ind w:left="-5" w:hanging="10"/>
        <w:rPr>
          <w:rFonts w:eastAsia="Verdana" w:cs="Verdana"/>
        </w:rPr>
      </w:pPr>
      <w:r w:rsidRPr="008A5D94">
        <w:rPr>
          <w:rFonts w:eastAsia="Verdana" w:cs="Verdana"/>
          <w:b/>
        </w:rPr>
        <w:t>W imieniu Gwaranta:</w:t>
      </w:r>
      <w:r w:rsidRPr="008A5D94">
        <w:rPr>
          <w:rFonts w:eastAsia="Verdana" w:cs="Verdana"/>
        </w:rPr>
        <w:br w:type="page"/>
      </w:r>
    </w:p>
    <w:p w14:paraId="03D34C67" w14:textId="77777777" w:rsidR="00363999" w:rsidRPr="008A5D94" w:rsidRDefault="00363999" w:rsidP="00661C26">
      <w:pPr>
        <w:pStyle w:val="Nagwek1"/>
        <w:numPr>
          <w:ilvl w:val="0"/>
          <w:numId w:val="24"/>
        </w:numPr>
        <w:spacing w:before="80" w:after="0"/>
        <w:ind w:left="567" w:hanging="567"/>
        <w:rPr>
          <w:kern w:val="0"/>
          <w:szCs w:val="20"/>
        </w:rPr>
      </w:pPr>
      <w:bookmarkStart w:id="21" w:name="_Toc408483500"/>
      <w:bookmarkStart w:id="22" w:name="_Toc408483793"/>
      <w:bookmarkStart w:id="23" w:name="_Toc408484180"/>
      <w:bookmarkStart w:id="24" w:name="_Toc455047573"/>
      <w:bookmarkStart w:id="25" w:name="_Toc196292907"/>
      <w:bookmarkEnd w:id="1"/>
      <w:r w:rsidRPr="008A5D94">
        <w:rPr>
          <w:kern w:val="0"/>
          <w:szCs w:val="20"/>
        </w:rPr>
        <w:lastRenderedPageBreak/>
        <w:t>CZĘŚĆ SZCZEGÓŁOWA</w:t>
      </w:r>
      <w:bookmarkEnd w:id="21"/>
      <w:bookmarkEnd w:id="22"/>
      <w:bookmarkEnd w:id="23"/>
      <w:bookmarkEnd w:id="24"/>
      <w:bookmarkEnd w:id="25"/>
    </w:p>
    <w:p w14:paraId="03D34C68" w14:textId="77777777" w:rsidR="00363999" w:rsidRPr="008A5D94" w:rsidRDefault="005E0823" w:rsidP="00661C26">
      <w:pPr>
        <w:pStyle w:val="Akapitzlist"/>
        <w:numPr>
          <w:ilvl w:val="0"/>
          <w:numId w:val="22"/>
        </w:numPr>
        <w:spacing w:before="80" w:after="0"/>
        <w:ind w:left="567" w:hanging="567"/>
        <w:contextualSpacing w:val="0"/>
        <w:jc w:val="both"/>
        <w:rPr>
          <w:b/>
        </w:rPr>
      </w:pPr>
      <w:r>
        <w:rPr>
          <w:b/>
        </w:rPr>
        <w:t>Postanowienia ogólne</w:t>
      </w:r>
    </w:p>
    <w:p w14:paraId="03D34C69" w14:textId="77777777" w:rsidR="00363999" w:rsidRPr="008A5D94" w:rsidRDefault="00524487" w:rsidP="00363999">
      <w:pPr>
        <w:spacing w:before="80" w:after="0"/>
        <w:jc w:val="both"/>
      </w:pPr>
      <w:r w:rsidRPr="008A5D94">
        <w:t xml:space="preserve">Część Szczegółowa obejmuje elementy Przedmiotu Umowy wskazane w poniższych punktach. Wykonawca gwarantuje, że poszczególne wymienione elementy zachowają wskazane poniżej cechy funkcjonalne i wskaźniki, z uwzględnieniem określonego w niniejszej Części Gwarancji Jakości stopnia zużycia. </w:t>
      </w:r>
      <w:r w:rsidR="00363999" w:rsidRPr="008A5D94">
        <w:t>Opisane poniżej cechy funkcjonalne i wskaźniki będą ustalane w oparciu o metodologię opisaną w niniejszej Części.</w:t>
      </w:r>
    </w:p>
    <w:p w14:paraId="03D34C6A" w14:textId="5A460290" w:rsidR="00363999" w:rsidRPr="008A5D94" w:rsidRDefault="00363999" w:rsidP="00363999">
      <w:pPr>
        <w:spacing w:before="80" w:after="0"/>
        <w:jc w:val="both"/>
      </w:pPr>
      <w:r w:rsidRPr="008A5D94">
        <w:t xml:space="preserve">Okres Gwarancji Jakości dla niżej wymienionych elementów Przedmiotu Umowy został określony w § </w:t>
      </w:r>
      <w:r w:rsidR="00716DD5">
        <w:t>1</w:t>
      </w:r>
      <w:r w:rsidR="00DB477F">
        <w:t>6</w:t>
      </w:r>
      <w:r w:rsidRPr="008A5D94">
        <w:t xml:space="preserve"> Umowy.</w:t>
      </w:r>
    </w:p>
    <w:p w14:paraId="03D34C6B" w14:textId="77777777" w:rsidR="00363999" w:rsidRPr="008A5D94" w:rsidRDefault="00363999" w:rsidP="00661C26">
      <w:pPr>
        <w:pStyle w:val="Akapitzlist"/>
        <w:numPr>
          <w:ilvl w:val="0"/>
          <w:numId w:val="22"/>
        </w:numPr>
        <w:spacing w:before="80" w:after="0"/>
        <w:ind w:left="567" w:hanging="567"/>
        <w:contextualSpacing w:val="0"/>
        <w:jc w:val="both"/>
        <w:rPr>
          <w:b/>
        </w:rPr>
      </w:pPr>
      <w:r w:rsidRPr="008A5D94">
        <w:rPr>
          <w:b/>
        </w:rPr>
        <w:t>Zakres gwarancji dla elementów wymienionych w Części Szczegółowej:</w:t>
      </w:r>
    </w:p>
    <w:p w14:paraId="03D34C6C" w14:textId="77777777" w:rsidR="00363999" w:rsidRPr="008A5D94" w:rsidRDefault="00363999" w:rsidP="00661C26">
      <w:pPr>
        <w:pStyle w:val="Nagwek2"/>
        <w:numPr>
          <w:ilvl w:val="0"/>
          <w:numId w:val="23"/>
        </w:numPr>
        <w:spacing w:before="240" w:after="0"/>
        <w:ind w:left="567" w:hanging="567"/>
        <w:rPr>
          <w:szCs w:val="20"/>
        </w:rPr>
      </w:pPr>
      <w:bookmarkStart w:id="26" w:name="_Toc455047574"/>
      <w:bookmarkStart w:id="27" w:name="_Toc196292908"/>
      <w:r w:rsidRPr="008A5D94">
        <w:rPr>
          <w:szCs w:val="20"/>
        </w:rPr>
        <w:t>NAWIERZCHNIE</w:t>
      </w:r>
      <w:bookmarkEnd w:id="26"/>
      <w:bookmarkEnd w:id="27"/>
    </w:p>
    <w:p w14:paraId="03D34C6D" w14:textId="77777777" w:rsidR="00363999" w:rsidRPr="008A5D94" w:rsidRDefault="00363999" w:rsidP="00363999">
      <w:pPr>
        <w:spacing w:before="80" w:after="0"/>
        <w:jc w:val="both"/>
      </w:pPr>
      <w:r w:rsidRPr="008A5D94">
        <w:t>W okresie obowiązywania Gwarancji Jakości stan nawierzchni oraz wartości parametrów nawierzchni powinny odpowiadać co najmniej wymaganiom określonym w rozdziałach 1.1 oraz 1.2 części Szczegółowej Gwarancji Jakości. W przypadku przekroczenia wymienionych w rozdziałach 1.1 oraz 1.2 wartości parametrów nawierzchni, Wykonawca jest zobowiązany przedstawić do zatwierdzenia Zamawiającemu program naprawczy.</w:t>
      </w:r>
    </w:p>
    <w:p w14:paraId="03D34C6E" w14:textId="72FB8E1A" w:rsidR="00363999" w:rsidRPr="008A5D94" w:rsidRDefault="00363999" w:rsidP="00363999">
      <w:pPr>
        <w:spacing w:before="80" w:after="0"/>
        <w:jc w:val="both"/>
      </w:pPr>
      <w:r w:rsidRPr="008A5D94">
        <w:t>Przed przygotowaniem programu naprawczego każdą naprawę uszkodzeń strukturalnych (np. koleina strukturalna, spękania) należy poprzedzić rozpoznaniem uszkodzenia poprzez wykonanie</w:t>
      </w:r>
      <w:r w:rsidR="00BD40BF" w:rsidRPr="008A5D94">
        <w:t xml:space="preserve"> niezbędnych badań (np. odwiertów)</w:t>
      </w:r>
      <w:r w:rsidRPr="008A5D94">
        <w:t>, w celu sprawdzenia na jaką głębokość sięga uszkodzenie. Jeżeli powodem uszkodzenia są warstwy niżej leżące (stwierdzenie</w:t>
      </w:r>
      <w:r w:rsidR="00B951AA">
        <w:br/>
      </w:r>
      <w:r w:rsidRPr="008A5D94">
        <w:t xml:space="preserve">na podstawie wyników badań), należy również te warstwy wymienić. </w:t>
      </w:r>
    </w:p>
    <w:p w14:paraId="03D34C6F" w14:textId="1EA1F392" w:rsidR="00363999" w:rsidRPr="008A5D94" w:rsidRDefault="00363999" w:rsidP="00363999">
      <w:pPr>
        <w:spacing w:before="80" w:after="0"/>
        <w:jc w:val="both"/>
      </w:pPr>
      <w:r w:rsidRPr="008A5D94">
        <w:t>Jeżeli program naprawczy dotyczy wymiany nawierzchni asfaltowej, to naprawa powinna być wykonana na szerokości jednego pasa ruchu między liniami oznakowania poziomego. W przypadku gdy uszkodzenie jest na granicy pasów to naprawa musi być wykonana</w:t>
      </w:r>
      <w:r w:rsidR="00B951AA">
        <w:br/>
      </w:r>
      <w:r w:rsidRPr="008A5D94">
        <w:t>na obu pasach ruchu (np. pas wewnętrzny i zewnętrzny łącznie z opaską bezpieczeństwa lub pas wewnętrzny i pas awaryjny). Wówczas należy również odtworzyć brakujące oznakowanie poziome. Długość minimalna wynikać powinna z odcinków miarodajnych</w:t>
      </w:r>
      <w:r w:rsidR="00B951AA">
        <w:br/>
      </w:r>
      <w:r w:rsidRPr="008A5D94">
        <w:t>na jakich występują uszkodzenia lub w przypadku łat 20 m. Jeżeli odległość między łatami jest mniejsza niż 20 m, to należy je łączyć ze sobą w jeden ciąg.</w:t>
      </w:r>
    </w:p>
    <w:p w14:paraId="03D34C70" w14:textId="77777777" w:rsidR="00363999" w:rsidRPr="008A5D94" w:rsidRDefault="00363999" w:rsidP="00363999">
      <w:pPr>
        <w:spacing w:before="80" w:after="0"/>
        <w:jc w:val="both"/>
      </w:pPr>
      <w:r w:rsidRPr="008A5D94">
        <w:t>Wymiana warstwy ścieralnej obejmuje: wyfrezowanie istniejącej warstwy i wbudowanie nowej mieszanki mineralno-asfaltowej wyprodukowanej na tym samym rodzaju kruszywa lub kruszywie o zbliżonym współczynniku luminancji jak na ciągu głównym (o tym samym kolorze) spełniającym wymagania techniczne jak dla warstwy ścieralnej.</w:t>
      </w:r>
    </w:p>
    <w:p w14:paraId="03D34C71" w14:textId="77777777" w:rsidR="00363999" w:rsidRPr="008A5D94" w:rsidRDefault="00363999" w:rsidP="00363999">
      <w:pPr>
        <w:spacing w:before="80" w:after="0"/>
        <w:jc w:val="both"/>
      </w:pPr>
      <w:r w:rsidRPr="008A5D94">
        <w:t>Spękania poprzeczne termiczne wymagają u</w:t>
      </w:r>
      <w:r w:rsidR="00BD40BF" w:rsidRPr="008A5D94">
        <w:t>szczelnienia, z zastosowaniem specjalistycznych materiałów przeznaczonych do takich celów</w:t>
      </w:r>
      <w:r w:rsidR="007551C1">
        <w:t>,</w:t>
      </w:r>
      <w:r w:rsidR="00DB5D3C">
        <w:t xml:space="preserve"> w terminie jak dla Wady Istotnej.</w:t>
      </w:r>
    </w:p>
    <w:p w14:paraId="03D34C72" w14:textId="04147EAC" w:rsidR="00363999" w:rsidRPr="008A5D94" w:rsidRDefault="00363999" w:rsidP="00363999">
      <w:pPr>
        <w:spacing w:before="80" w:after="0"/>
        <w:jc w:val="both"/>
      </w:pPr>
      <w:r w:rsidRPr="008A5D94">
        <w:t>Pozostałe rodzaje spękań wymagają szczegółowego rozpoznania i charakterystycznego</w:t>
      </w:r>
      <w:r w:rsidR="00B951AA">
        <w:br/>
      </w:r>
      <w:r w:rsidRPr="008A5D94">
        <w:t>dla danego uszkodzenia sposobu naprawy.</w:t>
      </w:r>
    </w:p>
    <w:p w14:paraId="03D34C73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Jeżeli program naprawczy dotyczy wymiany nawierzchni płyt/płyty betonowej to naprawa powinna być wykonana na wszystkich płytach na których pojawiły się uszkodzenia. </w:t>
      </w:r>
    </w:p>
    <w:p w14:paraId="03D34C74" w14:textId="039DC4CC" w:rsidR="00363999" w:rsidRPr="008A5D94" w:rsidRDefault="00363999" w:rsidP="00363999">
      <w:pPr>
        <w:spacing w:before="80" w:after="0"/>
        <w:jc w:val="both"/>
      </w:pPr>
      <w:r w:rsidRPr="008A5D94">
        <w:t>Wymiana warstwy ścieralnej płyty betonowej (jej pierwszej warstwy) obejmuje: wykonanie wycięcia istniejącej warstwy płyty i wykonanie łat(y) poprzez wypełnienie wycięć(</w:t>
      </w:r>
      <w:proofErr w:type="spellStart"/>
      <w:r w:rsidRPr="008A5D94">
        <w:t>cia</w:t>
      </w:r>
      <w:proofErr w:type="spellEnd"/>
      <w:r w:rsidRPr="008A5D94">
        <w:t xml:space="preserve">) </w:t>
      </w:r>
      <w:r w:rsidR="00BD40BF" w:rsidRPr="008A5D94">
        <w:t xml:space="preserve">dedykowanymi do tego zastosowania mieszankami betonowymi </w:t>
      </w:r>
      <w:r w:rsidRPr="008A5D94">
        <w:t>lub z żywic epoksydowych (gdy wielkości uszkodzeń są mniejsze niż maksymalne wartości uszkodzeń zawarte w Tabeli 8). W przypadku gdy wielkości uszkodzeń na danej płycie są większe</w:t>
      </w:r>
      <w:r w:rsidR="00B951AA">
        <w:br/>
      </w:r>
      <w:r w:rsidRPr="008A5D94">
        <w:lastRenderedPageBreak/>
        <w:t>niż dopuszczalne podane w Tabeli 8 to wówczas należy wymienić wszystkie płyty na których takie uszkodzenia się pojawiły.</w:t>
      </w:r>
    </w:p>
    <w:p w14:paraId="03D34C75" w14:textId="1D33EE77" w:rsidR="00363999" w:rsidRPr="008A5D94" w:rsidRDefault="00363999" w:rsidP="00363999">
      <w:pPr>
        <w:spacing w:before="80" w:after="0"/>
        <w:jc w:val="both"/>
      </w:pPr>
      <w:r w:rsidRPr="008A5D94">
        <w:t>Ocenę stanu nawierzchni wykonuje się podczas objazdów wykonywanych</w:t>
      </w:r>
      <w:r w:rsidR="00B951AA">
        <w:br/>
      </w:r>
      <w:r w:rsidRPr="008A5D94">
        <w:t>przez pracowników Zamawiającego (np. Rejonów), przez Komisje powoływane</w:t>
      </w:r>
      <w:r w:rsidR="00B951AA">
        <w:br/>
      </w:r>
      <w:r w:rsidRPr="008A5D94">
        <w:t xml:space="preserve">przez Zamawiającego jak również przy użyciu mechanicznych urządzeń pomiarowych, pojazdów umożliwiających </w:t>
      </w:r>
      <w:proofErr w:type="spellStart"/>
      <w:r w:rsidRPr="008A5D94">
        <w:t>fotorejestrację</w:t>
      </w:r>
      <w:proofErr w:type="spellEnd"/>
      <w:r w:rsidRPr="008A5D94">
        <w:t xml:space="preserve"> w trybie ciągłym, wyposażonych w oprogramowanie do automatycznego rozpoznawania i klasyfikowania rodzajów uszkodzeń oraz na podstawie badań laboratoryjnych.</w:t>
      </w:r>
    </w:p>
    <w:p w14:paraId="03D34C76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Metodyka pomiaru cech funkcjonalnych określonych w niniejszej Części – o ile nie została określona szczegółowo – będzie zgodna z zasadami wskazanymi w </w:t>
      </w:r>
      <w:r w:rsidRPr="008A5D94">
        <w:rPr>
          <w:bCs/>
        </w:rPr>
        <w:t>Zarządzeniu nr</w:t>
      </w:r>
      <w:r w:rsidRPr="008A5D94">
        <w:rPr>
          <w:b/>
          <w:bCs/>
        </w:rPr>
        <w:t> </w:t>
      </w:r>
      <w:r w:rsidRPr="008A5D94">
        <w:rPr>
          <w:bCs/>
        </w:rPr>
        <w:t>34</w:t>
      </w:r>
      <w:r w:rsidRPr="008A5D94">
        <w:t> Generalnego Dyrektora Dróg Krajowych i Autostrad z dnia 30 kwietnia 2015 r. w sprawie diagnostyki stanu nawierzchni i jej elementów</w:t>
      </w:r>
      <w:r w:rsidR="00820738" w:rsidRPr="00820738">
        <w:t xml:space="preserve"> wraz z późniejszymi zmianami</w:t>
      </w:r>
      <w:r w:rsidRPr="008A5D94">
        <w:t>.</w:t>
      </w:r>
    </w:p>
    <w:p w14:paraId="03D34C77" w14:textId="77777777" w:rsidR="001A4F67" w:rsidRPr="008A5D94" w:rsidRDefault="001A4F67" w:rsidP="00363999">
      <w:pPr>
        <w:spacing w:before="80" w:after="0"/>
        <w:jc w:val="both"/>
      </w:pPr>
      <w:r w:rsidRPr="008A5D94">
        <w:t>Do oceny nawierzchni w okresie gwarancji dopuszcza się wykorzystywanie wyników badań równości, profilu i właściwości przeciwpoślizgowych wykonywanych dla potrzeb DSN (w tym np. dla wstępnego wyznaczenia obszarów wykazujących niezgodności w celu poddania ich bardziej szczegółowym badaniom).</w:t>
      </w:r>
    </w:p>
    <w:p w14:paraId="03D34C78" w14:textId="77777777" w:rsidR="00363999" w:rsidRPr="008A5D94" w:rsidRDefault="00363999" w:rsidP="00363999">
      <w:pPr>
        <w:spacing w:before="80" w:after="0"/>
        <w:jc w:val="both"/>
      </w:pPr>
    </w:p>
    <w:p w14:paraId="03D34C79" w14:textId="77777777" w:rsidR="00363999" w:rsidRPr="008A5D94" w:rsidRDefault="00363999" w:rsidP="00363999">
      <w:pPr>
        <w:pStyle w:val="Akapitzlist"/>
        <w:numPr>
          <w:ilvl w:val="1"/>
          <w:numId w:val="2"/>
        </w:numPr>
        <w:spacing w:before="80" w:after="0"/>
        <w:ind w:left="567" w:hanging="567"/>
        <w:contextualSpacing w:val="0"/>
        <w:rPr>
          <w:b/>
        </w:rPr>
      </w:pPr>
      <w:r w:rsidRPr="008A5D94">
        <w:rPr>
          <w:b/>
        </w:rPr>
        <w:t xml:space="preserve">Nawierzchnie podatne i półsztywne </w:t>
      </w:r>
    </w:p>
    <w:p w14:paraId="03D34C7A" w14:textId="77777777" w:rsidR="00363999" w:rsidRPr="008A5D94" w:rsidRDefault="00363999" w:rsidP="00363999">
      <w:pPr>
        <w:pStyle w:val="Akapitzlist"/>
        <w:numPr>
          <w:ilvl w:val="2"/>
          <w:numId w:val="2"/>
        </w:numPr>
        <w:spacing w:before="80" w:after="0"/>
        <w:ind w:left="709" w:hanging="709"/>
        <w:contextualSpacing w:val="0"/>
        <w:jc w:val="both"/>
      </w:pPr>
      <w:r w:rsidRPr="008A5D94">
        <w:t>Stan nawierzchni</w:t>
      </w:r>
    </w:p>
    <w:p w14:paraId="03D34C7B" w14:textId="77777777" w:rsidR="001A4F67" w:rsidRPr="008A5D94" w:rsidRDefault="00363999" w:rsidP="00363999">
      <w:pPr>
        <w:spacing w:after="0"/>
        <w:jc w:val="both"/>
      </w:pPr>
      <w:r w:rsidRPr="008A5D94">
        <w:t>Ocenie podlegają</w:t>
      </w:r>
      <w:r w:rsidR="001A4F67" w:rsidRPr="008A5D94">
        <w:t>:</w:t>
      </w:r>
    </w:p>
    <w:p w14:paraId="03D34C7C" w14:textId="77777777" w:rsidR="00363999" w:rsidRPr="008A5D94" w:rsidRDefault="001A4F67" w:rsidP="008A5D94">
      <w:pPr>
        <w:pStyle w:val="Akapitzlist"/>
        <w:numPr>
          <w:ilvl w:val="0"/>
          <w:numId w:val="33"/>
        </w:numPr>
        <w:spacing w:after="0"/>
        <w:jc w:val="both"/>
      </w:pPr>
      <w:r w:rsidRPr="008A5D94">
        <w:t>właściwości użytkowe nawierzchni, w szczególności:</w:t>
      </w:r>
      <w:r w:rsidR="00363999" w:rsidRPr="008A5D94">
        <w:t>:</w:t>
      </w:r>
    </w:p>
    <w:p w14:paraId="03D34C7D" w14:textId="77777777" w:rsidR="001A4F67" w:rsidRPr="008A5D94" w:rsidRDefault="001A4F67" w:rsidP="008A5D94">
      <w:pPr>
        <w:pStyle w:val="Akapitzlist"/>
        <w:spacing w:after="0"/>
        <w:ind w:left="1418" w:hanging="425"/>
        <w:contextualSpacing w:val="0"/>
        <w:jc w:val="both"/>
      </w:pPr>
      <w:r w:rsidRPr="008A5D94">
        <w:t xml:space="preserve">a) </w:t>
      </w:r>
      <w:r w:rsidR="00363999" w:rsidRPr="008A5D94">
        <w:t>właściwości przeciwpoślizgowe,</w:t>
      </w:r>
    </w:p>
    <w:p w14:paraId="03D34C7E" w14:textId="77777777" w:rsidR="00363999" w:rsidRPr="008A5D94" w:rsidRDefault="001A4F67" w:rsidP="008A5D94">
      <w:pPr>
        <w:pStyle w:val="Akapitzlist"/>
        <w:spacing w:after="0"/>
        <w:ind w:left="1418" w:hanging="425"/>
        <w:contextualSpacing w:val="0"/>
        <w:jc w:val="both"/>
      </w:pPr>
      <w:r w:rsidRPr="008A5D94">
        <w:t xml:space="preserve">b) </w:t>
      </w:r>
      <w:r w:rsidR="00363999" w:rsidRPr="008A5D94">
        <w:t>równość poprzeczna,</w:t>
      </w:r>
    </w:p>
    <w:p w14:paraId="03D34C7F" w14:textId="77777777" w:rsidR="00363999" w:rsidRPr="008A5D94" w:rsidRDefault="001A4F67" w:rsidP="008A5D94">
      <w:pPr>
        <w:pStyle w:val="Akapitzlist"/>
        <w:spacing w:after="0"/>
        <w:ind w:left="1418" w:hanging="425"/>
        <w:contextualSpacing w:val="0"/>
        <w:jc w:val="both"/>
      </w:pPr>
      <w:r w:rsidRPr="008A5D94">
        <w:t xml:space="preserve">c) </w:t>
      </w:r>
      <w:r w:rsidR="00363999" w:rsidRPr="008A5D94">
        <w:t>równość podłużna,</w:t>
      </w:r>
    </w:p>
    <w:p w14:paraId="03D34C80" w14:textId="77777777" w:rsidR="001A4F67" w:rsidRPr="008A5D94" w:rsidRDefault="001A4F67" w:rsidP="008A5D94">
      <w:pPr>
        <w:pStyle w:val="Akapitzlist"/>
        <w:spacing w:after="0"/>
        <w:ind w:left="1418" w:hanging="425"/>
        <w:contextualSpacing w:val="0"/>
        <w:jc w:val="both"/>
      </w:pPr>
      <w:r w:rsidRPr="008A5D94">
        <w:t xml:space="preserve">d) </w:t>
      </w:r>
      <w:r w:rsidR="00363999" w:rsidRPr="008A5D94">
        <w:t>nośność nawierzchni,</w:t>
      </w:r>
    </w:p>
    <w:p w14:paraId="03D34C81" w14:textId="77777777" w:rsidR="001A4F67" w:rsidRPr="008A5D94" w:rsidRDefault="001A4F67" w:rsidP="008A5D94">
      <w:pPr>
        <w:pStyle w:val="Akapitzlist"/>
        <w:numPr>
          <w:ilvl w:val="0"/>
          <w:numId w:val="33"/>
        </w:numPr>
        <w:spacing w:after="0"/>
        <w:jc w:val="both"/>
      </w:pPr>
      <w:r w:rsidRPr="008A5D94">
        <w:t>wszelkie uszkodzenia nawierzchni, w szczególności:</w:t>
      </w:r>
    </w:p>
    <w:p w14:paraId="03D34C82" w14:textId="77777777" w:rsidR="00363999" w:rsidRPr="008A5D94" w:rsidRDefault="00363999" w:rsidP="001A4F67">
      <w:pPr>
        <w:pStyle w:val="Akapitzlist"/>
        <w:numPr>
          <w:ilvl w:val="0"/>
          <w:numId w:val="32"/>
        </w:numPr>
        <w:spacing w:after="0"/>
        <w:ind w:left="1418" w:hanging="425"/>
        <w:contextualSpacing w:val="0"/>
        <w:jc w:val="both"/>
      </w:pPr>
      <w:r w:rsidRPr="008A5D94">
        <w:t>spękania,</w:t>
      </w:r>
    </w:p>
    <w:p w14:paraId="03D34C83" w14:textId="77777777" w:rsidR="00363999" w:rsidRPr="008A5D94" w:rsidRDefault="00363999" w:rsidP="001A4F67">
      <w:pPr>
        <w:pStyle w:val="Akapitzlist"/>
        <w:numPr>
          <w:ilvl w:val="0"/>
          <w:numId w:val="32"/>
        </w:numPr>
        <w:spacing w:after="0"/>
        <w:ind w:left="1418" w:hanging="425"/>
        <w:contextualSpacing w:val="0"/>
        <w:jc w:val="both"/>
      </w:pPr>
      <w:r w:rsidRPr="008A5D94">
        <w:t>uszkodzenia powierzch</w:t>
      </w:r>
      <w:r w:rsidR="00CA6889" w:rsidRPr="008A5D94">
        <w:t>niowe</w:t>
      </w:r>
      <w:r w:rsidRPr="008A5D94">
        <w:t>.</w:t>
      </w:r>
    </w:p>
    <w:p w14:paraId="03D34C84" w14:textId="77777777" w:rsidR="00363999" w:rsidRPr="008A5D94" w:rsidRDefault="00363999" w:rsidP="00DB5D3C">
      <w:pPr>
        <w:spacing w:before="80"/>
        <w:ind w:left="1134" w:hanging="1134"/>
        <w:jc w:val="both"/>
      </w:pPr>
      <w:r w:rsidRPr="008A5D94">
        <w:t>Tabela 2.</w:t>
      </w:r>
      <w:r w:rsidRPr="008A5D94">
        <w:tab/>
        <w:t xml:space="preserve">Maksymalne dopuszczalne rodzaje uszkodzeń powierzchniowych nawierzchni liczone jako </w:t>
      </w:r>
      <w:r w:rsidR="002B5723">
        <w:t xml:space="preserve">ilość sztuk lub </w:t>
      </w:r>
      <w:r w:rsidRPr="008A5D94">
        <w:t>procent powierzchni na 1 km jezdni przed końcem okresu gwarancyjnego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5"/>
        <w:gridCol w:w="1973"/>
      </w:tblGrid>
      <w:tr w:rsidR="008A5D94" w:rsidRPr="008A5D94" w14:paraId="03D34C87" w14:textId="77777777" w:rsidTr="00BD40BF">
        <w:trPr>
          <w:trHeight w:val="330"/>
          <w:jc w:val="center"/>
        </w:trPr>
        <w:tc>
          <w:tcPr>
            <w:tcW w:w="7025" w:type="dxa"/>
            <w:shd w:val="clear" w:color="auto" w:fill="auto"/>
            <w:vAlign w:val="center"/>
          </w:tcPr>
          <w:p w14:paraId="03D34C85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Parametr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3D34C86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 xml:space="preserve">Wartość </w:t>
            </w:r>
            <w:r w:rsidR="005E0823">
              <w:rPr>
                <w:sz w:val="18"/>
              </w:rPr>
              <w:t>na 1 km</w:t>
            </w:r>
          </w:p>
        </w:tc>
      </w:tr>
      <w:tr w:rsidR="00363999" w:rsidRPr="008A5D94" w14:paraId="03D34C8A" w14:textId="77777777" w:rsidTr="00BD40BF">
        <w:trPr>
          <w:trHeight w:val="330"/>
          <w:jc w:val="center"/>
        </w:trPr>
        <w:tc>
          <w:tcPr>
            <w:tcW w:w="7025" w:type="dxa"/>
            <w:shd w:val="clear" w:color="auto" w:fill="auto"/>
          </w:tcPr>
          <w:p w14:paraId="03D34C88" w14:textId="77777777" w:rsidR="00363999" w:rsidRPr="008A5D94" w:rsidRDefault="00363999" w:rsidP="00CF29A3">
            <w:pPr>
              <w:spacing w:before="80" w:after="0"/>
              <w:jc w:val="both"/>
              <w:rPr>
                <w:sz w:val="18"/>
              </w:rPr>
            </w:pPr>
            <w:r w:rsidRPr="008A5D94">
              <w:rPr>
                <w:sz w:val="18"/>
              </w:rPr>
              <w:t xml:space="preserve">Spękania </w:t>
            </w:r>
            <w:r w:rsidR="00E233BC" w:rsidRPr="008A5D94">
              <w:rPr>
                <w:sz w:val="18"/>
              </w:rPr>
              <w:t>termiczne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3D34C89" w14:textId="77777777" w:rsidR="00363999" w:rsidRPr="008A5D94" w:rsidRDefault="005E0823" w:rsidP="005E0823">
            <w:pPr>
              <w:spacing w:before="80"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szt</w:t>
            </w:r>
            <w:proofErr w:type="spellEnd"/>
          </w:p>
        </w:tc>
      </w:tr>
      <w:tr w:rsidR="00363999" w:rsidRPr="008A5D94" w14:paraId="03D34C8D" w14:textId="77777777" w:rsidTr="00BD40BF">
        <w:trPr>
          <w:trHeight w:val="315"/>
          <w:jc w:val="center"/>
        </w:trPr>
        <w:tc>
          <w:tcPr>
            <w:tcW w:w="7025" w:type="dxa"/>
            <w:shd w:val="clear" w:color="auto" w:fill="auto"/>
          </w:tcPr>
          <w:p w14:paraId="03D34C8B" w14:textId="77777777" w:rsidR="00363999" w:rsidRPr="008A5D94" w:rsidRDefault="00363999" w:rsidP="00BD40BF">
            <w:pPr>
              <w:spacing w:before="80" w:after="0"/>
              <w:jc w:val="both"/>
              <w:rPr>
                <w:sz w:val="18"/>
              </w:rPr>
            </w:pPr>
            <w:r w:rsidRPr="008A5D94">
              <w:rPr>
                <w:sz w:val="18"/>
              </w:rPr>
              <w:t>Łaty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03D34C8C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1</w:t>
            </w:r>
            <w:r w:rsidR="00E233BC" w:rsidRPr="008A5D94">
              <w:rPr>
                <w:sz w:val="18"/>
              </w:rPr>
              <w:t>%</w:t>
            </w:r>
          </w:p>
        </w:tc>
      </w:tr>
    </w:tbl>
    <w:p w14:paraId="03D34C8E" w14:textId="77777777" w:rsidR="00E233BC" w:rsidRPr="008A5D94" w:rsidRDefault="00CA6889" w:rsidP="00363999">
      <w:pPr>
        <w:spacing w:before="80" w:after="0"/>
        <w:jc w:val="both"/>
      </w:pPr>
      <w:r w:rsidRPr="008A5D94">
        <w:t>Nie dopuszcza się występowania spękań siatkowych, skupisk spękań i pęknięć zmęczeniowych w okresie obowiązywania Gwarancji Jakości.</w:t>
      </w:r>
    </w:p>
    <w:p w14:paraId="03D34C8F" w14:textId="77777777" w:rsidR="00EA7018" w:rsidRDefault="00363999" w:rsidP="00363999">
      <w:pPr>
        <w:spacing w:before="80" w:after="0"/>
        <w:jc w:val="both"/>
      </w:pPr>
      <w:r w:rsidRPr="008A5D94">
        <w:t>W przypadku przekroczenia wymienionych w tabeli 2 wskaźników, Wykonawca jest zobowiązany przedstawić Zamawiającemu program naprawczy na wymianę całego zakresu nawierzchni z wadami wymienionymi w tabeli.</w:t>
      </w:r>
    </w:p>
    <w:p w14:paraId="03D34C90" w14:textId="77777777" w:rsidR="00EA7018" w:rsidRDefault="00EA7018">
      <w:pPr>
        <w:spacing w:after="160" w:line="259" w:lineRule="auto"/>
      </w:pPr>
      <w:r>
        <w:br w:type="page"/>
      </w:r>
    </w:p>
    <w:p w14:paraId="03D34C91" w14:textId="77777777" w:rsidR="00363999" w:rsidRPr="008A5D94" w:rsidRDefault="00363999" w:rsidP="00363999">
      <w:pPr>
        <w:pStyle w:val="Akapitzlist"/>
        <w:numPr>
          <w:ilvl w:val="2"/>
          <w:numId w:val="2"/>
        </w:numPr>
        <w:spacing w:before="80" w:after="0"/>
        <w:ind w:left="709" w:hanging="709"/>
        <w:contextualSpacing w:val="0"/>
        <w:jc w:val="both"/>
      </w:pPr>
      <w:r w:rsidRPr="008A5D94">
        <w:lastRenderedPageBreak/>
        <w:t>Parametry nawierzchni</w:t>
      </w:r>
    </w:p>
    <w:p w14:paraId="03D34C92" w14:textId="77777777" w:rsidR="002B5723" w:rsidRDefault="00363999" w:rsidP="00363999">
      <w:pPr>
        <w:pStyle w:val="Akapitzlist"/>
        <w:numPr>
          <w:ilvl w:val="3"/>
          <w:numId w:val="2"/>
        </w:numPr>
        <w:spacing w:before="80" w:after="0"/>
        <w:ind w:left="851" w:hanging="851"/>
        <w:contextualSpacing w:val="0"/>
        <w:jc w:val="both"/>
      </w:pPr>
      <w:r w:rsidRPr="008A5D94">
        <w:t>Właściwości przeciwpoślizgowe (miarodajny współczynnik tarcia)</w:t>
      </w:r>
    </w:p>
    <w:p w14:paraId="03D34C93" w14:textId="77777777" w:rsidR="002B5723" w:rsidRPr="002365DF" w:rsidRDefault="002B5723" w:rsidP="002365DF">
      <w:pPr>
        <w:spacing w:after="0" w:line="240" w:lineRule="auto"/>
        <w:rPr>
          <w:sz w:val="16"/>
        </w:rPr>
      </w:pPr>
    </w:p>
    <w:p w14:paraId="03D34C94" w14:textId="77777777" w:rsidR="00363999" w:rsidRDefault="00363999" w:rsidP="00363999">
      <w:pPr>
        <w:spacing w:before="80" w:after="0"/>
        <w:jc w:val="both"/>
      </w:pPr>
      <w:r w:rsidRPr="008A5D94">
        <w:t>Tabela 3.</w:t>
      </w:r>
      <w:r w:rsidRPr="008A5D94">
        <w:tab/>
        <w:t>Wymagane wartości miarodajnego współczynnika tarcia</w:t>
      </w:r>
      <w:r w:rsidR="00327107" w:rsidRPr="008A5D94">
        <w:t xml:space="preserve"> w okresie obowiązywania Gwarancji Jakości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5261"/>
        <w:gridCol w:w="2744"/>
      </w:tblGrid>
      <w:tr w:rsidR="00363999" w:rsidRPr="008A5D94" w14:paraId="03D34C98" w14:textId="77777777" w:rsidTr="00757391">
        <w:trPr>
          <w:trHeight w:val="552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03D34C95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Klasa drogi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03D34C96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Element nawierzchni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3D34C97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Miarodajny współczynnik tarcia*</w:t>
            </w:r>
          </w:p>
        </w:tc>
      </w:tr>
      <w:tr w:rsidR="00363999" w:rsidRPr="008A5D94" w14:paraId="03D34C9C" w14:textId="77777777" w:rsidTr="00757391">
        <w:trPr>
          <w:trHeight w:val="297"/>
          <w:jc w:val="center"/>
        </w:trPr>
        <w:tc>
          <w:tcPr>
            <w:tcW w:w="1057" w:type="dxa"/>
            <w:vMerge w:val="restart"/>
            <w:shd w:val="clear" w:color="auto" w:fill="auto"/>
            <w:vAlign w:val="center"/>
          </w:tcPr>
          <w:p w14:paraId="03D34C99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A, S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03D34C9A" w14:textId="77777777" w:rsidR="00363999" w:rsidRPr="008A5D94" w:rsidRDefault="00363999" w:rsidP="00BD40B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Pasy ruchu zasadnicze, dodatkowe, awaryjne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3D34C9B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≥ 0,40</w:t>
            </w:r>
          </w:p>
        </w:tc>
      </w:tr>
      <w:tr w:rsidR="00363999" w:rsidRPr="008A5D94" w14:paraId="03D34CA0" w14:textId="77777777" w:rsidTr="00757391">
        <w:trPr>
          <w:trHeight w:val="325"/>
          <w:jc w:val="center"/>
        </w:trPr>
        <w:tc>
          <w:tcPr>
            <w:tcW w:w="1057" w:type="dxa"/>
            <w:vMerge/>
            <w:shd w:val="clear" w:color="auto" w:fill="auto"/>
            <w:vAlign w:val="center"/>
          </w:tcPr>
          <w:p w14:paraId="03D34C9D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</w:p>
        </w:tc>
        <w:tc>
          <w:tcPr>
            <w:tcW w:w="5261" w:type="dxa"/>
            <w:shd w:val="clear" w:color="auto" w:fill="auto"/>
            <w:vAlign w:val="center"/>
          </w:tcPr>
          <w:p w14:paraId="03D34C9E" w14:textId="77777777" w:rsidR="00363999" w:rsidRPr="008A5D94" w:rsidRDefault="00363999" w:rsidP="00BD40BF">
            <w:pPr>
              <w:spacing w:before="80" w:after="0"/>
              <w:rPr>
                <w:sz w:val="18"/>
                <w:vertAlign w:val="superscript"/>
              </w:rPr>
            </w:pPr>
            <w:r w:rsidRPr="008A5D94">
              <w:rPr>
                <w:sz w:val="18"/>
              </w:rPr>
              <w:t>Pasy włączania i wyłączania, jezdnie łącznic</w:t>
            </w:r>
            <w:r w:rsidR="003E4E32" w:rsidRPr="008A5D94">
              <w:rPr>
                <w:sz w:val="18"/>
              </w:rPr>
              <w:t>**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3D34C9F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≥ 0,42</w:t>
            </w:r>
          </w:p>
        </w:tc>
      </w:tr>
      <w:tr w:rsidR="00363999" w:rsidRPr="008A5D94" w14:paraId="03D34CA4" w14:textId="77777777" w:rsidTr="00757391">
        <w:trPr>
          <w:trHeight w:val="311"/>
          <w:jc w:val="center"/>
        </w:trPr>
        <w:tc>
          <w:tcPr>
            <w:tcW w:w="1057" w:type="dxa"/>
            <w:shd w:val="clear" w:color="auto" w:fill="auto"/>
            <w:vAlign w:val="center"/>
          </w:tcPr>
          <w:p w14:paraId="03D34CA1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GP, G</w:t>
            </w:r>
          </w:p>
        </w:tc>
        <w:tc>
          <w:tcPr>
            <w:tcW w:w="5261" w:type="dxa"/>
            <w:shd w:val="clear" w:color="auto" w:fill="auto"/>
            <w:vAlign w:val="center"/>
          </w:tcPr>
          <w:p w14:paraId="03D34CA2" w14:textId="77777777" w:rsidR="00363999" w:rsidRPr="008A5D94" w:rsidRDefault="00363999" w:rsidP="00BD40B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Pasy ruchu, pasy dodatkowe, utwardzone pobocza</w:t>
            </w:r>
          </w:p>
        </w:tc>
        <w:tc>
          <w:tcPr>
            <w:tcW w:w="2744" w:type="dxa"/>
            <w:shd w:val="clear" w:color="auto" w:fill="auto"/>
            <w:vAlign w:val="center"/>
          </w:tcPr>
          <w:p w14:paraId="03D34CA3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≥ 0,36</w:t>
            </w:r>
          </w:p>
        </w:tc>
      </w:tr>
    </w:tbl>
    <w:p w14:paraId="03D34CA5" w14:textId="77777777" w:rsidR="00363999" w:rsidRPr="008A5D94" w:rsidRDefault="00757391" w:rsidP="00363999">
      <w:pPr>
        <w:tabs>
          <w:tab w:val="left" w:pos="426"/>
        </w:tabs>
        <w:spacing w:after="0"/>
        <w:jc w:val="both"/>
        <w:rPr>
          <w:sz w:val="16"/>
        </w:rPr>
      </w:pPr>
      <w:r w:rsidRPr="008A5D94">
        <w:rPr>
          <w:sz w:val="18"/>
        </w:rPr>
        <w:t>*</w:t>
      </w:r>
      <w:r w:rsidR="00363999" w:rsidRPr="008A5D94">
        <w:tab/>
      </w:r>
      <w:r w:rsidR="00363999" w:rsidRPr="008A5D94">
        <w:rPr>
          <w:i/>
          <w:sz w:val="16"/>
        </w:rPr>
        <w:t>podane wartości odnoszą się do miarodajnego współczynnika tarcia</w:t>
      </w:r>
      <w:r w:rsidR="00363999" w:rsidRPr="008A5D94">
        <w:rPr>
          <w:rStyle w:val="Odwoanieprzypisudolnego"/>
          <w:i/>
          <w:sz w:val="16"/>
        </w:rPr>
        <w:footnoteReference w:id="1"/>
      </w:r>
      <w:r w:rsidR="00363999" w:rsidRPr="008A5D94">
        <w:rPr>
          <w:i/>
          <w:sz w:val="16"/>
        </w:rPr>
        <w:t xml:space="preserve"> pomierzonego oponą PIARC 165/15R przy prędkości 60 km/h</w:t>
      </w:r>
      <w:r w:rsidR="00363999" w:rsidRPr="008A5D94">
        <w:rPr>
          <w:sz w:val="16"/>
        </w:rPr>
        <w:t>.</w:t>
      </w:r>
    </w:p>
    <w:p w14:paraId="03D34CA6" w14:textId="77777777" w:rsidR="00E233BC" w:rsidRPr="008A5D94" w:rsidRDefault="003E4E32" w:rsidP="00363999">
      <w:pPr>
        <w:tabs>
          <w:tab w:val="left" w:pos="426"/>
        </w:tabs>
        <w:spacing w:after="0"/>
        <w:jc w:val="both"/>
        <w:rPr>
          <w:sz w:val="16"/>
          <w:szCs w:val="16"/>
        </w:rPr>
      </w:pPr>
      <w:r w:rsidRPr="008A5D94">
        <w:rPr>
          <w:sz w:val="18"/>
        </w:rPr>
        <w:t>**</w:t>
      </w:r>
      <w:r w:rsidR="00757391" w:rsidRPr="008A5D94">
        <w:rPr>
          <w:sz w:val="16"/>
          <w:szCs w:val="16"/>
        </w:rPr>
        <w:tab/>
      </w:r>
      <w:r w:rsidR="00E233BC" w:rsidRPr="008A5D94">
        <w:rPr>
          <w:i/>
          <w:sz w:val="16"/>
          <w:szCs w:val="16"/>
        </w:rPr>
        <w:t>dopuszcza się pomiar przy 30km/h, wówczas wymagania należy odpowiednio przeliczyć</w:t>
      </w:r>
    </w:p>
    <w:p w14:paraId="03D34CA7" w14:textId="77777777" w:rsidR="00363999" w:rsidRPr="008A5D94" w:rsidRDefault="00363999" w:rsidP="00363999">
      <w:pPr>
        <w:spacing w:before="80" w:after="0"/>
        <w:jc w:val="both"/>
      </w:pPr>
      <w:r w:rsidRPr="008A5D94">
        <w:t>W tabeli 3 podano minimalne dopuszczalne wartości wskaźnika, poniżej których należy zastosować program naprawczy.</w:t>
      </w:r>
    </w:p>
    <w:p w14:paraId="03D34CA8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W przypadku Wady polegającej na nieuzyskaniu w trakcie badań odbiorowych wymaganego współczynnika tarcia nawierzchni poprzez usunięcie Wady rozumie się uzyskanie podczas ponownych pomiarów przeprowadzonych w okresie do 10 miesięcy od daty dopuszczenia odcinka do użytkowania wyników spełniających wymagania obowiązujących przepisów i wymagania Zamawiającego określone w </w:t>
      </w:r>
      <w:proofErr w:type="spellStart"/>
      <w:r w:rsidR="00CA6889" w:rsidRPr="008A5D94">
        <w:t>STWiORB</w:t>
      </w:r>
      <w:proofErr w:type="spellEnd"/>
      <w:r w:rsidRPr="008A5D94">
        <w:t>. Miarodajny współczynnik tarcia wyznacza się dla kilometrowych odcinków dróg. W przypadkach szczególnych, jak początek i koniec drogi, wartość miarodajną wyznacza się dla odcinków o długości 500 ÷ 1499 m.</w:t>
      </w:r>
    </w:p>
    <w:p w14:paraId="03D34CA9" w14:textId="77777777" w:rsidR="00363999" w:rsidRPr="008A5D94" w:rsidRDefault="00363999" w:rsidP="00363999">
      <w:pPr>
        <w:spacing w:before="80" w:after="0"/>
        <w:jc w:val="both"/>
      </w:pPr>
      <w:r w:rsidRPr="008A5D94">
        <w:t>Pomiar współczynnika tarcia powinien być określony na mokrej nawierzchni przy całkowitym poślizgu opony testowej. Pomiar wykonuje się w śladzie prawego lub lewego koła nie rzadziej niż co 50 m na nawierzchni zwilżanej wodą w ilości 0,5 l/m2, przy 100% poślizgu opony testowej rowkowanej (</w:t>
      </w:r>
      <w:proofErr w:type="spellStart"/>
      <w:r w:rsidRPr="008A5D94">
        <w:t>ribbed</w:t>
      </w:r>
      <w:proofErr w:type="spellEnd"/>
      <w:r w:rsidRPr="008A5D94">
        <w:t xml:space="preserve"> </w:t>
      </w:r>
      <w:proofErr w:type="spellStart"/>
      <w:r w:rsidRPr="008A5D94">
        <w:t>tyre</w:t>
      </w:r>
      <w:proofErr w:type="spellEnd"/>
      <w:r w:rsidRPr="008A5D94">
        <w:t xml:space="preserve">) rozmiaru 165 R 15 - zalecanej przez World Road </w:t>
      </w:r>
      <w:proofErr w:type="spellStart"/>
      <w:r w:rsidRPr="008A5D94">
        <w:t>Association</w:t>
      </w:r>
      <w:proofErr w:type="spellEnd"/>
      <w:r w:rsidRPr="008A5D94">
        <w:t xml:space="preserve"> PIARC, lub za pomocą innej wiarygodnej metody równoważnej, jeśli dysponuje się sprawdzoną zależnością korelacyjną umożliwiającą przeliczenie wyników pomiarów. Pomiary powinny być wykonywane w temperaturze otoczenia od 5ºC do 30ºC, na czystej nawierzchni.</w:t>
      </w:r>
    </w:p>
    <w:p w14:paraId="03D34CAA" w14:textId="77777777" w:rsidR="00363999" w:rsidRPr="002365DF" w:rsidRDefault="00363999" w:rsidP="00EA7018">
      <w:pPr>
        <w:spacing w:after="0"/>
        <w:jc w:val="both"/>
        <w:rPr>
          <w:sz w:val="16"/>
        </w:rPr>
      </w:pPr>
    </w:p>
    <w:p w14:paraId="03D34CAB" w14:textId="77777777" w:rsidR="00363999" w:rsidRPr="008A5D94" w:rsidRDefault="00363999" w:rsidP="00363999">
      <w:pPr>
        <w:pStyle w:val="Akapitzlist"/>
        <w:numPr>
          <w:ilvl w:val="3"/>
          <w:numId w:val="2"/>
        </w:numPr>
        <w:spacing w:before="80" w:after="0"/>
        <w:ind w:left="851" w:hanging="851"/>
        <w:contextualSpacing w:val="0"/>
        <w:jc w:val="both"/>
      </w:pPr>
      <w:r w:rsidRPr="008A5D94">
        <w:t>Równość poprzeczna</w:t>
      </w:r>
    </w:p>
    <w:p w14:paraId="03D34CAC" w14:textId="77777777" w:rsidR="00363999" w:rsidRPr="008A5D94" w:rsidRDefault="00363999" w:rsidP="00363999">
      <w:pPr>
        <w:tabs>
          <w:tab w:val="left" w:pos="1134"/>
        </w:tabs>
        <w:spacing w:before="80" w:after="0"/>
        <w:jc w:val="both"/>
      </w:pPr>
      <w:r w:rsidRPr="008A5D94">
        <w:t>Tabela 4.</w:t>
      </w:r>
      <w:r w:rsidRPr="008A5D94">
        <w:tab/>
        <w:t>Wymagane wartości głębokości koleiny</w:t>
      </w:r>
      <w:r w:rsidR="00820738">
        <w:t>*** (prawej, lewej, pełnej)</w:t>
      </w:r>
      <w:r w:rsidRPr="008A5D94">
        <w:t xml:space="preserve"> </w:t>
      </w:r>
      <w:r w:rsidR="00327107" w:rsidRPr="008A5D94">
        <w:t>w okresie obowiązywania Gwarancji Jakości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3809"/>
        <w:gridCol w:w="3781"/>
      </w:tblGrid>
      <w:tr w:rsidR="004B5DEA" w:rsidRPr="008A5D94" w14:paraId="03D34CB0" w14:textId="77777777" w:rsidTr="004B5DEA">
        <w:trPr>
          <w:trHeight w:val="689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3D34CAD" w14:textId="77777777" w:rsidR="004B5DEA" w:rsidRPr="008A5D94" w:rsidRDefault="004B5DEA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Klasa drogi</w:t>
            </w:r>
          </w:p>
        </w:tc>
        <w:tc>
          <w:tcPr>
            <w:tcW w:w="3809" w:type="dxa"/>
            <w:shd w:val="clear" w:color="auto" w:fill="auto"/>
            <w:vAlign w:val="center"/>
          </w:tcPr>
          <w:p w14:paraId="03D34CAE" w14:textId="77777777" w:rsidR="004B5DEA" w:rsidRPr="008A5D94" w:rsidRDefault="004B5DEA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 xml:space="preserve">Miarodajna głębokość koleiny wyznaczona dla 50 m odcinka drogi </w:t>
            </w:r>
            <w:proofErr w:type="spellStart"/>
            <w:r w:rsidRPr="008A5D94">
              <w:rPr>
                <w:sz w:val="18"/>
              </w:rPr>
              <w:t>H</w:t>
            </w:r>
            <w:r w:rsidRPr="008A5D94">
              <w:rPr>
                <w:sz w:val="18"/>
                <w:vertAlign w:val="subscript"/>
              </w:rPr>
              <w:t>m</w:t>
            </w:r>
            <w:proofErr w:type="spellEnd"/>
            <w:r w:rsidRPr="008A5D94">
              <w:rPr>
                <w:sz w:val="18"/>
              </w:rPr>
              <w:t>, [mm]</w:t>
            </w:r>
          </w:p>
        </w:tc>
        <w:tc>
          <w:tcPr>
            <w:tcW w:w="3781" w:type="dxa"/>
            <w:vAlign w:val="center"/>
          </w:tcPr>
          <w:p w14:paraId="03D34CAF" w14:textId="77777777" w:rsidR="004B5DEA" w:rsidRPr="008A5D94" w:rsidRDefault="004B5DEA" w:rsidP="004B5DEA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Maksymalna głębokość koleiny [mm]</w:t>
            </w:r>
          </w:p>
        </w:tc>
      </w:tr>
      <w:tr w:rsidR="004B5DEA" w:rsidRPr="008A5D94" w14:paraId="03D34CB4" w14:textId="77777777" w:rsidTr="004B5DEA">
        <w:trPr>
          <w:trHeight w:val="275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03D34CB1" w14:textId="77777777" w:rsidR="004B5DEA" w:rsidRPr="008A5D94" w:rsidRDefault="004B5DEA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A, S, GP, G</w:t>
            </w:r>
          </w:p>
        </w:tc>
        <w:tc>
          <w:tcPr>
            <w:tcW w:w="3809" w:type="dxa"/>
            <w:shd w:val="clear" w:color="auto" w:fill="auto"/>
            <w:vAlign w:val="center"/>
          </w:tcPr>
          <w:p w14:paraId="03D34CB2" w14:textId="77777777" w:rsidR="004B5DEA" w:rsidRPr="008A5D94" w:rsidRDefault="004B5DEA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10</w:t>
            </w:r>
          </w:p>
        </w:tc>
        <w:tc>
          <w:tcPr>
            <w:tcW w:w="3781" w:type="dxa"/>
          </w:tcPr>
          <w:p w14:paraId="03D34CB3" w14:textId="77777777" w:rsidR="004B5DEA" w:rsidRPr="008A5D94" w:rsidRDefault="004B5DEA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 xml:space="preserve">≤ </w:t>
            </w:r>
            <w:r>
              <w:rPr>
                <w:sz w:val="18"/>
              </w:rPr>
              <w:t>6</w:t>
            </w:r>
          </w:p>
        </w:tc>
      </w:tr>
    </w:tbl>
    <w:p w14:paraId="03D34CB5" w14:textId="77777777" w:rsidR="002365DF" w:rsidRPr="002365DF" w:rsidRDefault="002365DF" w:rsidP="00363999">
      <w:pPr>
        <w:spacing w:before="80" w:after="0"/>
        <w:jc w:val="both"/>
        <w:rPr>
          <w:i/>
          <w:sz w:val="16"/>
        </w:rPr>
      </w:pPr>
      <w:r w:rsidRPr="002365DF">
        <w:rPr>
          <w:i/>
          <w:sz w:val="16"/>
        </w:rPr>
        <w:t>***</w:t>
      </w:r>
      <w:r>
        <w:rPr>
          <w:i/>
          <w:sz w:val="16"/>
        </w:rPr>
        <w:tab/>
      </w:r>
      <w:r w:rsidRPr="002365DF">
        <w:rPr>
          <w:i/>
          <w:sz w:val="16"/>
        </w:rPr>
        <w:t>głębokość koleiny — obliczana jako wielkość największego prześwitu pomiędzy zarejestrowanym profilem poprzecznym nawierzchni w danej lokalizacji a przyjęt</w:t>
      </w:r>
      <w:r w:rsidR="00AF58DA">
        <w:rPr>
          <w:i/>
          <w:sz w:val="16"/>
        </w:rPr>
        <w:t>ą</w:t>
      </w:r>
      <w:r w:rsidRPr="002365DF">
        <w:rPr>
          <w:i/>
          <w:sz w:val="16"/>
        </w:rPr>
        <w:t xml:space="preserve"> linią odniesienia (łatą teoretyczną </w:t>
      </w:r>
      <w:r w:rsidR="00AF58DA">
        <w:rPr>
          <w:i/>
          <w:sz w:val="16"/>
        </w:rPr>
        <w:t>określaną zgodnie z DSN</w:t>
      </w:r>
      <w:r w:rsidRPr="002365DF">
        <w:rPr>
          <w:i/>
          <w:sz w:val="16"/>
        </w:rPr>
        <w:t>).</w:t>
      </w:r>
    </w:p>
    <w:p w14:paraId="03D34CB6" w14:textId="77777777" w:rsidR="00363999" w:rsidRPr="008A5D94" w:rsidRDefault="00363999" w:rsidP="00363999">
      <w:pPr>
        <w:spacing w:before="80" w:after="0"/>
        <w:jc w:val="both"/>
      </w:pPr>
      <w:r w:rsidRPr="008A5D94">
        <w:t>W tabeli 4 podano maksymalną dopuszczalną głębokość koleiny, powyżej której należy zastosować program naprawczy.</w:t>
      </w:r>
    </w:p>
    <w:p w14:paraId="03D34CB7" w14:textId="77777777" w:rsidR="00363999" w:rsidRDefault="00363999" w:rsidP="00363999">
      <w:pPr>
        <w:pStyle w:val="Akapitzlist"/>
        <w:numPr>
          <w:ilvl w:val="0"/>
          <w:numId w:val="1"/>
        </w:numPr>
        <w:spacing w:before="80" w:after="0"/>
        <w:ind w:left="284" w:hanging="284"/>
        <w:contextualSpacing w:val="0"/>
        <w:jc w:val="both"/>
      </w:pPr>
      <w:r w:rsidRPr="008A5D94">
        <w:rPr>
          <w:u w:val="single"/>
        </w:rPr>
        <w:lastRenderedPageBreak/>
        <w:t>Miarodajna głębokość koleiny</w:t>
      </w:r>
      <w:r w:rsidRPr="008A5D94">
        <w:t xml:space="preserve"> wyznaczona dla 50 m odcinka drogi – jest równa sumie wartości średniej E[h] i dwóch odchyleń standardowych </w:t>
      </w:r>
      <w:proofErr w:type="spellStart"/>
      <w:r w:rsidRPr="008A5D94">
        <w:t>D</w:t>
      </w:r>
      <w:r w:rsidRPr="008A5D94">
        <w:rPr>
          <w:vertAlign w:val="subscript"/>
        </w:rPr>
        <w:t>h</w:t>
      </w:r>
      <w:proofErr w:type="spellEnd"/>
      <w:r w:rsidRPr="008A5D94">
        <w:t xml:space="preserve">, które oblicza się dla zbioru 50 wyników z automatycznego pomiaru głębokości koleiny z ustalonym krokiem pomiarowym (h) równym 1 m i oblicza się </w:t>
      </w:r>
      <w:r w:rsidR="00DC11E3">
        <w:t>wg poniższego wzoru:</w:t>
      </w:r>
    </w:p>
    <w:p w14:paraId="03D34CB8" w14:textId="77777777" w:rsidR="00363999" w:rsidRPr="008A5D94" w:rsidRDefault="00363999" w:rsidP="00363999">
      <w:pPr>
        <w:spacing w:before="80" w:after="0"/>
        <w:jc w:val="center"/>
      </w:pPr>
      <w:proofErr w:type="spellStart"/>
      <w:r w:rsidRPr="008A5D94">
        <w:t>H</w:t>
      </w:r>
      <w:r w:rsidRPr="008A5D94">
        <w:rPr>
          <w:vertAlign w:val="subscript"/>
        </w:rPr>
        <w:t>m</w:t>
      </w:r>
      <w:proofErr w:type="spellEnd"/>
      <w:r w:rsidRPr="008A5D94">
        <w:t xml:space="preserve"> = E[h] + 2D</w:t>
      </w:r>
      <w:r w:rsidRPr="008A5D94">
        <w:rPr>
          <w:vertAlign w:val="subscript"/>
        </w:rPr>
        <w:t>h</w:t>
      </w:r>
    </w:p>
    <w:p w14:paraId="03D34CB9" w14:textId="77777777" w:rsidR="00363999" w:rsidRPr="008A5D94" w:rsidRDefault="00363999" w:rsidP="00363999">
      <w:pPr>
        <w:spacing w:after="0"/>
        <w:ind w:left="284"/>
        <w:jc w:val="both"/>
      </w:pPr>
      <w:r w:rsidRPr="008A5D94">
        <w:t>gdzie:</w:t>
      </w:r>
    </w:p>
    <w:p w14:paraId="03D34CBA" w14:textId="77777777" w:rsidR="00363999" w:rsidRPr="008A5D94" w:rsidRDefault="00363999" w:rsidP="00363999">
      <w:pPr>
        <w:tabs>
          <w:tab w:val="left" w:pos="993"/>
        </w:tabs>
        <w:spacing w:after="0"/>
        <w:ind w:left="284"/>
      </w:pPr>
      <w:proofErr w:type="spellStart"/>
      <w:r w:rsidRPr="008A5D94">
        <w:t>H</w:t>
      </w:r>
      <w:r w:rsidRPr="008A5D94">
        <w:rPr>
          <w:vertAlign w:val="subscript"/>
        </w:rPr>
        <w:t>m</w:t>
      </w:r>
      <w:proofErr w:type="spellEnd"/>
      <w:r w:rsidRPr="008A5D94">
        <w:tab/>
        <w:t>miarodajna głębokość koleiny dla odcinka 50 metrowego</w:t>
      </w:r>
    </w:p>
    <w:p w14:paraId="03D34CBB" w14:textId="77777777" w:rsidR="00363999" w:rsidRPr="008A5D94" w:rsidRDefault="00363999" w:rsidP="00363999">
      <w:pPr>
        <w:tabs>
          <w:tab w:val="left" w:pos="993"/>
        </w:tabs>
        <w:spacing w:after="0"/>
        <w:ind w:left="993" w:hanging="709"/>
      </w:pPr>
      <w:r w:rsidRPr="008A5D94">
        <w:t>E[h]</w:t>
      </w:r>
      <w:r w:rsidRPr="008A5D94">
        <w:tab/>
        <w:t>wartość średnia z n pojedynczych pomiarów dla ustalonego kroku pomiarowego h</w:t>
      </w:r>
    </w:p>
    <w:p w14:paraId="03D34CBC" w14:textId="77777777" w:rsidR="00363999" w:rsidRDefault="00363999" w:rsidP="00363999">
      <w:pPr>
        <w:tabs>
          <w:tab w:val="left" w:pos="993"/>
        </w:tabs>
        <w:spacing w:after="0"/>
        <w:ind w:left="284"/>
      </w:pPr>
      <w:proofErr w:type="spellStart"/>
      <w:r w:rsidRPr="008A5D94">
        <w:t>D</w:t>
      </w:r>
      <w:r w:rsidRPr="008A5D94">
        <w:rPr>
          <w:vertAlign w:val="subscript"/>
        </w:rPr>
        <w:t>h</w:t>
      </w:r>
      <w:proofErr w:type="spellEnd"/>
      <w:r w:rsidRPr="008A5D94">
        <w:tab/>
        <w:t>odchylenie standardowe dla odcinka 50 metrowego</w:t>
      </w:r>
    </w:p>
    <w:p w14:paraId="03D34CBD" w14:textId="77777777" w:rsidR="00DB5D3C" w:rsidRPr="008A5D94" w:rsidRDefault="00DB5D3C" w:rsidP="00363999">
      <w:pPr>
        <w:tabs>
          <w:tab w:val="left" w:pos="993"/>
        </w:tabs>
        <w:spacing w:after="0"/>
        <w:ind w:left="284"/>
      </w:pPr>
    </w:p>
    <w:p w14:paraId="03D34CBE" w14:textId="77777777" w:rsidR="00363999" w:rsidRPr="008A5D94" w:rsidRDefault="00363999" w:rsidP="00363999">
      <w:pPr>
        <w:pStyle w:val="Akapitzlist"/>
        <w:numPr>
          <w:ilvl w:val="3"/>
          <w:numId w:val="2"/>
        </w:numPr>
        <w:spacing w:before="80" w:after="0"/>
        <w:ind w:left="851" w:hanging="851"/>
        <w:contextualSpacing w:val="0"/>
        <w:jc w:val="both"/>
      </w:pPr>
      <w:r w:rsidRPr="008A5D94">
        <w:t xml:space="preserve">Równość podłużna </w:t>
      </w:r>
    </w:p>
    <w:p w14:paraId="03D34CBF" w14:textId="77777777" w:rsidR="00363999" w:rsidRPr="008A5D94" w:rsidRDefault="00363999" w:rsidP="00363999">
      <w:pPr>
        <w:spacing w:before="80" w:after="0"/>
        <w:jc w:val="both"/>
      </w:pPr>
      <w:r w:rsidRPr="008A5D94">
        <w:t>Do oceny równości podłużnej warstwy ścieralnej nawierz</w:t>
      </w:r>
      <w:r w:rsidR="00CD4C3F">
        <w:t>chni dróg klasy A, S, GP oraz G </w:t>
      </w:r>
      <w:r w:rsidRPr="008A5D94">
        <w:t>należy stosować metodę profilometryczną bazującą na wskaźnikach równości IRI [mm/m]. Profil nierówności warstwy nawierzchni należy rejestrować z krokiem co 10 cm. Wartość IRI standardowo należy wyznaczać z krokiem co 50 m. Pomiary należy wykonywać w śladzie prawego koła.</w:t>
      </w:r>
    </w:p>
    <w:p w14:paraId="03D34CC0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Wymagana równość podłużna jest określona przez wartość średnią wyników pomiaru </w:t>
      </w:r>
      <w:proofErr w:type="spellStart"/>
      <w:r w:rsidRPr="008A5D94">
        <w:t>IRI</w:t>
      </w:r>
      <w:r w:rsidRPr="008A5D94">
        <w:rPr>
          <w:vertAlign w:val="subscript"/>
        </w:rPr>
        <w:t>śr</w:t>
      </w:r>
      <w:proofErr w:type="spellEnd"/>
      <w:r w:rsidRPr="008A5D94">
        <w:t xml:space="preserve"> oraz wartość maksymalną pojedynczego pomiaru </w:t>
      </w:r>
      <w:proofErr w:type="spellStart"/>
      <w:r w:rsidRPr="008A5D94">
        <w:t>IRI</w:t>
      </w:r>
      <w:r w:rsidRPr="008A5D94">
        <w:rPr>
          <w:vertAlign w:val="subscript"/>
        </w:rPr>
        <w:t>max</w:t>
      </w:r>
      <w:proofErr w:type="spellEnd"/>
      <w:r w:rsidRPr="008A5D94">
        <w:t>, których nie można przekroczyć na długości ocenianego odcinka nawierzchni nie dłuższego niż 1000 m</w:t>
      </w:r>
      <w:r w:rsidR="00586FCA" w:rsidRPr="008A5D94">
        <w:t xml:space="preserve">, przy czym odcinek końcowy o długości mniejszej niż 500 m należy oceniać łącznie z odcinkiem </w:t>
      </w:r>
      <w:proofErr w:type="spellStart"/>
      <w:r w:rsidR="00586FCA" w:rsidRPr="008A5D94">
        <w:t>poprzedzajacym</w:t>
      </w:r>
      <w:proofErr w:type="spellEnd"/>
      <w:r w:rsidRPr="008A5D94">
        <w:t xml:space="preserve">. W przypadku odcinka nawierzchni o całkowitej długości mniejszej niż 500 m, dopuszczalną wartość </w:t>
      </w:r>
      <w:proofErr w:type="spellStart"/>
      <w:r w:rsidRPr="008A5D94">
        <w:t>IRI</w:t>
      </w:r>
      <w:r w:rsidRPr="008A5D94">
        <w:rPr>
          <w:vertAlign w:val="subscript"/>
        </w:rPr>
        <w:t>śr</w:t>
      </w:r>
      <w:proofErr w:type="spellEnd"/>
      <w:r w:rsidRPr="008A5D94">
        <w:t xml:space="preserve"> wg tabeli 5 należy zwiększyć o 0,2 mm/m.</w:t>
      </w:r>
    </w:p>
    <w:p w14:paraId="03D34CC1" w14:textId="77777777" w:rsidR="00363999" w:rsidRDefault="00363999" w:rsidP="00363999">
      <w:pPr>
        <w:spacing w:before="80" w:after="0"/>
        <w:jc w:val="both"/>
      </w:pPr>
      <w:r w:rsidRPr="008A5D94">
        <w:t>Dopuszcza się stosowanie równoważnej, wiarygodnej aparatury pomiarowej, jeśli dysponuje się sprawdzoną zależnością korelacyjną umożliwiającą przeliczenie wyników pomiarów na wartości uzyskiwane profilografem laserowym.</w:t>
      </w:r>
    </w:p>
    <w:p w14:paraId="03D34CC2" w14:textId="77777777" w:rsidR="00363999" w:rsidRDefault="00363999" w:rsidP="00363999">
      <w:pPr>
        <w:tabs>
          <w:tab w:val="left" w:pos="1134"/>
        </w:tabs>
        <w:spacing w:before="80" w:after="0"/>
        <w:jc w:val="both"/>
      </w:pPr>
      <w:r w:rsidRPr="008A5D94">
        <w:t>Tabela 5.</w:t>
      </w:r>
      <w:r w:rsidRPr="008A5D94">
        <w:tab/>
        <w:t>Wymagane parametry równości podłużnej</w:t>
      </w:r>
      <w:r w:rsidR="00327107" w:rsidRPr="008A5D94">
        <w:t xml:space="preserve"> </w:t>
      </w:r>
      <w:r w:rsidR="00D21BB6" w:rsidRPr="008A5D94">
        <w:t>w</w:t>
      </w:r>
      <w:r w:rsidR="00327107" w:rsidRPr="008A5D94">
        <w:t xml:space="preserve"> </w:t>
      </w:r>
      <w:r w:rsidR="00990418">
        <w:t>okresie obowiązywania Gwarancji </w:t>
      </w:r>
      <w:r w:rsidR="00327107" w:rsidRPr="008A5D94">
        <w:t>Jakości</w:t>
      </w:r>
    </w:p>
    <w:tbl>
      <w:tblPr>
        <w:tblStyle w:val="Tabela-Siatk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2693"/>
        <w:gridCol w:w="2551"/>
      </w:tblGrid>
      <w:tr w:rsidR="00886BF1" w:rsidRPr="00DC11E3" w14:paraId="03D34CC6" w14:textId="77777777" w:rsidTr="00E00D11">
        <w:trPr>
          <w:trHeight w:val="6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CC3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Klasa drogi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CC4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Element nawierzchni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4CC5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Zakres wartości równości podłużnej wyrażonej wskaźnikiem równości IRI</w:t>
            </w:r>
            <w:r>
              <w:rPr>
                <w:sz w:val="18"/>
                <w:szCs w:val="18"/>
              </w:rPr>
              <w:t xml:space="preserve"> </w:t>
            </w:r>
            <w:r w:rsidRPr="00DC11E3">
              <w:rPr>
                <w:sz w:val="18"/>
                <w:szCs w:val="18"/>
              </w:rPr>
              <w:t>[mm/m]</w:t>
            </w:r>
          </w:p>
        </w:tc>
      </w:tr>
      <w:tr w:rsidR="00886BF1" w:rsidRPr="00DC11E3" w14:paraId="03D34CCB" w14:textId="77777777" w:rsidTr="00E00D11">
        <w:trPr>
          <w:trHeight w:val="24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CC7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CC8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CC9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C11E3">
              <w:rPr>
                <w:sz w:val="18"/>
                <w:szCs w:val="18"/>
              </w:rPr>
              <w:t>IRI</w:t>
            </w:r>
            <w:r w:rsidRPr="00DC11E3">
              <w:rPr>
                <w:sz w:val="18"/>
                <w:szCs w:val="18"/>
                <w:vertAlign w:val="subscript"/>
              </w:rPr>
              <w:t>śr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CCA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C11E3">
              <w:rPr>
                <w:sz w:val="18"/>
                <w:szCs w:val="18"/>
              </w:rPr>
              <w:t>IRI</w:t>
            </w:r>
            <w:r w:rsidRPr="00DC11E3">
              <w:rPr>
                <w:sz w:val="18"/>
                <w:szCs w:val="18"/>
                <w:vertAlign w:val="subscript"/>
              </w:rPr>
              <w:t>max</w:t>
            </w:r>
            <w:proofErr w:type="spellEnd"/>
          </w:p>
        </w:tc>
      </w:tr>
      <w:tr w:rsidR="00E00D11" w:rsidRPr="00DC11E3" w14:paraId="03D34CD1" w14:textId="77777777" w:rsidTr="00E00D11">
        <w:trPr>
          <w:trHeight w:val="4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CCC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CCD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CF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wymagany w okresie obowiązywania Gwarancji Jakości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D0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wymagany w okresie obowiązywania Gwarancji Jakości</w:t>
            </w:r>
          </w:p>
        </w:tc>
      </w:tr>
      <w:tr w:rsidR="00E00D11" w:rsidRPr="00DC11E3" w14:paraId="03D34CD7" w14:textId="77777777" w:rsidTr="00E00D11">
        <w:trPr>
          <w:trHeight w:val="135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CD2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A, S, GP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CD3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342E">
              <w:rPr>
                <w:sz w:val="18"/>
                <w:szCs w:val="18"/>
              </w:rPr>
              <w:t>Pasy ruchu zasadnicze, awaryjne, dodatkowe, włączenia i wyłączenia, jezdnie łącznic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D5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</w:t>
            </w:r>
            <w:r w:rsidRPr="00DC11E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D6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 2,6</w:t>
            </w:r>
          </w:p>
        </w:tc>
      </w:tr>
      <w:tr w:rsidR="00E00D11" w:rsidRPr="00DC11E3" w14:paraId="03D34CE9" w14:textId="77777777" w:rsidTr="00E00D11">
        <w:trPr>
          <w:trHeight w:hRule="exact" w:val="5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CE4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CE5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72662C">
              <w:rPr>
                <w:sz w:val="18"/>
                <w:szCs w:val="18"/>
              </w:rPr>
              <w:t>twardzone</w:t>
            </w:r>
            <w:r>
              <w:rPr>
                <w:sz w:val="18"/>
                <w:szCs w:val="18"/>
              </w:rPr>
              <w:t xml:space="preserve"> </w:t>
            </w:r>
            <w:r w:rsidRPr="0072662C">
              <w:rPr>
                <w:sz w:val="18"/>
                <w:szCs w:val="18"/>
              </w:rPr>
              <w:t>pobocza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E7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E8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2,6</w:t>
            </w:r>
          </w:p>
        </w:tc>
      </w:tr>
      <w:tr w:rsidR="00E00D11" w:rsidRPr="00DC11E3" w14:paraId="03D34CEF" w14:textId="77777777" w:rsidTr="00E00D11">
        <w:trPr>
          <w:trHeight w:hRule="exact" w:val="5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CEA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CEB" w14:textId="77777777" w:rsidR="00E00D11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Jezdnie MOP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ED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EE" w14:textId="77777777" w:rsidR="00E00D11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2,9</w:t>
            </w:r>
          </w:p>
        </w:tc>
      </w:tr>
      <w:tr w:rsidR="00E00D11" w:rsidRPr="00DC11E3" w14:paraId="03D34CF5" w14:textId="77777777" w:rsidTr="00E00D11">
        <w:trPr>
          <w:trHeight w:val="1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CF0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CF1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342E">
              <w:rPr>
                <w:sz w:val="18"/>
                <w:szCs w:val="18"/>
              </w:rPr>
              <w:t>Pasy ruchu zas</w:t>
            </w:r>
            <w:r>
              <w:rPr>
                <w:sz w:val="18"/>
                <w:szCs w:val="18"/>
              </w:rPr>
              <w:t xml:space="preserve">adnicze, dodatkowe, włączenia i </w:t>
            </w:r>
            <w:r w:rsidRPr="00DA342E">
              <w:rPr>
                <w:sz w:val="18"/>
                <w:szCs w:val="18"/>
              </w:rPr>
              <w:t>wyłączenia, postojowe</w:t>
            </w:r>
            <w:r>
              <w:rPr>
                <w:sz w:val="18"/>
                <w:szCs w:val="18"/>
              </w:rPr>
              <w:t>,</w:t>
            </w:r>
            <w:r w:rsidRPr="00DA342E">
              <w:rPr>
                <w:sz w:val="18"/>
                <w:szCs w:val="18"/>
              </w:rPr>
              <w:t xml:space="preserve"> jezdnie łącznic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F3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CF4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 3,6</w:t>
            </w:r>
          </w:p>
        </w:tc>
      </w:tr>
      <w:tr w:rsidR="00E00D11" w:rsidRPr="00DC11E3" w14:paraId="03D34D07" w14:textId="77777777" w:rsidTr="00E00D11">
        <w:trPr>
          <w:trHeight w:hRule="exact" w:val="45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D02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D03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62C">
              <w:rPr>
                <w:sz w:val="18"/>
                <w:szCs w:val="18"/>
              </w:rPr>
              <w:t>Utwardzone</w:t>
            </w:r>
            <w:r>
              <w:rPr>
                <w:sz w:val="18"/>
                <w:szCs w:val="18"/>
              </w:rPr>
              <w:t xml:space="preserve"> </w:t>
            </w:r>
            <w:r w:rsidRPr="0072662C">
              <w:rPr>
                <w:sz w:val="18"/>
                <w:szCs w:val="18"/>
              </w:rPr>
              <w:t>pobocza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05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06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3,6</w:t>
            </w:r>
          </w:p>
        </w:tc>
      </w:tr>
    </w:tbl>
    <w:p w14:paraId="03D34D08" w14:textId="77777777" w:rsidR="000F071A" w:rsidRPr="008A5D94" w:rsidRDefault="00D21BB6" w:rsidP="00363999">
      <w:pPr>
        <w:spacing w:before="80" w:after="0"/>
        <w:jc w:val="both"/>
      </w:pPr>
      <w:r w:rsidRPr="008A5D94">
        <w:lastRenderedPageBreak/>
        <w:t>W Tabel</w:t>
      </w:r>
      <w:r w:rsidR="005E4CC7">
        <w:t>i</w:t>
      </w:r>
      <w:r w:rsidRPr="008A5D94">
        <w:t xml:space="preserve"> 5 podano maksymalne dopuszczalne wartości wskaźników wymaganych w okresie obowiązywania Gwarancji Jakości, powyżej których należy zastosować program naprawczy.</w:t>
      </w:r>
    </w:p>
    <w:p w14:paraId="03D34D09" w14:textId="77777777" w:rsidR="000F071A" w:rsidRPr="008A5D94" w:rsidRDefault="000F071A" w:rsidP="00363999">
      <w:pPr>
        <w:spacing w:before="80" w:after="0"/>
        <w:jc w:val="both"/>
      </w:pPr>
    </w:p>
    <w:p w14:paraId="03D34D0A" w14:textId="77777777" w:rsidR="00363999" w:rsidRPr="008A5D94" w:rsidRDefault="00363999" w:rsidP="00363999">
      <w:pPr>
        <w:numPr>
          <w:ilvl w:val="3"/>
          <w:numId w:val="2"/>
        </w:numPr>
        <w:spacing w:before="80" w:after="0"/>
        <w:ind w:left="851" w:hanging="851"/>
        <w:jc w:val="both"/>
      </w:pPr>
      <w:r w:rsidRPr="008A5D94">
        <w:t>Nośność nawierzchni</w:t>
      </w:r>
    </w:p>
    <w:p w14:paraId="03D34D0B" w14:textId="77777777" w:rsidR="00363999" w:rsidRPr="008A5D94" w:rsidRDefault="00363999" w:rsidP="00363999">
      <w:pPr>
        <w:spacing w:before="80" w:after="0"/>
        <w:jc w:val="both"/>
      </w:pPr>
      <w:r w:rsidRPr="008A5D94">
        <w:t>Stan nośności warstw konstrukcyjnych nawierzchni będzie oceniany w oparciu o pomiary ugięć aparatem FWD. Aparat FWD (</w:t>
      </w:r>
      <w:proofErr w:type="spellStart"/>
      <w:r w:rsidRPr="008A5D94">
        <w:t>Falling</w:t>
      </w:r>
      <w:proofErr w:type="spellEnd"/>
      <w:r w:rsidRPr="008A5D94">
        <w:t xml:space="preserve"> </w:t>
      </w:r>
      <w:proofErr w:type="spellStart"/>
      <w:r w:rsidRPr="008A5D94">
        <w:t>Weight</w:t>
      </w:r>
      <w:proofErr w:type="spellEnd"/>
      <w:r w:rsidRPr="008A5D94">
        <w:t xml:space="preserve"> </w:t>
      </w:r>
      <w:proofErr w:type="spellStart"/>
      <w:r w:rsidRPr="008A5D94">
        <w:t>Deflectometer</w:t>
      </w:r>
      <w:proofErr w:type="spellEnd"/>
      <w:r w:rsidRPr="008A5D94">
        <w:t xml:space="preserve">) jest to </w:t>
      </w:r>
      <w:proofErr w:type="spellStart"/>
      <w:r w:rsidRPr="008A5D94">
        <w:t>ugięciomierz</w:t>
      </w:r>
      <w:proofErr w:type="spellEnd"/>
      <w:r w:rsidRPr="008A5D94">
        <w:t xml:space="preserve"> dynamiczny, w którym obciążenie testowe jest przekazywane na nawierzchnie w sposób symulujący przejazd pojazdu ciężkiego.</w:t>
      </w:r>
    </w:p>
    <w:p w14:paraId="03D34D0C" w14:textId="77777777" w:rsidR="00363999" w:rsidRPr="008A5D94" w:rsidRDefault="00363999" w:rsidP="00363999">
      <w:pPr>
        <w:spacing w:before="80" w:after="0"/>
        <w:jc w:val="both"/>
      </w:pPr>
      <w:r w:rsidRPr="008A5D94">
        <w:t>Ocenę nośności nawierzchni należy wykonać na odcinkach wskazujących na utratę nośności jedynie w przypadkach, w których inwestycja obejmowała wykonanie</w:t>
      </w:r>
      <w:r w:rsidR="00DB5D3C">
        <w:t xml:space="preserve"> pełnej konstrukcji nawierzchni.</w:t>
      </w:r>
    </w:p>
    <w:p w14:paraId="03D34D0D" w14:textId="77777777" w:rsidR="00363999" w:rsidRPr="008A5D94" w:rsidRDefault="00363999" w:rsidP="00363999">
      <w:pPr>
        <w:spacing w:before="80" w:after="0"/>
        <w:jc w:val="both"/>
      </w:pPr>
      <w:r w:rsidRPr="008A5D94">
        <w:t>Pomiary ugięć nawierzchni należy wykonywać w przypadkach szczególnych (wystąpienie uszkodzeń nawierzchni typu: spękania, koleiny, nierówności) świadczących o potencjalnej utracie nośności na odcinkach wskazanych przez Zamawiającego.</w:t>
      </w:r>
    </w:p>
    <w:p w14:paraId="03D34D0E" w14:textId="77777777" w:rsidR="00363999" w:rsidRPr="008A5D94" w:rsidRDefault="00363999" w:rsidP="00363999">
      <w:pPr>
        <w:tabs>
          <w:tab w:val="left" w:pos="1134"/>
        </w:tabs>
        <w:spacing w:before="80" w:after="0"/>
        <w:jc w:val="both"/>
      </w:pPr>
      <w:r w:rsidRPr="008A5D94">
        <w:t>Tabela 6.</w:t>
      </w:r>
      <w:r w:rsidRPr="008A5D94">
        <w:tab/>
        <w:t xml:space="preserve">Wymagane wartości nośności nawierzchni </w:t>
      </w:r>
      <w:r w:rsidR="00327107" w:rsidRPr="008A5D94">
        <w:t>w okresie obowiązywania Gwarancji Jakości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1"/>
        <w:gridCol w:w="1191"/>
        <w:gridCol w:w="1191"/>
        <w:gridCol w:w="1191"/>
        <w:gridCol w:w="1191"/>
        <w:gridCol w:w="1195"/>
      </w:tblGrid>
      <w:tr w:rsidR="00363999" w:rsidRPr="008A5D94" w14:paraId="03D34D11" w14:textId="77777777" w:rsidTr="00BD40BF">
        <w:trPr>
          <w:trHeight w:val="279"/>
        </w:trPr>
        <w:tc>
          <w:tcPr>
            <w:tcW w:w="3161" w:type="dxa"/>
            <w:vMerge w:val="restart"/>
            <w:shd w:val="clear" w:color="auto" w:fill="auto"/>
            <w:vAlign w:val="center"/>
          </w:tcPr>
          <w:p w14:paraId="03D34D0F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Parametr</w:t>
            </w:r>
          </w:p>
        </w:tc>
        <w:tc>
          <w:tcPr>
            <w:tcW w:w="5959" w:type="dxa"/>
            <w:gridSpan w:val="5"/>
            <w:shd w:val="clear" w:color="auto" w:fill="auto"/>
            <w:vAlign w:val="center"/>
          </w:tcPr>
          <w:p w14:paraId="03D34D10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Kategoria ruchu</w:t>
            </w:r>
          </w:p>
        </w:tc>
      </w:tr>
      <w:tr w:rsidR="00363999" w:rsidRPr="008A5D94" w14:paraId="03D34D18" w14:textId="77777777" w:rsidTr="00BD40BF">
        <w:trPr>
          <w:trHeight w:val="292"/>
        </w:trPr>
        <w:tc>
          <w:tcPr>
            <w:tcW w:w="3161" w:type="dxa"/>
            <w:vMerge/>
            <w:shd w:val="clear" w:color="auto" w:fill="auto"/>
          </w:tcPr>
          <w:p w14:paraId="03D34D12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03D34D13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KR1-2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14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KR3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15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KR4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16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KR5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3D34D17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KR6-7</w:t>
            </w:r>
          </w:p>
        </w:tc>
      </w:tr>
      <w:tr w:rsidR="00363999" w:rsidRPr="008A5D94" w14:paraId="03D34D1F" w14:textId="77777777" w:rsidTr="00BD40BF">
        <w:trPr>
          <w:trHeight w:val="483"/>
        </w:trPr>
        <w:tc>
          <w:tcPr>
            <w:tcW w:w="3161" w:type="dxa"/>
            <w:shd w:val="clear" w:color="auto" w:fill="auto"/>
            <w:vAlign w:val="center"/>
          </w:tcPr>
          <w:p w14:paraId="03D34D19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 xml:space="preserve">Miarodajny wskaźnik ugięcia U, </w:t>
            </w:r>
            <w:r w:rsidRPr="008A5D94">
              <w:rPr>
                <w:sz w:val="18"/>
              </w:rPr>
              <w:sym w:font="SymbolPS" w:char="F06D"/>
            </w:r>
            <w:r w:rsidRPr="008A5D94">
              <w:rPr>
                <w:sz w:val="18"/>
              </w:rPr>
              <w:t>m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1A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550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1B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390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1C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300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1D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250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3D34D1E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205</w:t>
            </w:r>
          </w:p>
        </w:tc>
      </w:tr>
      <w:tr w:rsidR="00363999" w:rsidRPr="008A5D94" w14:paraId="03D34D26" w14:textId="77777777" w:rsidTr="00BD40BF">
        <w:trPr>
          <w:trHeight w:val="496"/>
        </w:trPr>
        <w:tc>
          <w:tcPr>
            <w:tcW w:w="3161" w:type="dxa"/>
            <w:shd w:val="clear" w:color="auto" w:fill="auto"/>
            <w:vAlign w:val="center"/>
          </w:tcPr>
          <w:p w14:paraId="03D34D20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 xml:space="preserve">Miarodajny wskaźnik SCI300, </w:t>
            </w:r>
            <w:r w:rsidRPr="008A5D94">
              <w:rPr>
                <w:sz w:val="18"/>
              </w:rPr>
              <w:sym w:font="SymbolPS" w:char="F06D"/>
            </w:r>
            <w:r w:rsidRPr="008A5D94">
              <w:rPr>
                <w:sz w:val="18"/>
              </w:rPr>
              <w:t>m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21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115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22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70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23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50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3D34D24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40</w:t>
            </w:r>
          </w:p>
        </w:tc>
        <w:tc>
          <w:tcPr>
            <w:tcW w:w="1195" w:type="dxa"/>
            <w:shd w:val="clear" w:color="auto" w:fill="auto"/>
            <w:vAlign w:val="center"/>
          </w:tcPr>
          <w:p w14:paraId="03D34D25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30</w:t>
            </w:r>
          </w:p>
        </w:tc>
      </w:tr>
    </w:tbl>
    <w:p w14:paraId="03D34D27" w14:textId="77777777" w:rsidR="00363999" w:rsidRPr="008A5D94" w:rsidRDefault="00363999" w:rsidP="00363999">
      <w:pPr>
        <w:spacing w:before="80" w:after="0"/>
        <w:jc w:val="both"/>
      </w:pPr>
    </w:p>
    <w:p w14:paraId="03D34D28" w14:textId="77777777" w:rsidR="00363999" w:rsidRPr="008A5D94" w:rsidRDefault="00363999" w:rsidP="00363999">
      <w:pPr>
        <w:spacing w:before="80" w:after="0"/>
        <w:jc w:val="both"/>
      </w:pPr>
      <w:r w:rsidRPr="008A5D94">
        <w:t>W tabeli 6 podano maksymalne dopuszczalne wartości parametrów, powyżej których należy zastosować program naprawczy zgodnie z warunkami kontraktu.</w:t>
      </w:r>
    </w:p>
    <w:p w14:paraId="03D34D29" w14:textId="77777777" w:rsidR="00363999" w:rsidRPr="00DB5D3C" w:rsidRDefault="00363999" w:rsidP="00363999">
      <w:pPr>
        <w:spacing w:before="80" w:after="0"/>
        <w:jc w:val="both"/>
        <w:rPr>
          <w:rFonts w:eastAsia="Times New Roman"/>
        </w:rPr>
      </w:pPr>
    </w:p>
    <w:p w14:paraId="03D34D2A" w14:textId="77777777" w:rsidR="00DC11E3" w:rsidRDefault="00363999" w:rsidP="00363999">
      <w:pPr>
        <w:spacing w:before="80" w:after="0"/>
        <w:jc w:val="both"/>
        <w:rPr>
          <w:rFonts w:eastAsia="Times New Roman"/>
        </w:rPr>
      </w:pPr>
      <w:r w:rsidRPr="008A5D94">
        <w:rPr>
          <w:rFonts w:eastAsia="Times New Roman"/>
          <w:b/>
        </w:rPr>
        <w:t>Miarodajny wskaźnik ugięcia</w:t>
      </w:r>
      <w:r w:rsidRPr="008A5D94">
        <w:rPr>
          <w:rFonts w:eastAsia="Times New Roman"/>
        </w:rPr>
        <w:t xml:space="preserve"> jest obliczany jako suma wartości średniej i odchylenia standardowego </w:t>
      </w:r>
      <w:r w:rsidR="002365DF" w:rsidRPr="002365DF">
        <w:rPr>
          <w:rFonts w:eastAsia="Times New Roman"/>
        </w:rPr>
        <w:t>standaryzowanych</w:t>
      </w:r>
      <w:r w:rsidRPr="008A5D94">
        <w:rPr>
          <w:rFonts w:eastAsia="Times New Roman"/>
        </w:rPr>
        <w:t xml:space="preserve"> ugięć dla wyników z kilometrowego odcinka drogi, krok pomiarowy co 50 m. Wartość wyznacza się wg wzoru:</w:t>
      </w:r>
    </w:p>
    <w:p w14:paraId="03D34D2B" w14:textId="77777777" w:rsidR="005E4CC7" w:rsidRDefault="005E4CC7" w:rsidP="00363999">
      <w:pPr>
        <w:spacing w:before="80" w:after="0"/>
        <w:jc w:val="both"/>
        <w:rPr>
          <w:rFonts w:eastAsia="Times New Roman"/>
        </w:rPr>
      </w:pPr>
    </w:p>
    <w:p w14:paraId="03D34D2C" w14:textId="77777777" w:rsidR="00363999" w:rsidRPr="008A5D94" w:rsidRDefault="00363999" w:rsidP="00363999">
      <w:pPr>
        <w:spacing w:after="0"/>
        <w:jc w:val="center"/>
        <w:rPr>
          <w:rFonts w:eastAsia="Times New Roman"/>
        </w:rPr>
      </w:pPr>
      <w:r w:rsidRPr="008A5D94">
        <w:rPr>
          <w:rFonts w:eastAsia="Times New Roman"/>
          <w:noProof/>
        </w:rPr>
        <w:drawing>
          <wp:inline distT="0" distB="0" distL="0" distR="0" wp14:anchorId="03D34E8D" wp14:editId="03D34E8E">
            <wp:extent cx="10287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34D2D" w14:textId="77777777" w:rsidR="00363999" w:rsidRPr="008A5D94" w:rsidRDefault="00363999" w:rsidP="00363999">
      <w:pPr>
        <w:spacing w:after="0"/>
        <w:jc w:val="both"/>
        <w:rPr>
          <w:rFonts w:eastAsia="Times New Roman"/>
        </w:rPr>
      </w:pPr>
      <w:r w:rsidRPr="008A5D94">
        <w:rPr>
          <w:rFonts w:eastAsia="Times New Roman"/>
        </w:rPr>
        <w:t>gdzie:</w:t>
      </w:r>
    </w:p>
    <w:p w14:paraId="03D34D2E" w14:textId="77777777" w:rsidR="00363999" w:rsidRPr="008A5D94" w:rsidRDefault="00363999" w:rsidP="00363999">
      <w:pPr>
        <w:spacing w:after="0"/>
        <w:rPr>
          <w:rFonts w:eastAsia="Times New Roman"/>
        </w:rPr>
      </w:pPr>
      <w:r w:rsidRPr="008A5D94">
        <w:rPr>
          <w:rFonts w:eastAsia="Times New Roman"/>
        </w:rPr>
        <w:t xml:space="preserve">U </w:t>
      </w:r>
      <w:r w:rsidRPr="008A5D94">
        <w:rPr>
          <w:rFonts w:eastAsia="Times New Roman"/>
        </w:rPr>
        <w:tab/>
        <w:t>miarodajny wskaźnik ugięcia,</w:t>
      </w:r>
    </w:p>
    <w:p w14:paraId="03D34D2F" w14:textId="77777777" w:rsidR="00363999" w:rsidRPr="008A5D94" w:rsidRDefault="00363999" w:rsidP="00363999">
      <w:pPr>
        <w:tabs>
          <w:tab w:val="left" w:pos="709"/>
        </w:tabs>
        <w:spacing w:after="0"/>
        <w:rPr>
          <w:rFonts w:eastAsia="Times New Roman"/>
        </w:rPr>
      </w:pPr>
      <w:proofErr w:type="spellStart"/>
      <w:r w:rsidRPr="008A5D94">
        <w:rPr>
          <w:rFonts w:eastAsia="Times New Roman"/>
        </w:rPr>
        <w:t>us</w:t>
      </w:r>
      <w:proofErr w:type="spellEnd"/>
      <w:r w:rsidRPr="008A5D94">
        <w:rPr>
          <w:rFonts w:eastAsia="Times New Roman"/>
        </w:rPr>
        <w:t xml:space="preserve"> </w:t>
      </w:r>
      <w:r w:rsidRPr="008A5D94">
        <w:rPr>
          <w:rFonts w:eastAsia="Times New Roman"/>
        </w:rPr>
        <w:tab/>
        <w:t>standaryzowana wartość pojedynczego pomiaru ugięcia</w:t>
      </w:r>
      <w:r w:rsidR="002365DF">
        <w:rPr>
          <w:rFonts w:eastAsia="Times New Roman"/>
        </w:rPr>
        <w:t xml:space="preserve"> w punkcie centralnym</w:t>
      </w:r>
      <w:r w:rsidRPr="008A5D94">
        <w:rPr>
          <w:rFonts w:eastAsia="Times New Roman"/>
        </w:rPr>
        <w:t>,</w:t>
      </w:r>
    </w:p>
    <w:p w14:paraId="03D34D30" w14:textId="77777777" w:rsidR="00363999" w:rsidRPr="008A5D94" w:rsidRDefault="00363999" w:rsidP="00363999">
      <w:pPr>
        <w:tabs>
          <w:tab w:val="left" w:pos="709"/>
        </w:tabs>
        <w:spacing w:after="0"/>
        <w:rPr>
          <w:rFonts w:eastAsia="Times New Roman"/>
        </w:rPr>
      </w:pPr>
      <w:r w:rsidRPr="008A5D94">
        <w:rPr>
          <w:rFonts w:eastAsia="Times New Roman"/>
        </w:rPr>
        <w:t xml:space="preserve">n </w:t>
      </w:r>
      <w:r w:rsidRPr="008A5D94">
        <w:rPr>
          <w:rFonts w:eastAsia="Times New Roman"/>
        </w:rPr>
        <w:tab/>
        <w:t>liczba ugięć standaryzowanych na odcinku.</w:t>
      </w:r>
    </w:p>
    <w:p w14:paraId="03D34D31" w14:textId="77777777" w:rsidR="00363999" w:rsidRPr="008A5D94" w:rsidRDefault="00363999" w:rsidP="00363999">
      <w:pPr>
        <w:tabs>
          <w:tab w:val="left" w:pos="709"/>
        </w:tabs>
        <w:spacing w:after="0"/>
        <w:ind w:left="709" w:hanging="709"/>
        <w:rPr>
          <w:rFonts w:eastAsia="Times New Roman"/>
        </w:rPr>
      </w:pPr>
      <w:proofErr w:type="spellStart"/>
      <w:r w:rsidRPr="008A5D94">
        <w:rPr>
          <w:rFonts w:eastAsia="Times New Roman"/>
        </w:rPr>
        <w:t>Du</w:t>
      </w:r>
      <w:proofErr w:type="spellEnd"/>
      <w:r w:rsidRPr="008A5D94">
        <w:rPr>
          <w:rFonts w:eastAsia="Times New Roman"/>
        </w:rPr>
        <w:t xml:space="preserve"> </w:t>
      </w:r>
      <w:r w:rsidRPr="008A5D94">
        <w:rPr>
          <w:rFonts w:eastAsia="Times New Roman"/>
        </w:rPr>
        <w:tab/>
        <w:t>odchylenie standardowe standaryzowanych wartości pojedynczych pomiarów</w:t>
      </w:r>
    </w:p>
    <w:p w14:paraId="03D34D32" w14:textId="77777777" w:rsidR="00363999" w:rsidRPr="008A5D94" w:rsidRDefault="00363999" w:rsidP="00363999">
      <w:pPr>
        <w:tabs>
          <w:tab w:val="left" w:pos="709"/>
        </w:tabs>
        <w:spacing w:after="0"/>
        <w:ind w:left="851" w:hanging="851"/>
        <w:rPr>
          <w:rFonts w:eastAsia="Times New Roman"/>
        </w:rPr>
      </w:pPr>
      <w:r w:rsidRPr="008A5D94">
        <w:rPr>
          <w:rFonts w:eastAsia="Times New Roman"/>
        </w:rPr>
        <w:tab/>
        <w:t xml:space="preserve">ugięć </w:t>
      </w:r>
      <w:r w:rsidR="002365DF">
        <w:rPr>
          <w:rFonts w:eastAsia="Times New Roman"/>
        </w:rPr>
        <w:t xml:space="preserve">w punkcie centralnym </w:t>
      </w:r>
      <w:r w:rsidRPr="008A5D94">
        <w:rPr>
          <w:rFonts w:eastAsia="Times New Roman"/>
        </w:rPr>
        <w:t xml:space="preserve">na </w:t>
      </w:r>
      <w:proofErr w:type="spellStart"/>
      <w:r w:rsidRPr="008A5D94">
        <w:rPr>
          <w:rFonts w:eastAsia="Times New Roman"/>
        </w:rPr>
        <w:t>odcinku</w:t>
      </w:r>
      <w:r w:rsidR="002365DF">
        <w:rPr>
          <w:rFonts w:eastAsia="Times New Roman"/>
        </w:rPr>
        <w:t>kilometrowym</w:t>
      </w:r>
      <w:proofErr w:type="spellEnd"/>
      <w:r w:rsidRPr="008A5D94">
        <w:rPr>
          <w:rFonts w:eastAsia="Times New Roman"/>
        </w:rPr>
        <w:t>.</w:t>
      </w:r>
    </w:p>
    <w:p w14:paraId="03D34D33" w14:textId="77777777" w:rsidR="00363999" w:rsidRPr="008A5D94" w:rsidRDefault="00363999" w:rsidP="00363999">
      <w:pPr>
        <w:spacing w:before="80" w:after="0"/>
        <w:jc w:val="both"/>
        <w:rPr>
          <w:rFonts w:eastAsia="Times New Roman"/>
        </w:rPr>
      </w:pPr>
      <w:r w:rsidRPr="008A5D94">
        <w:rPr>
          <w:rFonts w:eastAsia="Times New Roman"/>
        </w:rPr>
        <w:t>Wynik obliczeń zaokrągla się zgodnie z ogólnymi zasadami.</w:t>
      </w:r>
    </w:p>
    <w:p w14:paraId="03D34D34" w14:textId="77777777" w:rsidR="00363999" w:rsidRPr="008A5D94" w:rsidRDefault="00363999" w:rsidP="00363999">
      <w:pPr>
        <w:numPr>
          <w:ilvl w:val="0"/>
          <w:numId w:val="1"/>
        </w:numPr>
        <w:spacing w:after="0"/>
        <w:ind w:left="284" w:hanging="284"/>
        <w:jc w:val="both"/>
      </w:pPr>
      <w:r w:rsidRPr="008A5D94">
        <w:rPr>
          <w:rFonts w:eastAsia="Times New Roman"/>
        </w:rPr>
        <w:t>standaryzowana wartość pojedynczego pomiaru ugięcia</w:t>
      </w:r>
      <w:r w:rsidRPr="008A5D94">
        <w:t xml:space="preserve"> - jest to ugięcie maksymalne sprowadzone do standardowych warunków nacisku 50 </w:t>
      </w:r>
      <w:proofErr w:type="spellStart"/>
      <w:r w:rsidRPr="008A5D94">
        <w:t>kN</w:t>
      </w:r>
      <w:proofErr w:type="spellEnd"/>
      <w:r w:rsidRPr="008A5D94">
        <w:t xml:space="preserve"> na kołowej powierzchni o średnicy 300 mm przy temperaturze warstw asfaltowych 20°C uwzględniające sezon i rodzaj materiału podbudowy.</w:t>
      </w:r>
    </w:p>
    <w:p w14:paraId="03D34D35" w14:textId="77777777" w:rsidR="00363999" w:rsidRPr="008A5D94" w:rsidRDefault="00363999" w:rsidP="00363999">
      <w:pPr>
        <w:spacing w:before="80" w:after="0"/>
        <w:jc w:val="center"/>
        <w:rPr>
          <w:lang w:val="en-US"/>
        </w:rPr>
      </w:pPr>
      <w:r w:rsidRPr="008A5D94">
        <w:rPr>
          <w:rFonts w:eastAsia="Times New Roman"/>
          <w:lang w:val="en-US"/>
        </w:rPr>
        <w:lastRenderedPageBreak/>
        <w:t>us</w:t>
      </w:r>
      <w:r w:rsidRPr="008A5D94">
        <w:rPr>
          <w:lang w:val="en-US"/>
        </w:rPr>
        <w:t xml:space="preserve"> = D(50/F)·</w:t>
      </w:r>
      <w:proofErr w:type="spellStart"/>
      <w:r w:rsidRPr="008A5D94">
        <w:rPr>
          <w:lang w:val="en-US"/>
        </w:rPr>
        <w:t>f</w:t>
      </w:r>
      <w:r w:rsidRPr="008A5D94">
        <w:rPr>
          <w:vertAlign w:val="subscript"/>
          <w:lang w:val="en-US"/>
        </w:rPr>
        <w:t>T</w:t>
      </w:r>
      <w:r w:rsidRPr="008A5D94">
        <w:rPr>
          <w:lang w:val="en-US"/>
        </w:rPr>
        <w:t>·f</w:t>
      </w:r>
      <w:r w:rsidRPr="008A5D94">
        <w:rPr>
          <w:vertAlign w:val="subscript"/>
          <w:lang w:val="en-US"/>
        </w:rPr>
        <w:t>S</w:t>
      </w:r>
      <w:r w:rsidRPr="008A5D94">
        <w:rPr>
          <w:lang w:val="en-US"/>
        </w:rPr>
        <w:t>·f</w:t>
      </w:r>
      <w:r w:rsidRPr="008A5D94">
        <w:rPr>
          <w:vertAlign w:val="subscript"/>
          <w:lang w:val="en-US"/>
        </w:rPr>
        <w:t>P</w:t>
      </w:r>
      <w:proofErr w:type="spellEnd"/>
    </w:p>
    <w:p w14:paraId="03D34D36" w14:textId="77777777" w:rsidR="00363999" w:rsidRPr="008A5D94" w:rsidRDefault="00363999" w:rsidP="00363999">
      <w:pPr>
        <w:spacing w:after="0"/>
        <w:ind w:left="284"/>
        <w:jc w:val="both"/>
        <w:rPr>
          <w:rFonts w:eastAsia="Times New Roman"/>
          <w:lang w:val="en-US"/>
        </w:rPr>
      </w:pPr>
      <w:proofErr w:type="spellStart"/>
      <w:r w:rsidRPr="008A5D94">
        <w:rPr>
          <w:rFonts w:eastAsia="Times New Roman"/>
          <w:lang w:val="en-US"/>
        </w:rPr>
        <w:t>gdzie</w:t>
      </w:r>
      <w:proofErr w:type="spellEnd"/>
      <w:r w:rsidRPr="008A5D94">
        <w:rPr>
          <w:rFonts w:eastAsia="Times New Roman"/>
          <w:lang w:val="en-US"/>
        </w:rPr>
        <w:t>:</w:t>
      </w:r>
    </w:p>
    <w:p w14:paraId="03D34D37" w14:textId="77777777" w:rsidR="00363999" w:rsidRPr="008A5D94" w:rsidRDefault="00363999" w:rsidP="00363999">
      <w:pPr>
        <w:tabs>
          <w:tab w:val="left" w:pos="993"/>
        </w:tabs>
        <w:spacing w:after="0"/>
        <w:ind w:left="284"/>
        <w:jc w:val="both"/>
        <w:rPr>
          <w:rFonts w:eastAsia="Times New Roman"/>
        </w:rPr>
      </w:pPr>
      <w:proofErr w:type="spellStart"/>
      <w:r w:rsidRPr="008A5D94">
        <w:rPr>
          <w:rFonts w:eastAsia="Times New Roman"/>
        </w:rPr>
        <w:t>us</w:t>
      </w:r>
      <w:proofErr w:type="spellEnd"/>
      <w:r w:rsidRPr="008A5D94">
        <w:rPr>
          <w:rFonts w:eastAsia="Times New Roman"/>
        </w:rPr>
        <w:tab/>
        <w:t>ugięcie standaryzowane [</w:t>
      </w:r>
      <w:proofErr w:type="spellStart"/>
      <w:r w:rsidRPr="008A5D94">
        <w:rPr>
          <w:rFonts w:eastAsia="Times New Roman"/>
        </w:rPr>
        <w:t>μm</w:t>
      </w:r>
      <w:proofErr w:type="spellEnd"/>
      <w:r w:rsidRPr="008A5D94">
        <w:rPr>
          <w:rFonts w:eastAsia="Times New Roman"/>
        </w:rPr>
        <w:t xml:space="preserve">] </w:t>
      </w:r>
    </w:p>
    <w:p w14:paraId="03D34D38" w14:textId="77777777" w:rsidR="00363999" w:rsidRPr="008A5D94" w:rsidRDefault="00363999" w:rsidP="00363999">
      <w:pPr>
        <w:tabs>
          <w:tab w:val="left" w:pos="993"/>
        </w:tabs>
        <w:spacing w:after="0"/>
        <w:ind w:left="284"/>
        <w:jc w:val="both"/>
        <w:rPr>
          <w:rFonts w:eastAsia="Times New Roman"/>
        </w:rPr>
      </w:pPr>
      <w:r w:rsidRPr="008A5D94">
        <w:rPr>
          <w:rFonts w:eastAsia="Times New Roman"/>
        </w:rPr>
        <w:t>D</w:t>
      </w:r>
      <w:r w:rsidRPr="008A5D94">
        <w:rPr>
          <w:rFonts w:eastAsia="Times New Roman"/>
        </w:rPr>
        <w:tab/>
        <w:t>maksymalne ugięcie zarejestrowane [</w:t>
      </w:r>
      <w:proofErr w:type="spellStart"/>
      <w:r w:rsidRPr="008A5D94">
        <w:rPr>
          <w:rFonts w:eastAsia="Times New Roman"/>
        </w:rPr>
        <w:t>μm</w:t>
      </w:r>
      <w:proofErr w:type="spellEnd"/>
      <w:r w:rsidRPr="008A5D94">
        <w:rPr>
          <w:rFonts w:eastAsia="Times New Roman"/>
        </w:rPr>
        <w:t xml:space="preserve">] </w:t>
      </w:r>
    </w:p>
    <w:p w14:paraId="03D34D39" w14:textId="77777777" w:rsidR="00363999" w:rsidRPr="008A5D94" w:rsidRDefault="00363999" w:rsidP="00363999">
      <w:pPr>
        <w:tabs>
          <w:tab w:val="left" w:pos="993"/>
        </w:tabs>
        <w:spacing w:after="0"/>
        <w:ind w:left="284"/>
        <w:jc w:val="both"/>
        <w:rPr>
          <w:rFonts w:eastAsia="Times New Roman"/>
        </w:rPr>
      </w:pPr>
      <w:r w:rsidRPr="008A5D94">
        <w:rPr>
          <w:rFonts w:eastAsia="Times New Roman"/>
        </w:rPr>
        <w:t>F</w:t>
      </w:r>
      <w:r w:rsidRPr="008A5D94">
        <w:rPr>
          <w:rFonts w:eastAsia="Times New Roman"/>
        </w:rPr>
        <w:tab/>
        <w:t>obciążenie zarejestrowane [</w:t>
      </w:r>
      <w:proofErr w:type="spellStart"/>
      <w:r w:rsidRPr="008A5D94">
        <w:rPr>
          <w:rFonts w:eastAsia="Times New Roman"/>
        </w:rPr>
        <w:t>kN</w:t>
      </w:r>
      <w:proofErr w:type="spellEnd"/>
      <w:r w:rsidRPr="008A5D94">
        <w:rPr>
          <w:rFonts w:eastAsia="Times New Roman"/>
        </w:rPr>
        <w:t xml:space="preserve">] </w:t>
      </w:r>
    </w:p>
    <w:p w14:paraId="03D34D3A" w14:textId="77777777" w:rsidR="00363999" w:rsidRPr="008A5D94" w:rsidRDefault="00363999" w:rsidP="00363999">
      <w:pPr>
        <w:tabs>
          <w:tab w:val="left" w:pos="993"/>
        </w:tabs>
        <w:spacing w:after="0"/>
        <w:ind w:left="284"/>
        <w:jc w:val="both"/>
        <w:rPr>
          <w:rFonts w:eastAsia="Times New Roman"/>
        </w:rPr>
      </w:pPr>
      <w:proofErr w:type="spellStart"/>
      <w:r w:rsidRPr="008A5D94">
        <w:rPr>
          <w:rFonts w:eastAsia="Times New Roman"/>
        </w:rPr>
        <w:t>f</w:t>
      </w:r>
      <w:r w:rsidRPr="008A5D94">
        <w:rPr>
          <w:rFonts w:eastAsia="Times New Roman"/>
          <w:vertAlign w:val="subscript"/>
        </w:rPr>
        <w:t>T</w:t>
      </w:r>
      <w:proofErr w:type="spellEnd"/>
      <w:r w:rsidRPr="008A5D94">
        <w:rPr>
          <w:rFonts w:eastAsia="Times New Roman"/>
        </w:rPr>
        <w:tab/>
        <w:t xml:space="preserve">współczynnik temperaturowy </w:t>
      </w:r>
    </w:p>
    <w:p w14:paraId="03D34D3B" w14:textId="77777777" w:rsidR="00363999" w:rsidRPr="008A5D94" w:rsidRDefault="00363999" w:rsidP="00363999">
      <w:pPr>
        <w:tabs>
          <w:tab w:val="left" w:pos="993"/>
        </w:tabs>
        <w:spacing w:after="0"/>
        <w:ind w:left="284"/>
        <w:jc w:val="both"/>
        <w:rPr>
          <w:rFonts w:eastAsia="Times New Roman"/>
        </w:rPr>
      </w:pPr>
      <w:proofErr w:type="spellStart"/>
      <w:r w:rsidRPr="008A5D94">
        <w:rPr>
          <w:rFonts w:eastAsia="Times New Roman"/>
        </w:rPr>
        <w:t>f</w:t>
      </w:r>
      <w:r w:rsidRPr="008A5D94">
        <w:rPr>
          <w:rFonts w:eastAsia="Times New Roman"/>
          <w:vertAlign w:val="subscript"/>
        </w:rPr>
        <w:t>S</w:t>
      </w:r>
      <w:proofErr w:type="spellEnd"/>
      <w:r w:rsidRPr="008A5D94">
        <w:rPr>
          <w:rFonts w:eastAsia="Times New Roman"/>
        </w:rPr>
        <w:tab/>
        <w:t xml:space="preserve">współczynnik sezonowości </w:t>
      </w:r>
    </w:p>
    <w:p w14:paraId="03D34D3C" w14:textId="77777777" w:rsidR="00363999" w:rsidRPr="008A5D94" w:rsidRDefault="00363999" w:rsidP="00363999">
      <w:pPr>
        <w:tabs>
          <w:tab w:val="left" w:pos="993"/>
        </w:tabs>
        <w:spacing w:after="0"/>
        <w:ind w:left="284"/>
        <w:jc w:val="both"/>
        <w:rPr>
          <w:rFonts w:eastAsia="Times New Roman"/>
        </w:rPr>
      </w:pPr>
      <w:proofErr w:type="spellStart"/>
      <w:r w:rsidRPr="008A5D94">
        <w:rPr>
          <w:rFonts w:eastAsia="Times New Roman"/>
        </w:rPr>
        <w:t>f</w:t>
      </w:r>
      <w:r w:rsidRPr="008A5D94">
        <w:rPr>
          <w:rFonts w:eastAsia="Times New Roman"/>
          <w:vertAlign w:val="subscript"/>
        </w:rPr>
        <w:t>P</w:t>
      </w:r>
      <w:proofErr w:type="spellEnd"/>
      <w:r w:rsidRPr="008A5D94">
        <w:rPr>
          <w:rFonts w:eastAsia="Times New Roman"/>
        </w:rPr>
        <w:tab/>
        <w:t xml:space="preserve">współczynnik podbudowy </w:t>
      </w:r>
    </w:p>
    <w:p w14:paraId="03D34D3D" w14:textId="77777777" w:rsidR="00363999" w:rsidRPr="008A5D94" w:rsidRDefault="00363999" w:rsidP="00363999">
      <w:pPr>
        <w:numPr>
          <w:ilvl w:val="0"/>
          <w:numId w:val="1"/>
        </w:numPr>
        <w:spacing w:before="80" w:after="0"/>
        <w:ind w:left="284" w:hanging="284"/>
        <w:jc w:val="both"/>
      </w:pPr>
      <w:r w:rsidRPr="008A5D94">
        <w:t xml:space="preserve">Korekta ugięć ze względu na temperaturę warstw asfaltowych – współczynnik temperaturowy </w:t>
      </w:r>
      <w:proofErr w:type="spellStart"/>
      <w:r w:rsidRPr="008A5D94">
        <w:t>f</w:t>
      </w:r>
      <w:r w:rsidRPr="008A5D94">
        <w:rPr>
          <w:vertAlign w:val="subscript"/>
        </w:rPr>
        <w:t>T</w:t>
      </w:r>
      <w:proofErr w:type="spellEnd"/>
      <w:r w:rsidRPr="008A5D94">
        <w:t xml:space="preserve"> koryguje wyniki pomiarów ugięć sprężystych wykonanych w różnej temperaturze warstw asfaltowych i sprowadza je do wartości odpowiadającej temperaturze miarodajnej, czyli średniej temperaturze tych warstw w okresie wiosennym. Współczynnik temperaturowy </w:t>
      </w:r>
      <w:proofErr w:type="spellStart"/>
      <w:r w:rsidRPr="008A5D94">
        <w:t>f</w:t>
      </w:r>
      <w:r w:rsidRPr="008A5D94">
        <w:rPr>
          <w:vertAlign w:val="subscript"/>
        </w:rPr>
        <w:t>T</w:t>
      </w:r>
      <w:proofErr w:type="spellEnd"/>
      <w:r w:rsidRPr="008A5D94">
        <w:t xml:space="preserve"> określa się ze wzoru: </w:t>
      </w:r>
    </w:p>
    <w:p w14:paraId="03D34D3E" w14:textId="77777777" w:rsidR="00363999" w:rsidRPr="008A5D94" w:rsidRDefault="00363999" w:rsidP="00363999">
      <w:pPr>
        <w:spacing w:before="80" w:after="0"/>
        <w:jc w:val="center"/>
      </w:pPr>
      <w:proofErr w:type="spellStart"/>
      <w:r w:rsidRPr="008A5D94">
        <w:t>f</w:t>
      </w:r>
      <w:r w:rsidRPr="008A5D94">
        <w:rPr>
          <w:vertAlign w:val="subscript"/>
        </w:rPr>
        <w:t>T</w:t>
      </w:r>
      <w:proofErr w:type="spellEnd"/>
      <w:r w:rsidRPr="008A5D94">
        <w:t xml:space="preserve"> = 1 + 0,02(20-T)</w:t>
      </w:r>
    </w:p>
    <w:p w14:paraId="03D34D3F" w14:textId="77777777" w:rsidR="00363999" w:rsidRPr="008A5D94" w:rsidRDefault="00363999" w:rsidP="00363999">
      <w:pPr>
        <w:spacing w:after="0"/>
        <w:ind w:left="284"/>
        <w:jc w:val="both"/>
        <w:rPr>
          <w:rFonts w:eastAsia="Times New Roman"/>
        </w:rPr>
      </w:pPr>
      <w:r w:rsidRPr="008A5D94">
        <w:rPr>
          <w:rFonts w:eastAsia="Times New Roman"/>
        </w:rPr>
        <w:t xml:space="preserve">gdzie: </w:t>
      </w:r>
    </w:p>
    <w:p w14:paraId="03D34D40" w14:textId="77777777" w:rsidR="00363999" w:rsidRPr="008A5D94" w:rsidRDefault="00363999" w:rsidP="00363999">
      <w:pPr>
        <w:tabs>
          <w:tab w:val="left" w:pos="993"/>
        </w:tabs>
        <w:spacing w:after="0"/>
        <w:ind w:left="284"/>
        <w:jc w:val="both"/>
      </w:pPr>
      <w:r w:rsidRPr="008A5D94">
        <w:rPr>
          <w:rFonts w:eastAsia="Times New Roman"/>
        </w:rPr>
        <w:t>T</w:t>
      </w:r>
      <w:r w:rsidRPr="008A5D94">
        <w:tab/>
        <w:t xml:space="preserve">temperatura warstw asfaltowych podczas badania FWD [°C] </w:t>
      </w:r>
    </w:p>
    <w:p w14:paraId="03D34D41" w14:textId="77777777" w:rsidR="00363999" w:rsidRPr="008A5D94" w:rsidRDefault="00363999" w:rsidP="00363999">
      <w:pPr>
        <w:spacing w:before="80" w:after="0"/>
        <w:ind w:left="284"/>
        <w:jc w:val="both"/>
      </w:pPr>
      <w:r w:rsidRPr="008A5D94">
        <w:t xml:space="preserve">Korekta ugięć ze względu na okres wykonywania pomiarów ugięć – współczynnik sezonowości </w:t>
      </w:r>
      <w:proofErr w:type="spellStart"/>
      <w:r w:rsidRPr="008A5D94">
        <w:t>f</w:t>
      </w:r>
      <w:r w:rsidRPr="008A5D94">
        <w:rPr>
          <w:vertAlign w:val="subscript"/>
        </w:rPr>
        <w:t>S</w:t>
      </w:r>
      <w:proofErr w:type="spellEnd"/>
      <w:r w:rsidRPr="008A5D94">
        <w:t>, zależny jest od okresu przeprowadzania pomiarów. Normalizacja polega na sprowadzeniu wartości ugięć pomierzonych w różnych okresach w ciągu roku do standardowych warunków wykonywania pomiarów w jednym okresie roku, wyznaczonym doświadczalnie dla danej strefy klimatycznej.</w:t>
      </w:r>
    </w:p>
    <w:p w14:paraId="03D34D42" w14:textId="77777777" w:rsidR="00363999" w:rsidRPr="008A5D94" w:rsidRDefault="00363999" w:rsidP="00363999">
      <w:pPr>
        <w:spacing w:before="80" w:after="0"/>
        <w:ind w:left="284"/>
        <w:jc w:val="both"/>
      </w:pPr>
      <w:r w:rsidRPr="008A5D94">
        <w:t xml:space="preserve">Wartości współczynnika </w:t>
      </w:r>
      <w:proofErr w:type="spellStart"/>
      <w:r w:rsidRPr="008A5D94">
        <w:t>f</w:t>
      </w:r>
      <w:r w:rsidRPr="008A5D94">
        <w:rPr>
          <w:vertAlign w:val="subscript"/>
        </w:rPr>
        <w:t>S</w:t>
      </w:r>
      <w:proofErr w:type="spellEnd"/>
      <w:r w:rsidRPr="008A5D94">
        <w:t xml:space="preserve"> zamieszczono w tabeli 7.</w:t>
      </w:r>
    </w:p>
    <w:p w14:paraId="03D34D43" w14:textId="77777777" w:rsidR="00363999" w:rsidRPr="008A5D94" w:rsidRDefault="00363999" w:rsidP="00363999">
      <w:pPr>
        <w:spacing w:before="80" w:after="0"/>
        <w:ind w:left="284"/>
        <w:jc w:val="both"/>
      </w:pPr>
      <w:r w:rsidRPr="008A5D94">
        <w:t>Tabela 7.</w:t>
      </w:r>
      <w:r w:rsidRPr="008A5D94">
        <w:tab/>
        <w:t>Wartości współczynnika sezonowości w zależności od okresu wykonywania pomiarów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721"/>
        <w:gridCol w:w="705"/>
        <w:gridCol w:w="706"/>
        <w:gridCol w:w="706"/>
        <w:gridCol w:w="705"/>
        <w:gridCol w:w="706"/>
        <w:gridCol w:w="706"/>
        <w:gridCol w:w="705"/>
        <w:gridCol w:w="706"/>
        <w:gridCol w:w="706"/>
        <w:gridCol w:w="706"/>
      </w:tblGrid>
      <w:tr w:rsidR="00363999" w:rsidRPr="008A5D94" w14:paraId="03D34D4F" w14:textId="77777777" w:rsidTr="00BD40BF">
        <w:trPr>
          <w:cantSplit/>
          <w:trHeight w:val="1337"/>
        </w:trPr>
        <w:tc>
          <w:tcPr>
            <w:tcW w:w="1765" w:type="dxa"/>
            <w:vAlign w:val="center"/>
          </w:tcPr>
          <w:p w14:paraId="03D34D44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Miesiąc wykonywania pomiarów FWD</w:t>
            </w:r>
          </w:p>
        </w:tc>
        <w:tc>
          <w:tcPr>
            <w:tcW w:w="723" w:type="dxa"/>
            <w:textDirection w:val="btLr"/>
            <w:vAlign w:val="center"/>
          </w:tcPr>
          <w:p w14:paraId="03D34D45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marzec</w:t>
            </w:r>
          </w:p>
        </w:tc>
        <w:tc>
          <w:tcPr>
            <w:tcW w:w="724" w:type="dxa"/>
            <w:textDirection w:val="btLr"/>
            <w:vAlign w:val="center"/>
          </w:tcPr>
          <w:p w14:paraId="03D34D46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kwiecień</w:t>
            </w:r>
          </w:p>
        </w:tc>
        <w:tc>
          <w:tcPr>
            <w:tcW w:w="724" w:type="dxa"/>
            <w:textDirection w:val="btLr"/>
            <w:vAlign w:val="center"/>
          </w:tcPr>
          <w:p w14:paraId="03D34D47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maj</w:t>
            </w:r>
          </w:p>
        </w:tc>
        <w:tc>
          <w:tcPr>
            <w:tcW w:w="723" w:type="dxa"/>
            <w:textDirection w:val="btLr"/>
            <w:vAlign w:val="center"/>
          </w:tcPr>
          <w:p w14:paraId="03D34D48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czerwiec</w:t>
            </w:r>
          </w:p>
        </w:tc>
        <w:tc>
          <w:tcPr>
            <w:tcW w:w="724" w:type="dxa"/>
            <w:textDirection w:val="btLr"/>
            <w:vAlign w:val="center"/>
          </w:tcPr>
          <w:p w14:paraId="03D34D49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lipiec</w:t>
            </w:r>
          </w:p>
        </w:tc>
        <w:tc>
          <w:tcPr>
            <w:tcW w:w="724" w:type="dxa"/>
            <w:textDirection w:val="btLr"/>
            <w:vAlign w:val="center"/>
          </w:tcPr>
          <w:p w14:paraId="03D34D4A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sierpień</w:t>
            </w:r>
          </w:p>
        </w:tc>
        <w:tc>
          <w:tcPr>
            <w:tcW w:w="723" w:type="dxa"/>
            <w:textDirection w:val="btLr"/>
            <w:vAlign w:val="center"/>
          </w:tcPr>
          <w:p w14:paraId="03D34D4B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wrzesień</w:t>
            </w:r>
          </w:p>
        </w:tc>
        <w:tc>
          <w:tcPr>
            <w:tcW w:w="724" w:type="dxa"/>
            <w:textDirection w:val="btLr"/>
            <w:vAlign w:val="center"/>
          </w:tcPr>
          <w:p w14:paraId="03D34D4C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październik</w:t>
            </w:r>
          </w:p>
        </w:tc>
        <w:tc>
          <w:tcPr>
            <w:tcW w:w="724" w:type="dxa"/>
            <w:textDirection w:val="btLr"/>
            <w:vAlign w:val="center"/>
          </w:tcPr>
          <w:p w14:paraId="03D34D4D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listopad</w:t>
            </w:r>
          </w:p>
        </w:tc>
        <w:tc>
          <w:tcPr>
            <w:tcW w:w="724" w:type="dxa"/>
            <w:textDirection w:val="btLr"/>
            <w:vAlign w:val="center"/>
          </w:tcPr>
          <w:p w14:paraId="03D34D4E" w14:textId="77777777" w:rsidR="00363999" w:rsidRPr="008A5D94" w:rsidRDefault="00363999" w:rsidP="00BD40BF">
            <w:pPr>
              <w:spacing w:before="80" w:after="0"/>
              <w:ind w:left="113" w:right="113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grudzień</w:t>
            </w:r>
          </w:p>
        </w:tc>
      </w:tr>
      <w:tr w:rsidR="00363999" w:rsidRPr="008A5D94" w14:paraId="03D34D5B" w14:textId="77777777" w:rsidTr="00BD40BF">
        <w:tc>
          <w:tcPr>
            <w:tcW w:w="1765" w:type="dxa"/>
            <w:vAlign w:val="center"/>
          </w:tcPr>
          <w:p w14:paraId="03D34D50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 xml:space="preserve">Wartość współczynnika </w:t>
            </w:r>
            <w:proofErr w:type="spellStart"/>
            <w:r w:rsidRPr="008A5D94">
              <w:rPr>
                <w:sz w:val="18"/>
                <w:szCs w:val="18"/>
              </w:rPr>
              <w:t>f</w:t>
            </w:r>
            <w:r w:rsidRPr="008A5D94">
              <w:rPr>
                <w:sz w:val="18"/>
                <w:szCs w:val="18"/>
                <w:vertAlign w:val="subscript"/>
              </w:rPr>
              <w:t>S</w:t>
            </w:r>
            <w:proofErr w:type="spellEnd"/>
          </w:p>
        </w:tc>
        <w:tc>
          <w:tcPr>
            <w:tcW w:w="723" w:type="dxa"/>
            <w:vAlign w:val="center"/>
          </w:tcPr>
          <w:p w14:paraId="03D34D51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1,00</w:t>
            </w:r>
          </w:p>
        </w:tc>
        <w:tc>
          <w:tcPr>
            <w:tcW w:w="724" w:type="dxa"/>
            <w:vAlign w:val="center"/>
          </w:tcPr>
          <w:p w14:paraId="03D34D52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1,04</w:t>
            </w:r>
          </w:p>
        </w:tc>
        <w:tc>
          <w:tcPr>
            <w:tcW w:w="724" w:type="dxa"/>
            <w:vAlign w:val="center"/>
          </w:tcPr>
          <w:p w14:paraId="03D34D53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1,08</w:t>
            </w:r>
          </w:p>
        </w:tc>
        <w:tc>
          <w:tcPr>
            <w:tcW w:w="723" w:type="dxa"/>
            <w:vAlign w:val="center"/>
          </w:tcPr>
          <w:p w14:paraId="03D34D54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1,12</w:t>
            </w:r>
          </w:p>
        </w:tc>
        <w:tc>
          <w:tcPr>
            <w:tcW w:w="724" w:type="dxa"/>
            <w:vAlign w:val="center"/>
          </w:tcPr>
          <w:p w14:paraId="03D34D55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1,15</w:t>
            </w:r>
          </w:p>
        </w:tc>
        <w:tc>
          <w:tcPr>
            <w:tcW w:w="724" w:type="dxa"/>
            <w:vAlign w:val="center"/>
          </w:tcPr>
          <w:p w14:paraId="03D34D56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1,17</w:t>
            </w:r>
          </w:p>
        </w:tc>
        <w:tc>
          <w:tcPr>
            <w:tcW w:w="723" w:type="dxa"/>
            <w:vAlign w:val="center"/>
          </w:tcPr>
          <w:p w14:paraId="03D34D57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1,20</w:t>
            </w:r>
          </w:p>
        </w:tc>
        <w:tc>
          <w:tcPr>
            <w:tcW w:w="724" w:type="dxa"/>
            <w:vAlign w:val="center"/>
          </w:tcPr>
          <w:p w14:paraId="03D34D58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1,22</w:t>
            </w:r>
          </w:p>
        </w:tc>
        <w:tc>
          <w:tcPr>
            <w:tcW w:w="724" w:type="dxa"/>
            <w:vAlign w:val="center"/>
          </w:tcPr>
          <w:p w14:paraId="03D34D59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1,25</w:t>
            </w:r>
          </w:p>
        </w:tc>
        <w:tc>
          <w:tcPr>
            <w:tcW w:w="724" w:type="dxa"/>
            <w:vAlign w:val="center"/>
          </w:tcPr>
          <w:p w14:paraId="03D34D5A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  <w:szCs w:val="18"/>
              </w:rPr>
            </w:pPr>
            <w:r w:rsidRPr="008A5D94">
              <w:rPr>
                <w:sz w:val="18"/>
                <w:szCs w:val="18"/>
              </w:rPr>
              <w:t>1,28</w:t>
            </w:r>
          </w:p>
        </w:tc>
      </w:tr>
    </w:tbl>
    <w:p w14:paraId="03D34D5C" w14:textId="77777777" w:rsidR="00363999" w:rsidRPr="008A5D94" w:rsidRDefault="00363999" w:rsidP="00363999">
      <w:pPr>
        <w:pStyle w:val="Akapitzlist"/>
        <w:spacing w:before="80" w:after="0"/>
        <w:ind w:left="1288"/>
        <w:jc w:val="both"/>
      </w:pPr>
    </w:p>
    <w:p w14:paraId="03D34D5D" w14:textId="77777777" w:rsidR="00363999" w:rsidRPr="008A5D94" w:rsidRDefault="00363999" w:rsidP="00363999">
      <w:pPr>
        <w:numPr>
          <w:ilvl w:val="0"/>
          <w:numId w:val="1"/>
        </w:numPr>
        <w:spacing w:before="80" w:after="0"/>
        <w:ind w:left="284" w:hanging="284"/>
        <w:jc w:val="both"/>
      </w:pPr>
      <w:r w:rsidRPr="008A5D94">
        <w:t>Korekta ugięć ze względu na rodzaj podbudowy</w:t>
      </w:r>
    </w:p>
    <w:p w14:paraId="03D34D5E" w14:textId="77777777" w:rsidR="00363999" w:rsidRPr="008A5D94" w:rsidRDefault="00363999" w:rsidP="00363999">
      <w:pPr>
        <w:spacing w:after="0"/>
        <w:ind w:firstLine="426"/>
        <w:jc w:val="both"/>
      </w:pPr>
      <w:r w:rsidRPr="008A5D94">
        <w:t xml:space="preserve">Współczynnik podbudowy </w:t>
      </w:r>
      <w:proofErr w:type="spellStart"/>
      <w:r w:rsidRPr="008A5D94">
        <w:t>f</w:t>
      </w:r>
      <w:r w:rsidRPr="008A5D94">
        <w:rPr>
          <w:vertAlign w:val="subscript"/>
        </w:rPr>
        <w:t>P</w:t>
      </w:r>
      <w:proofErr w:type="spellEnd"/>
      <w:r w:rsidRPr="008A5D94">
        <w:t xml:space="preserve"> przedstawia się następująco:</w:t>
      </w:r>
    </w:p>
    <w:p w14:paraId="03D34D5F" w14:textId="77777777" w:rsidR="00363999" w:rsidRPr="008A5D94" w:rsidRDefault="00363999" w:rsidP="00661C26">
      <w:pPr>
        <w:pStyle w:val="Akapitzlist"/>
        <w:numPr>
          <w:ilvl w:val="0"/>
          <w:numId w:val="26"/>
        </w:numPr>
        <w:spacing w:after="0"/>
        <w:ind w:left="709" w:hanging="283"/>
        <w:contextualSpacing w:val="0"/>
        <w:jc w:val="both"/>
      </w:pPr>
      <w:r w:rsidRPr="008A5D94">
        <w:t>nawierzchnie podatne: 1,0</w:t>
      </w:r>
    </w:p>
    <w:p w14:paraId="03D34D60" w14:textId="77777777" w:rsidR="00363999" w:rsidRPr="008A5D94" w:rsidRDefault="00363999" w:rsidP="00661C26">
      <w:pPr>
        <w:pStyle w:val="Akapitzlist"/>
        <w:numPr>
          <w:ilvl w:val="0"/>
          <w:numId w:val="26"/>
        </w:numPr>
        <w:spacing w:after="0"/>
        <w:ind w:left="709" w:hanging="283"/>
        <w:contextualSpacing w:val="0"/>
      </w:pPr>
      <w:r w:rsidRPr="008A5D94">
        <w:t>nawierzchnie z podbudową z kruszywa lub gruntu stabilizowanego cementem: od 1,0 do 1,1</w:t>
      </w:r>
    </w:p>
    <w:p w14:paraId="03D34D61" w14:textId="77777777" w:rsidR="00363999" w:rsidRPr="008A5D94" w:rsidRDefault="00363999" w:rsidP="00661C26">
      <w:pPr>
        <w:pStyle w:val="Akapitzlist"/>
        <w:numPr>
          <w:ilvl w:val="0"/>
          <w:numId w:val="26"/>
        </w:numPr>
        <w:spacing w:after="0"/>
        <w:ind w:left="709" w:hanging="283"/>
        <w:contextualSpacing w:val="0"/>
        <w:jc w:val="both"/>
      </w:pPr>
      <w:r w:rsidRPr="008A5D94">
        <w:t xml:space="preserve">nawierzchnie z podbudową z </w:t>
      </w:r>
      <w:r w:rsidR="00984055" w:rsidRPr="008A5D94">
        <w:t>kruszywa związanego</w:t>
      </w:r>
      <w:r w:rsidRPr="008A5D94">
        <w:t>: od 1,1 do 1,2</w:t>
      </w:r>
    </w:p>
    <w:p w14:paraId="03D34D62" w14:textId="77777777" w:rsidR="00363999" w:rsidRPr="008A5D94" w:rsidRDefault="00363999" w:rsidP="00661C26">
      <w:pPr>
        <w:pStyle w:val="Akapitzlist"/>
        <w:numPr>
          <w:ilvl w:val="0"/>
          <w:numId w:val="26"/>
        </w:numPr>
        <w:spacing w:after="0"/>
        <w:ind w:left="709" w:hanging="283"/>
        <w:contextualSpacing w:val="0"/>
        <w:jc w:val="both"/>
      </w:pPr>
      <w:r w:rsidRPr="008A5D94">
        <w:t>nawierzchnie z podbudową z betonu cementowego: od 1,2 do 1,4</w:t>
      </w:r>
    </w:p>
    <w:p w14:paraId="03D34D63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Większą wartość tego współczynnika zaleca się przyjmować, gdy ugięcia są mniejsze, a podbudowa sztywniejsza. Dla podbudowy związanej spoiwem hydraulicznym, która uległa znacznym spękaniom zmęczeniowym, współczynnik </w:t>
      </w:r>
      <w:proofErr w:type="spellStart"/>
      <w:r w:rsidRPr="008A5D94">
        <w:t>f</w:t>
      </w:r>
      <w:r w:rsidRPr="008A5D94">
        <w:rPr>
          <w:vertAlign w:val="subscript"/>
        </w:rPr>
        <w:t>p</w:t>
      </w:r>
      <w:proofErr w:type="spellEnd"/>
      <w:r w:rsidRPr="008A5D94">
        <w:t xml:space="preserve"> jest bliski jedności. Aby dobrze oszacować wartość współczynnika </w:t>
      </w:r>
      <w:proofErr w:type="spellStart"/>
      <w:r w:rsidRPr="008A5D94">
        <w:t>f</w:t>
      </w:r>
      <w:r w:rsidRPr="008A5D94">
        <w:rPr>
          <w:vertAlign w:val="subscript"/>
        </w:rPr>
        <w:t>p</w:t>
      </w:r>
      <w:proofErr w:type="spellEnd"/>
      <w:r w:rsidRPr="008A5D94">
        <w:t>, konieczna jest, więc znajomość konstrukcji nawierzchni i ocena stanu podbudowy związanej spoiwem hydraulicznym.</w:t>
      </w:r>
    </w:p>
    <w:p w14:paraId="03D34D64" w14:textId="77777777" w:rsidR="00363999" w:rsidRPr="008A5D94" w:rsidRDefault="00363999" w:rsidP="00363999">
      <w:pPr>
        <w:spacing w:before="80" w:after="0"/>
        <w:jc w:val="both"/>
        <w:rPr>
          <w:rFonts w:eastAsia="Times New Roman"/>
        </w:rPr>
      </w:pPr>
      <w:r w:rsidRPr="008A5D94">
        <w:rPr>
          <w:rFonts w:eastAsia="Times New Roman"/>
          <w:b/>
          <w:u w:val="single"/>
        </w:rPr>
        <w:lastRenderedPageBreak/>
        <w:t xml:space="preserve">Miarodajny wskaźnik </w:t>
      </w:r>
      <w:r w:rsidRPr="008A5D94">
        <w:rPr>
          <w:rFonts w:eastAsia="Times New Roman"/>
          <w:b/>
          <w:bCs/>
          <w:u w:val="single"/>
        </w:rPr>
        <w:t>SCI300</w:t>
      </w:r>
      <w:r w:rsidRPr="008A5D94">
        <w:rPr>
          <w:rFonts w:eastAsia="Times New Roman"/>
        </w:rPr>
        <w:t xml:space="preserve"> jest obliczany jako suma wartości średniej i odchylenia standardowego </w:t>
      </w:r>
      <w:r w:rsidR="002365DF" w:rsidRPr="002365DF">
        <w:rPr>
          <w:rFonts w:eastAsia="Times New Roman"/>
        </w:rPr>
        <w:t xml:space="preserve">standaryzowanych </w:t>
      </w:r>
      <w:r w:rsidRPr="008A5D94">
        <w:rPr>
          <w:rFonts w:eastAsia="Times New Roman"/>
        </w:rPr>
        <w:t>wskaźników krzywizny ugięcia nawierzchni dla wyników z kilometrowego odcinka drogi. Wartość wyznacza wg wzoru:</w:t>
      </w:r>
    </w:p>
    <w:p w14:paraId="03D34D65" w14:textId="77777777" w:rsidR="00363999" w:rsidRPr="008A5D94" w:rsidRDefault="00363999" w:rsidP="00363999">
      <w:pPr>
        <w:spacing w:after="0"/>
        <w:jc w:val="center"/>
        <w:rPr>
          <w:rFonts w:eastAsia="Times New Roman"/>
          <w:b/>
        </w:rPr>
      </w:pPr>
    </w:p>
    <w:p w14:paraId="03D34D66" w14:textId="77777777" w:rsidR="00363999" w:rsidRPr="008A5D94" w:rsidRDefault="00363999" w:rsidP="00363999">
      <w:pPr>
        <w:spacing w:after="0"/>
        <w:jc w:val="center"/>
        <w:rPr>
          <w:rFonts w:eastAsia="Times New Roman"/>
        </w:rPr>
      </w:pPr>
      <m:oMathPara>
        <m:oMath>
          <m:r>
            <w:rPr>
              <w:rFonts w:ascii="Cambria Math" w:eastAsia="Times New Roman" w:hAnsi="Cambria Math"/>
            </w:rPr>
            <m:t>SCI</m:t>
          </m:r>
          <m:r>
            <m:rPr>
              <m:sty m:val="p"/>
            </m:rPr>
            <w:rPr>
              <w:rFonts w:ascii="Cambria Math" w:eastAsia="Times New Roman" w:hAnsi="Cambria Math"/>
            </w:rPr>
            <m:t>300=</m:t>
          </m:r>
          <m:f>
            <m:fPr>
              <m:ctrlPr>
                <w:rPr>
                  <w:rFonts w:ascii="Cambria Math" w:eastAsia="Times New Roman" w:hAnsi="Cambria Math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eastAsia="Times New Roman" w:hAnsi="Cambria Math"/>
                    </w:rPr>
                  </m:ctrlPr>
                </m:naryPr>
                <m:sub>
                  <m:r>
                    <w:rPr>
                      <w:rFonts w:ascii="Cambria Math" w:eastAsia="Times New Roman" w:hAnsi="Cambria Math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</w:rPr>
                    <m:t>=1</m:t>
                  </m:r>
                </m:sub>
                <m:sup>
                  <m:r>
                    <w:rPr>
                      <w:rFonts w:ascii="Cambria Math" w:eastAsia="Times New Roman" w:hAnsi="Cambria Math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eastAsia="Times New Roman" w:hAnsi="Cambria Math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</w:rPr>
                        <m:t>sci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</w:rPr>
                        <m:t>i</m:t>
                      </m:r>
                    </m:sub>
                  </m:sSub>
                </m:e>
              </m:nary>
            </m:num>
            <m:den>
              <m:r>
                <w:rPr>
                  <w:rFonts w:ascii="Cambria Math" w:eastAsia="Times New Roman" w:hAnsi="Cambria Math"/>
                </w:rPr>
                <m:t>n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</w:rPr>
            <m:t>+</m:t>
          </m:r>
          <m:r>
            <w:rPr>
              <w:rFonts w:ascii="Cambria Math" w:eastAsia="Times New Roman" w:hAnsi="Cambria Math"/>
            </w:rPr>
            <m:t>Dsci</m:t>
          </m:r>
        </m:oMath>
      </m:oMathPara>
    </w:p>
    <w:p w14:paraId="03D34D67" w14:textId="77777777" w:rsidR="00363999" w:rsidRPr="008A5D94" w:rsidRDefault="00363999" w:rsidP="00363999">
      <w:pPr>
        <w:spacing w:after="0"/>
        <w:rPr>
          <w:rFonts w:eastAsia="Times New Roman"/>
        </w:rPr>
      </w:pPr>
      <w:r w:rsidRPr="008A5D94">
        <w:rPr>
          <w:rFonts w:eastAsia="Times New Roman"/>
        </w:rPr>
        <w:t>gdzie:</w:t>
      </w:r>
    </w:p>
    <w:p w14:paraId="03D34D68" w14:textId="77777777" w:rsidR="00363999" w:rsidRPr="008A5D94" w:rsidRDefault="00363999" w:rsidP="00363999">
      <w:pPr>
        <w:tabs>
          <w:tab w:val="left" w:pos="851"/>
        </w:tabs>
        <w:spacing w:after="0"/>
        <w:rPr>
          <w:rFonts w:eastAsia="Times New Roman"/>
        </w:rPr>
      </w:pPr>
      <w:r w:rsidRPr="008A5D94">
        <w:rPr>
          <w:rFonts w:eastAsia="Times New Roman"/>
        </w:rPr>
        <w:t>SCI300</w:t>
      </w:r>
      <w:r w:rsidRPr="008A5D94">
        <w:rPr>
          <w:rFonts w:eastAsia="Times New Roman"/>
        </w:rPr>
        <w:tab/>
        <w:t>miarodajny wskaźnik krzywizny ugięcia,</w:t>
      </w:r>
    </w:p>
    <w:p w14:paraId="03D34D69" w14:textId="77777777" w:rsidR="00363999" w:rsidRPr="008A5D94" w:rsidRDefault="00363999" w:rsidP="00363999">
      <w:pPr>
        <w:tabs>
          <w:tab w:val="left" w:pos="851"/>
        </w:tabs>
        <w:spacing w:after="0"/>
        <w:ind w:left="993" w:hanging="993"/>
        <w:rPr>
          <w:rFonts w:eastAsia="Times New Roman"/>
        </w:rPr>
      </w:pPr>
      <w:proofErr w:type="spellStart"/>
      <w:r w:rsidRPr="008A5D94">
        <w:rPr>
          <w:rFonts w:eastAsia="Times New Roman"/>
        </w:rPr>
        <w:t>sci</w:t>
      </w:r>
      <w:proofErr w:type="spellEnd"/>
      <w:r w:rsidRPr="008A5D94">
        <w:rPr>
          <w:rFonts w:eastAsia="Times New Roman"/>
        </w:rPr>
        <w:tab/>
        <w:t>standaryzowana wartość pojedynczego pomiaru wskaźnika krzywizny ugięcia,</w:t>
      </w:r>
    </w:p>
    <w:p w14:paraId="03D34D6A" w14:textId="77777777" w:rsidR="00363999" w:rsidRPr="008A5D94" w:rsidRDefault="00363999" w:rsidP="00363999">
      <w:pPr>
        <w:tabs>
          <w:tab w:val="left" w:pos="851"/>
        </w:tabs>
        <w:spacing w:after="0"/>
        <w:rPr>
          <w:rFonts w:eastAsia="Times New Roman"/>
        </w:rPr>
      </w:pPr>
      <w:r w:rsidRPr="008A5D94">
        <w:rPr>
          <w:rFonts w:eastAsia="Times New Roman"/>
        </w:rPr>
        <w:t>n</w:t>
      </w:r>
      <w:r w:rsidRPr="008A5D94">
        <w:rPr>
          <w:rFonts w:eastAsia="Times New Roman"/>
        </w:rPr>
        <w:tab/>
        <w:t>liczba</w:t>
      </w:r>
      <w:r w:rsidR="002365DF" w:rsidRPr="002365DF">
        <w:t xml:space="preserve"> </w:t>
      </w:r>
      <w:r w:rsidR="002365DF" w:rsidRPr="002365DF">
        <w:rPr>
          <w:rFonts w:eastAsia="Times New Roman"/>
        </w:rPr>
        <w:t>standaryzowanych wskaźników krzywizny ugięcia</w:t>
      </w:r>
      <w:r w:rsidRPr="008A5D94">
        <w:rPr>
          <w:rFonts w:eastAsia="Times New Roman"/>
        </w:rPr>
        <w:t>.</w:t>
      </w:r>
    </w:p>
    <w:p w14:paraId="03D34D6B" w14:textId="77777777" w:rsidR="00363999" w:rsidRPr="008A5D94" w:rsidRDefault="00363999" w:rsidP="00363999">
      <w:pPr>
        <w:tabs>
          <w:tab w:val="left" w:pos="851"/>
        </w:tabs>
        <w:spacing w:after="0"/>
        <w:ind w:left="851" w:hanging="851"/>
        <w:rPr>
          <w:rFonts w:eastAsia="Times New Roman"/>
        </w:rPr>
      </w:pPr>
      <w:proofErr w:type="spellStart"/>
      <w:r w:rsidRPr="008A5D94">
        <w:rPr>
          <w:rFonts w:eastAsia="Times New Roman"/>
        </w:rPr>
        <w:t>Dsci</w:t>
      </w:r>
      <w:proofErr w:type="spellEnd"/>
      <w:r w:rsidRPr="008A5D94">
        <w:rPr>
          <w:rFonts w:eastAsia="Times New Roman"/>
        </w:rPr>
        <w:tab/>
        <w:t xml:space="preserve">odchylenie standardowe standaryzowanych wartości pojedynczych pomiarów wskaźnika krzywizny ugięcia na odcinku </w:t>
      </w:r>
      <w:r w:rsidR="002365DF">
        <w:rPr>
          <w:rFonts w:eastAsia="Times New Roman"/>
        </w:rPr>
        <w:t>kilometrowym</w:t>
      </w:r>
      <w:r w:rsidRPr="008A5D94">
        <w:rPr>
          <w:rFonts w:eastAsia="Times New Roman"/>
        </w:rPr>
        <w:t>.</w:t>
      </w:r>
    </w:p>
    <w:p w14:paraId="03D34D6C" w14:textId="77777777" w:rsidR="00363999" w:rsidRPr="008A5D94" w:rsidRDefault="00363999" w:rsidP="00363999">
      <w:pPr>
        <w:tabs>
          <w:tab w:val="left" w:pos="851"/>
        </w:tabs>
        <w:spacing w:before="80" w:after="0"/>
        <w:rPr>
          <w:rFonts w:eastAsia="Times New Roman"/>
        </w:rPr>
      </w:pPr>
      <w:r w:rsidRPr="008A5D94">
        <w:rPr>
          <w:rFonts w:eastAsia="Times New Roman"/>
        </w:rPr>
        <w:t xml:space="preserve">Standaryzowana wartość pojedynczego pomiaru wskaźnika krzywizny ugięcia </w:t>
      </w:r>
      <w:proofErr w:type="spellStart"/>
      <w:r w:rsidRPr="008A5D94">
        <w:rPr>
          <w:rFonts w:eastAsia="Times New Roman"/>
        </w:rPr>
        <w:t>sci</w:t>
      </w:r>
      <w:proofErr w:type="spellEnd"/>
      <w:r w:rsidRPr="008A5D94">
        <w:rPr>
          <w:rFonts w:eastAsia="Times New Roman"/>
        </w:rPr>
        <w:t>:</w:t>
      </w:r>
    </w:p>
    <w:p w14:paraId="03D34D6D" w14:textId="77777777" w:rsidR="00363999" w:rsidRPr="008A5D94" w:rsidRDefault="00363999" w:rsidP="00363999">
      <w:pPr>
        <w:spacing w:after="0"/>
        <w:ind w:left="284"/>
        <w:jc w:val="center"/>
      </w:pPr>
      <w:proofErr w:type="spellStart"/>
      <w:r w:rsidRPr="008A5D94">
        <w:t>sci</w:t>
      </w:r>
      <w:proofErr w:type="spellEnd"/>
      <w:r w:rsidRPr="008A5D94">
        <w:t xml:space="preserve"> = D0 - D300</w:t>
      </w:r>
      <w:r w:rsidR="002365DF" w:rsidRPr="002365DF">
        <w:t>(50/F)·</w:t>
      </w:r>
      <w:proofErr w:type="spellStart"/>
      <w:r w:rsidR="002365DF" w:rsidRPr="002365DF">
        <w:t>fT·fS·fP</w:t>
      </w:r>
      <w:proofErr w:type="spellEnd"/>
    </w:p>
    <w:p w14:paraId="03D34D6E" w14:textId="77777777" w:rsidR="00363999" w:rsidRPr="008A5D94" w:rsidRDefault="00DB5D3C" w:rsidP="00363999">
      <w:pPr>
        <w:spacing w:after="0"/>
        <w:jc w:val="both"/>
      </w:pPr>
      <w:r>
        <w:t>gdzie:</w:t>
      </w:r>
    </w:p>
    <w:p w14:paraId="03D34D6F" w14:textId="77777777" w:rsidR="00363999" w:rsidRPr="008A5D94" w:rsidRDefault="00363999" w:rsidP="00363999">
      <w:pPr>
        <w:tabs>
          <w:tab w:val="left" w:pos="851"/>
        </w:tabs>
        <w:spacing w:after="0"/>
      </w:pPr>
      <w:r w:rsidRPr="008A5D94">
        <w:t>D0</w:t>
      </w:r>
      <w:r w:rsidRPr="008A5D94">
        <w:tab/>
        <w:t>ugięcie w punkcie centralnym,</w:t>
      </w:r>
    </w:p>
    <w:p w14:paraId="03D34D70" w14:textId="77777777" w:rsidR="00363999" w:rsidRPr="008A5D94" w:rsidRDefault="00363999" w:rsidP="00363999">
      <w:pPr>
        <w:tabs>
          <w:tab w:val="left" w:pos="851"/>
        </w:tabs>
        <w:spacing w:after="0"/>
      </w:pPr>
      <w:r w:rsidRPr="008A5D94">
        <w:t>D300</w:t>
      </w:r>
      <w:r w:rsidRPr="008A5D94">
        <w:tab/>
        <w:t>ugięcie w punkcie oddalonym o 300 mm od punktu centralnego.</w:t>
      </w:r>
    </w:p>
    <w:p w14:paraId="03D34D71" w14:textId="77777777" w:rsidR="00363999" w:rsidRPr="008A5D94" w:rsidRDefault="00363999" w:rsidP="00363999">
      <w:pPr>
        <w:spacing w:before="80" w:after="0"/>
        <w:jc w:val="both"/>
        <w:rPr>
          <w:rFonts w:eastAsia="Times New Roman"/>
        </w:rPr>
      </w:pPr>
      <w:r w:rsidRPr="008A5D94">
        <w:rPr>
          <w:rFonts w:eastAsia="Times New Roman"/>
        </w:rPr>
        <w:t>Wynik obliczeń zaokrągla się zgodnie z ogólnymi zasadami.</w:t>
      </w:r>
    </w:p>
    <w:p w14:paraId="03D34D72" w14:textId="77777777" w:rsidR="00363999" w:rsidRPr="008A5D94" w:rsidRDefault="00363999" w:rsidP="00363999">
      <w:pPr>
        <w:spacing w:before="80" w:after="0"/>
        <w:jc w:val="both"/>
      </w:pPr>
      <w:r w:rsidRPr="008A5D94">
        <w:t>W przypadkach szczególnych (wystąpienie uszkodzeń nawierzchni typu: spękania, koleiny, nierówności czy też przekroczenie wymaganych wartości przez którykolwiek ze wskaźników) dopuszcza się przeprowadzenie dokładnych analiz i badań w oparciu o dane szczegółowe (grubości warstw konstrukcji, ilości osi obliczeniowych itp.) w celu wyznaczenia rzeczywistej pozostałej trwałości zmęczeniowej nawierzchni.</w:t>
      </w:r>
    </w:p>
    <w:p w14:paraId="03D34D73" w14:textId="77777777" w:rsidR="00363999" w:rsidRPr="008A5D94" w:rsidRDefault="00363999" w:rsidP="00363999">
      <w:pPr>
        <w:numPr>
          <w:ilvl w:val="1"/>
          <w:numId w:val="2"/>
        </w:numPr>
        <w:spacing w:before="80" w:after="0"/>
        <w:ind w:left="567" w:hanging="567"/>
        <w:jc w:val="both"/>
        <w:rPr>
          <w:b/>
        </w:rPr>
      </w:pPr>
      <w:r w:rsidRPr="008A5D94">
        <w:rPr>
          <w:b/>
        </w:rPr>
        <w:br w:type="page"/>
      </w:r>
      <w:r w:rsidRPr="008A5D94">
        <w:rPr>
          <w:b/>
        </w:rPr>
        <w:lastRenderedPageBreak/>
        <w:t>Nawierzchnie sztywne</w:t>
      </w:r>
    </w:p>
    <w:p w14:paraId="03D34D74" w14:textId="77777777" w:rsidR="00363999" w:rsidRPr="008A5D94" w:rsidRDefault="00363999" w:rsidP="00363999">
      <w:pPr>
        <w:numPr>
          <w:ilvl w:val="2"/>
          <w:numId w:val="2"/>
        </w:numPr>
        <w:spacing w:before="80" w:after="0"/>
        <w:ind w:left="709" w:hanging="709"/>
        <w:jc w:val="both"/>
      </w:pPr>
      <w:r w:rsidRPr="008A5D94">
        <w:t>Stan nawierzchni</w:t>
      </w:r>
    </w:p>
    <w:p w14:paraId="03D34D75" w14:textId="77777777" w:rsidR="00292E56" w:rsidRPr="008A5D94" w:rsidRDefault="00363999" w:rsidP="00363999">
      <w:pPr>
        <w:spacing w:before="80" w:after="0"/>
        <w:jc w:val="both"/>
      </w:pPr>
      <w:r w:rsidRPr="008A5D94">
        <w:t>Ocenie podlegają</w:t>
      </w:r>
      <w:r w:rsidR="00292E56" w:rsidRPr="008A5D94">
        <w:t>:</w:t>
      </w:r>
    </w:p>
    <w:p w14:paraId="03D34D76" w14:textId="77777777" w:rsidR="00363999" w:rsidRPr="008A5D94" w:rsidRDefault="004739B1" w:rsidP="008A5D94">
      <w:pPr>
        <w:pStyle w:val="Akapitzlist"/>
        <w:numPr>
          <w:ilvl w:val="0"/>
          <w:numId w:val="33"/>
        </w:numPr>
        <w:spacing w:before="80" w:after="0"/>
        <w:jc w:val="both"/>
      </w:pPr>
      <w:r w:rsidRPr="008A5D94">
        <w:t>właś</w:t>
      </w:r>
      <w:r w:rsidR="00292E56" w:rsidRPr="008A5D94">
        <w:t>ciwości użytkowe nawierzchni, w szczególności</w:t>
      </w:r>
      <w:r w:rsidR="00363999" w:rsidRPr="008A5D94">
        <w:t>:</w:t>
      </w:r>
    </w:p>
    <w:p w14:paraId="03D34D77" w14:textId="77777777" w:rsidR="00363999" w:rsidRPr="008A5D94" w:rsidRDefault="00363999" w:rsidP="00292E56">
      <w:pPr>
        <w:pStyle w:val="Akapitzlist"/>
        <w:numPr>
          <w:ilvl w:val="0"/>
          <w:numId w:val="27"/>
        </w:numPr>
        <w:spacing w:after="0"/>
        <w:ind w:left="851" w:firstLine="142"/>
        <w:contextualSpacing w:val="0"/>
        <w:jc w:val="both"/>
      </w:pPr>
      <w:r w:rsidRPr="008A5D94">
        <w:t>właściwości przeciwpoślizgowe,</w:t>
      </w:r>
    </w:p>
    <w:p w14:paraId="03D34D78" w14:textId="77777777" w:rsidR="00363999" w:rsidRPr="008A5D94" w:rsidRDefault="00363999" w:rsidP="00292E56">
      <w:pPr>
        <w:pStyle w:val="Akapitzlist"/>
        <w:numPr>
          <w:ilvl w:val="0"/>
          <w:numId w:val="27"/>
        </w:numPr>
        <w:spacing w:after="0"/>
        <w:ind w:left="851" w:firstLine="142"/>
        <w:contextualSpacing w:val="0"/>
        <w:jc w:val="both"/>
      </w:pPr>
      <w:r w:rsidRPr="008A5D94">
        <w:t>równość podłużna,</w:t>
      </w:r>
    </w:p>
    <w:p w14:paraId="03D34D79" w14:textId="77777777" w:rsidR="00292E56" w:rsidRPr="008A5D94" w:rsidRDefault="00292E56" w:rsidP="00292E56">
      <w:pPr>
        <w:pStyle w:val="Akapitzlist"/>
        <w:numPr>
          <w:ilvl w:val="0"/>
          <w:numId w:val="27"/>
        </w:numPr>
        <w:spacing w:after="0"/>
        <w:ind w:left="851" w:firstLine="142"/>
        <w:contextualSpacing w:val="0"/>
        <w:jc w:val="both"/>
      </w:pPr>
      <w:r w:rsidRPr="008A5D94">
        <w:t>współpraca płyt w szczelinie poprzecznej,</w:t>
      </w:r>
    </w:p>
    <w:p w14:paraId="03D34D7A" w14:textId="77777777" w:rsidR="00292E56" w:rsidRPr="008A5D94" w:rsidRDefault="004739B1" w:rsidP="008A5D94">
      <w:pPr>
        <w:pStyle w:val="Akapitzlist"/>
        <w:numPr>
          <w:ilvl w:val="0"/>
          <w:numId w:val="33"/>
        </w:numPr>
        <w:spacing w:after="0"/>
        <w:jc w:val="both"/>
      </w:pPr>
      <w:r w:rsidRPr="008A5D94">
        <w:t>w</w:t>
      </w:r>
      <w:r w:rsidR="00292E56" w:rsidRPr="008A5D94">
        <w:t>szelkie uszkodzenia płyt, w szczególności:</w:t>
      </w:r>
    </w:p>
    <w:p w14:paraId="03D34D7B" w14:textId="77777777" w:rsidR="00292E56" w:rsidRPr="008A5D94" w:rsidRDefault="00292E56" w:rsidP="008A5D94">
      <w:pPr>
        <w:pStyle w:val="Akapitzlist"/>
        <w:numPr>
          <w:ilvl w:val="0"/>
          <w:numId w:val="35"/>
        </w:numPr>
        <w:spacing w:after="0"/>
        <w:jc w:val="both"/>
      </w:pPr>
      <w:r w:rsidRPr="008A5D94">
        <w:t>pęknięcia podłużne i poprzeczne,</w:t>
      </w:r>
    </w:p>
    <w:p w14:paraId="03D34D7C" w14:textId="77777777" w:rsidR="00292E56" w:rsidRPr="008A5D94" w:rsidRDefault="00292E56" w:rsidP="008A5D94">
      <w:pPr>
        <w:pStyle w:val="Akapitzlist"/>
        <w:numPr>
          <w:ilvl w:val="0"/>
          <w:numId w:val="35"/>
        </w:numPr>
        <w:spacing w:after="0"/>
        <w:jc w:val="both"/>
      </w:pPr>
      <w:r w:rsidRPr="008A5D94">
        <w:t>uszkodzenia krawędzi,</w:t>
      </w:r>
    </w:p>
    <w:p w14:paraId="03D34D7D" w14:textId="77777777" w:rsidR="00292E56" w:rsidRPr="008A5D94" w:rsidRDefault="00292E56" w:rsidP="008A5D94">
      <w:pPr>
        <w:pStyle w:val="Akapitzlist"/>
        <w:numPr>
          <w:ilvl w:val="0"/>
          <w:numId w:val="35"/>
        </w:numPr>
        <w:spacing w:after="0"/>
        <w:jc w:val="both"/>
      </w:pPr>
      <w:r w:rsidRPr="008A5D94">
        <w:t>uszkodzenia narożników,</w:t>
      </w:r>
    </w:p>
    <w:p w14:paraId="03D34D7E" w14:textId="77777777" w:rsidR="00292E56" w:rsidRPr="008A5D94" w:rsidRDefault="00292E56" w:rsidP="008A5D94">
      <w:pPr>
        <w:pStyle w:val="Akapitzlist"/>
        <w:numPr>
          <w:ilvl w:val="0"/>
          <w:numId w:val="35"/>
        </w:numPr>
        <w:spacing w:after="0"/>
        <w:jc w:val="both"/>
      </w:pPr>
      <w:r w:rsidRPr="008A5D94">
        <w:t>powierzchniowe złuszczenia zaprawy cementowej i/lub ubytki ziaren kruszywa,</w:t>
      </w:r>
    </w:p>
    <w:p w14:paraId="03D34D7F" w14:textId="77777777" w:rsidR="009740C2" w:rsidRPr="008A5D94" w:rsidRDefault="004739B1" w:rsidP="008A5D94">
      <w:pPr>
        <w:pStyle w:val="Akapitzlist"/>
        <w:numPr>
          <w:ilvl w:val="0"/>
          <w:numId w:val="33"/>
        </w:numPr>
        <w:spacing w:after="0"/>
        <w:jc w:val="both"/>
      </w:pPr>
      <w:r w:rsidRPr="008A5D94">
        <w:t>w</w:t>
      </w:r>
      <w:r w:rsidR="00292E56" w:rsidRPr="008A5D94">
        <w:t xml:space="preserve">łaściwości </w:t>
      </w:r>
      <w:proofErr w:type="spellStart"/>
      <w:r w:rsidR="00292E56" w:rsidRPr="008A5D94">
        <w:t>funkjonalne</w:t>
      </w:r>
      <w:proofErr w:type="spellEnd"/>
      <w:r w:rsidR="00292E56" w:rsidRPr="008A5D94">
        <w:t xml:space="preserve"> nawierzchni, w szczególności</w:t>
      </w:r>
      <w:r w:rsidR="009740C2" w:rsidRPr="008A5D94">
        <w:t>:</w:t>
      </w:r>
    </w:p>
    <w:p w14:paraId="03D34D80" w14:textId="77777777" w:rsidR="009740C2" w:rsidRPr="008A5D94" w:rsidRDefault="009740C2" w:rsidP="008A5D94">
      <w:pPr>
        <w:pStyle w:val="Akapitzlist"/>
        <w:numPr>
          <w:ilvl w:val="0"/>
          <w:numId w:val="36"/>
        </w:numPr>
        <w:spacing w:after="0"/>
        <w:ind w:left="1418" w:hanging="284"/>
        <w:jc w:val="both"/>
      </w:pPr>
      <w:r w:rsidRPr="008A5D94">
        <w:t>odporność na zamrażanie i odmrażanie betonu górnej warstwy nawierzchni,</w:t>
      </w:r>
    </w:p>
    <w:p w14:paraId="03D34D81" w14:textId="77777777" w:rsidR="009740C2" w:rsidRPr="008A5D94" w:rsidRDefault="004739B1" w:rsidP="008A5D94">
      <w:pPr>
        <w:pStyle w:val="Akapitzlist"/>
        <w:numPr>
          <w:ilvl w:val="0"/>
          <w:numId w:val="33"/>
        </w:numPr>
        <w:spacing w:after="0"/>
        <w:jc w:val="both"/>
      </w:pPr>
      <w:r w:rsidRPr="008A5D94">
        <w:t>s</w:t>
      </w:r>
      <w:r w:rsidR="009740C2" w:rsidRPr="008A5D94">
        <w:t>zczeliny podłużne i poprzeczne, w szczególności:</w:t>
      </w:r>
    </w:p>
    <w:p w14:paraId="03D34D82" w14:textId="77777777" w:rsidR="00292E56" w:rsidRPr="008A5D94" w:rsidRDefault="009740C2" w:rsidP="008A5D94">
      <w:pPr>
        <w:spacing w:after="0"/>
        <w:ind w:firstLine="1134"/>
        <w:jc w:val="both"/>
      </w:pPr>
      <w:r w:rsidRPr="008A5D94">
        <w:t xml:space="preserve">a) szczelność </w:t>
      </w:r>
      <w:proofErr w:type="spellStart"/>
      <w:r w:rsidRPr="008A5D94">
        <w:t>wypelnienia</w:t>
      </w:r>
      <w:proofErr w:type="spellEnd"/>
      <w:r w:rsidRPr="008A5D94">
        <w:t xml:space="preserve"> szczelin podłużnych i poprzecznych.</w:t>
      </w:r>
    </w:p>
    <w:p w14:paraId="03D34D83" w14:textId="77777777" w:rsidR="00363999" w:rsidRPr="008A5D94" w:rsidRDefault="00766ADD" w:rsidP="00363999">
      <w:pPr>
        <w:spacing w:before="80" w:after="0"/>
        <w:jc w:val="both"/>
      </w:pPr>
      <w:r w:rsidRPr="008A5D94">
        <w:t>W całym okresie gwarancji nie dopuszcza się:</w:t>
      </w:r>
    </w:p>
    <w:p w14:paraId="03D34D84" w14:textId="77777777" w:rsidR="00766ADD" w:rsidRPr="008A5D94" w:rsidRDefault="00766ADD" w:rsidP="008A5D94">
      <w:pPr>
        <w:pStyle w:val="Akapitzlist"/>
        <w:numPr>
          <w:ilvl w:val="0"/>
          <w:numId w:val="37"/>
        </w:numPr>
        <w:spacing w:before="80" w:after="0"/>
        <w:jc w:val="both"/>
      </w:pPr>
      <w:r w:rsidRPr="008A5D94">
        <w:t>jakiegokolwiek braku lub wadliwego wypełnienia szczelin podłużnych i</w:t>
      </w:r>
      <w:r w:rsidR="004739B1" w:rsidRPr="008A5D94">
        <w:t> </w:t>
      </w:r>
      <w:r w:rsidRPr="008A5D94">
        <w:t>poprzecznych,</w:t>
      </w:r>
    </w:p>
    <w:p w14:paraId="03D34D85" w14:textId="77777777" w:rsidR="00766ADD" w:rsidRPr="008A5D94" w:rsidRDefault="00766ADD" w:rsidP="008A5D94">
      <w:pPr>
        <w:pStyle w:val="Akapitzlist"/>
        <w:numPr>
          <w:ilvl w:val="0"/>
          <w:numId w:val="37"/>
        </w:numPr>
        <w:spacing w:before="80" w:after="0"/>
        <w:jc w:val="both"/>
      </w:pPr>
      <w:r w:rsidRPr="008A5D94">
        <w:t>uszkodzeń nawierzchni wskutek wystąpienia reakcji alkalia – kruszywo w betonie.</w:t>
      </w:r>
    </w:p>
    <w:p w14:paraId="03D34D86" w14:textId="77777777" w:rsidR="00363999" w:rsidRPr="008A5D94" w:rsidRDefault="00363999" w:rsidP="00363999">
      <w:pPr>
        <w:spacing w:before="80" w:after="0"/>
        <w:jc w:val="both"/>
      </w:pPr>
    </w:p>
    <w:p w14:paraId="03D34D87" w14:textId="77777777" w:rsidR="00363999" w:rsidRPr="008A5D94" w:rsidRDefault="00363999" w:rsidP="00363999">
      <w:pPr>
        <w:tabs>
          <w:tab w:val="left" w:pos="1276"/>
        </w:tabs>
        <w:spacing w:before="80" w:after="0"/>
        <w:ind w:left="1276" w:hanging="1276"/>
        <w:jc w:val="both"/>
      </w:pPr>
      <w:r w:rsidRPr="008A5D94">
        <w:t>Tabela 8.</w:t>
      </w:r>
      <w:r w:rsidRPr="008A5D94">
        <w:tab/>
        <w:t>Rodzaje uszkodzeń oraz dopuszczalne, maksymalne wartości uszkodzenia płyty betonowej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145"/>
        <w:gridCol w:w="2809"/>
      </w:tblGrid>
      <w:tr w:rsidR="00363999" w:rsidRPr="008A5D94" w14:paraId="03D34D8A" w14:textId="77777777" w:rsidTr="00B60A37">
        <w:tc>
          <w:tcPr>
            <w:tcW w:w="6145" w:type="dxa"/>
          </w:tcPr>
          <w:p w14:paraId="03D34D88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Rodzaj uszkodzenia nawierzchni betonowej</w:t>
            </w:r>
          </w:p>
        </w:tc>
        <w:tc>
          <w:tcPr>
            <w:tcW w:w="2809" w:type="dxa"/>
            <w:vAlign w:val="center"/>
          </w:tcPr>
          <w:p w14:paraId="03D34D89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Dopuszczalna, maksymalna wartości uszkodzenia</w:t>
            </w:r>
          </w:p>
        </w:tc>
      </w:tr>
      <w:tr w:rsidR="00363999" w:rsidRPr="008A5D94" w14:paraId="03D34D8D" w14:textId="77777777" w:rsidTr="00B60A37">
        <w:tc>
          <w:tcPr>
            <w:tcW w:w="6145" w:type="dxa"/>
            <w:vAlign w:val="center"/>
          </w:tcPr>
          <w:p w14:paraId="03D34D8B" w14:textId="77777777" w:rsidR="00363999" w:rsidRPr="008A5D94" w:rsidRDefault="00363999" w:rsidP="002365D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pęknięcia podłużne i poprzeczne, średnia długość pęknięcia na płycie [m]</w:t>
            </w:r>
          </w:p>
        </w:tc>
        <w:tc>
          <w:tcPr>
            <w:tcW w:w="2809" w:type="dxa"/>
            <w:vAlign w:val="center"/>
          </w:tcPr>
          <w:p w14:paraId="03D34D8C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0,1</w:t>
            </w:r>
          </w:p>
        </w:tc>
      </w:tr>
      <w:tr w:rsidR="00363999" w:rsidRPr="008A5D94" w14:paraId="03D34D90" w14:textId="77777777" w:rsidTr="00B60A37">
        <w:tc>
          <w:tcPr>
            <w:tcW w:w="6145" w:type="dxa"/>
            <w:vAlign w:val="center"/>
          </w:tcPr>
          <w:p w14:paraId="03D34D8E" w14:textId="77777777" w:rsidR="00363999" w:rsidRPr="008A5D94" w:rsidRDefault="00363999" w:rsidP="002365D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pęknięcia podłużne i poprzeczne, procent uszkodzonych płyt na 1 km jezdni [%]</w:t>
            </w:r>
          </w:p>
        </w:tc>
        <w:tc>
          <w:tcPr>
            <w:tcW w:w="2809" w:type="dxa"/>
            <w:vAlign w:val="center"/>
          </w:tcPr>
          <w:p w14:paraId="03D34D8F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1,0</w:t>
            </w:r>
          </w:p>
        </w:tc>
      </w:tr>
      <w:tr w:rsidR="00363999" w:rsidRPr="008A5D94" w14:paraId="03D34D93" w14:textId="77777777" w:rsidTr="00B60A37">
        <w:tc>
          <w:tcPr>
            <w:tcW w:w="6145" w:type="dxa"/>
            <w:vAlign w:val="center"/>
          </w:tcPr>
          <w:p w14:paraId="03D34D91" w14:textId="77777777" w:rsidR="00363999" w:rsidRPr="008A5D94" w:rsidRDefault="00363999" w:rsidP="002365D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uszkodzenia narożników, procent uszkodzonych płyt na 1 km jezdni [%]</w:t>
            </w:r>
          </w:p>
        </w:tc>
        <w:tc>
          <w:tcPr>
            <w:tcW w:w="2809" w:type="dxa"/>
            <w:vAlign w:val="center"/>
          </w:tcPr>
          <w:p w14:paraId="03D34D92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1,0</w:t>
            </w:r>
          </w:p>
        </w:tc>
      </w:tr>
      <w:tr w:rsidR="00363999" w:rsidRPr="008A5D94" w14:paraId="03D34D96" w14:textId="77777777" w:rsidTr="00B60A37">
        <w:tc>
          <w:tcPr>
            <w:tcW w:w="6145" w:type="dxa"/>
            <w:vAlign w:val="center"/>
          </w:tcPr>
          <w:p w14:paraId="03D34D94" w14:textId="77777777" w:rsidR="00363999" w:rsidRPr="008A5D94" w:rsidRDefault="00363999" w:rsidP="002365D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uszkodzenia krawędzi, średnia długość uszkodzeń na płycie [m]</w:t>
            </w:r>
          </w:p>
        </w:tc>
        <w:tc>
          <w:tcPr>
            <w:tcW w:w="2809" w:type="dxa"/>
            <w:vAlign w:val="center"/>
          </w:tcPr>
          <w:p w14:paraId="03D34D95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0,1</w:t>
            </w:r>
          </w:p>
        </w:tc>
      </w:tr>
      <w:tr w:rsidR="00363999" w:rsidRPr="008A5D94" w14:paraId="03D34D99" w14:textId="77777777" w:rsidTr="00B60A37">
        <w:tc>
          <w:tcPr>
            <w:tcW w:w="6145" w:type="dxa"/>
            <w:vAlign w:val="center"/>
          </w:tcPr>
          <w:p w14:paraId="03D34D97" w14:textId="77777777" w:rsidR="00363999" w:rsidRPr="008A5D94" w:rsidRDefault="00363999" w:rsidP="002365D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uszkodzenia krawędzi, procent uszkodzonych płyt na 1 km jezdni [%]</w:t>
            </w:r>
          </w:p>
        </w:tc>
        <w:tc>
          <w:tcPr>
            <w:tcW w:w="2809" w:type="dxa"/>
            <w:vAlign w:val="center"/>
          </w:tcPr>
          <w:p w14:paraId="03D34D98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≤ 1,0</w:t>
            </w:r>
          </w:p>
        </w:tc>
      </w:tr>
    </w:tbl>
    <w:p w14:paraId="03D34D9A" w14:textId="77777777" w:rsidR="00363999" w:rsidRPr="008A5D94" w:rsidRDefault="00363999" w:rsidP="00363999">
      <w:pPr>
        <w:spacing w:before="80" w:after="0"/>
        <w:jc w:val="both"/>
      </w:pPr>
    </w:p>
    <w:p w14:paraId="03D34D9B" w14:textId="77777777" w:rsidR="00363999" w:rsidRPr="008A5D94" w:rsidRDefault="00363999" w:rsidP="00363999">
      <w:pPr>
        <w:spacing w:before="80" w:after="0"/>
        <w:jc w:val="both"/>
      </w:pPr>
      <w:r w:rsidRPr="008A5D94">
        <w:t>W tabeli 8 podano maksymalne dopuszczalne wartości parametrów uszkodzenia płyty betonowej</w:t>
      </w:r>
      <w:r w:rsidR="00E233BC" w:rsidRPr="008A5D94">
        <w:t>.</w:t>
      </w:r>
      <w:r w:rsidRPr="008A5D94">
        <w:t xml:space="preserve"> </w:t>
      </w:r>
      <w:r w:rsidR="00E233BC" w:rsidRPr="008A5D94">
        <w:t xml:space="preserve">Niespełnienie któregokolwiek z parametrów </w:t>
      </w:r>
      <w:proofErr w:type="spellStart"/>
      <w:r w:rsidR="00E233BC" w:rsidRPr="008A5D94">
        <w:t>podnych</w:t>
      </w:r>
      <w:proofErr w:type="spellEnd"/>
      <w:r w:rsidR="00E233BC" w:rsidRPr="008A5D94">
        <w:t xml:space="preserve"> w Tabeli 8 </w:t>
      </w:r>
      <w:r w:rsidRPr="008A5D94">
        <w:t>wymaga zastosowania programu naprawczego uwzględniającego wymianę płyt/płyty.</w:t>
      </w:r>
      <w:r w:rsidR="00E233BC" w:rsidRPr="008A5D94">
        <w:t xml:space="preserve"> </w:t>
      </w:r>
    </w:p>
    <w:p w14:paraId="03D34D9C" w14:textId="77777777" w:rsidR="00673143" w:rsidRDefault="00363999" w:rsidP="00363999">
      <w:pPr>
        <w:spacing w:before="80" w:after="0"/>
        <w:jc w:val="both"/>
      </w:pPr>
      <w:r w:rsidRPr="008A5D94">
        <w:t xml:space="preserve">Uszkodzenia poniżej parametrów określonych w tabeli 8 wymagają natychmiastowej naprawy (np. w przypadku pęknięć naprawa w technologii wykonania szczelin wg KTKNS </w:t>
      </w:r>
      <w:r w:rsidR="005B5365" w:rsidRPr="008A5D94">
        <w:t xml:space="preserve">2014 </w:t>
      </w:r>
      <w:r w:rsidRPr="008A5D94">
        <w:t xml:space="preserve">- m.in. </w:t>
      </w:r>
      <w:proofErr w:type="spellStart"/>
      <w:r w:rsidRPr="008A5D94">
        <w:t>rozfrezowanie</w:t>
      </w:r>
      <w:proofErr w:type="spellEnd"/>
      <w:r w:rsidRPr="008A5D94">
        <w:t xml:space="preserve"> i wypełnienie masą zalewową).</w:t>
      </w:r>
    </w:p>
    <w:p w14:paraId="03D34D9D" w14:textId="77777777" w:rsidR="00673143" w:rsidRDefault="00673143">
      <w:pPr>
        <w:spacing w:after="160" w:line="259" w:lineRule="auto"/>
      </w:pPr>
      <w:r>
        <w:br w:type="page"/>
      </w:r>
    </w:p>
    <w:p w14:paraId="03D34D9E" w14:textId="77777777" w:rsidR="00363999" w:rsidRPr="008A5D94" w:rsidRDefault="00363999" w:rsidP="00363999">
      <w:pPr>
        <w:numPr>
          <w:ilvl w:val="2"/>
          <w:numId w:val="2"/>
        </w:numPr>
        <w:spacing w:before="80" w:after="0"/>
        <w:ind w:left="709" w:hanging="709"/>
        <w:jc w:val="both"/>
      </w:pPr>
      <w:r w:rsidRPr="008A5D94">
        <w:lastRenderedPageBreak/>
        <w:t>Parametry nawierzchni</w:t>
      </w:r>
    </w:p>
    <w:p w14:paraId="03D34D9F" w14:textId="77777777" w:rsidR="00363999" w:rsidRPr="008A5D94" w:rsidRDefault="00363999" w:rsidP="00363999">
      <w:pPr>
        <w:numPr>
          <w:ilvl w:val="3"/>
          <w:numId w:val="2"/>
        </w:numPr>
        <w:spacing w:before="80" w:after="0"/>
        <w:ind w:left="851" w:hanging="851"/>
        <w:jc w:val="both"/>
      </w:pPr>
      <w:r w:rsidRPr="008A5D94">
        <w:t>Właściwości przeciwpoślizgowe (miarodajny współczynnik tarcia)</w:t>
      </w:r>
    </w:p>
    <w:p w14:paraId="03D34DA0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Pomiar miarodajnego współczynnik tarcia należy stosować przy wszystkich rodzajach </w:t>
      </w:r>
      <w:proofErr w:type="spellStart"/>
      <w:r w:rsidRPr="008A5D94">
        <w:t>uszorstnienia</w:t>
      </w:r>
      <w:proofErr w:type="spellEnd"/>
      <w:r w:rsidRPr="008A5D94">
        <w:t xml:space="preserve"> nawierzchni betonowych.</w:t>
      </w:r>
    </w:p>
    <w:p w14:paraId="03D34DA1" w14:textId="77777777" w:rsidR="00363999" w:rsidRPr="008A5D94" w:rsidRDefault="00363999" w:rsidP="00DB5D3C">
      <w:pPr>
        <w:tabs>
          <w:tab w:val="left" w:pos="1134"/>
        </w:tabs>
        <w:spacing w:before="80"/>
        <w:jc w:val="both"/>
      </w:pPr>
      <w:r w:rsidRPr="008A5D94">
        <w:t>Tabela 9.</w:t>
      </w:r>
      <w:r w:rsidRPr="008A5D94">
        <w:tab/>
        <w:t>Wymagane wartości miarodajnego współczynnika tarcia</w:t>
      </w:r>
      <w:r w:rsidR="005E0489" w:rsidRPr="008A5D94">
        <w:t xml:space="preserve"> w okresie obowiązywania Gwarancji Jakości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4843"/>
        <w:gridCol w:w="2699"/>
      </w:tblGrid>
      <w:tr w:rsidR="00363999" w:rsidRPr="008A5D94" w14:paraId="03D34DA5" w14:textId="77777777" w:rsidTr="00BD40BF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3D34DA2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Klasa drogi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03D34DA3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Element nawierzchni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3D34DA4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Miarodajny współczynnik tarcia</w:t>
            </w:r>
            <w:r w:rsidR="00986C98" w:rsidRPr="008A5D94">
              <w:rPr>
                <w:sz w:val="18"/>
              </w:rPr>
              <w:t>*</w:t>
            </w:r>
          </w:p>
        </w:tc>
      </w:tr>
      <w:tr w:rsidR="00363999" w:rsidRPr="008A5D94" w14:paraId="03D34DA9" w14:textId="77777777" w:rsidTr="00BD40BF">
        <w:trPr>
          <w:jc w:val="center"/>
        </w:trPr>
        <w:tc>
          <w:tcPr>
            <w:tcW w:w="1260" w:type="dxa"/>
            <w:vMerge w:val="restart"/>
            <w:shd w:val="clear" w:color="auto" w:fill="auto"/>
            <w:vAlign w:val="center"/>
          </w:tcPr>
          <w:p w14:paraId="03D34DA6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A, S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03D34DA7" w14:textId="77777777" w:rsidR="00363999" w:rsidRPr="008A5D94" w:rsidRDefault="00363999" w:rsidP="00BD40B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Pasy ruchu zasadnicze, dodatkowe, awaryjne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3D34DA8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≥ 0,40</w:t>
            </w:r>
          </w:p>
        </w:tc>
      </w:tr>
      <w:tr w:rsidR="00363999" w:rsidRPr="008A5D94" w14:paraId="03D34DAD" w14:textId="77777777" w:rsidTr="00BD40BF">
        <w:trPr>
          <w:jc w:val="center"/>
        </w:trPr>
        <w:tc>
          <w:tcPr>
            <w:tcW w:w="1260" w:type="dxa"/>
            <w:vMerge/>
            <w:shd w:val="clear" w:color="auto" w:fill="auto"/>
            <w:vAlign w:val="center"/>
          </w:tcPr>
          <w:p w14:paraId="03D34DAA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</w:p>
        </w:tc>
        <w:tc>
          <w:tcPr>
            <w:tcW w:w="4843" w:type="dxa"/>
            <w:shd w:val="clear" w:color="auto" w:fill="auto"/>
            <w:vAlign w:val="center"/>
          </w:tcPr>
          <w:p w14:paraId="03D34DAB" w14:textId="77777777" w:rsidR="00363999" w:rsidRPr="008A5D94" w:rsidRDefault="00363999" w:rsidP="00986C98">
            <w:pPr>
              <w:spacing w:before="80" w:after="0"/>
              <w:rPr>
                <w:sz w:val="18"/>
                <w:vertAlign w:val="superscript"/>
              </w:rPr>
            </w:pPr>
            <w:r w:rsidRPr="008A5D94">
              <w:rPr>
                <w:sz w:val="18"/>
              </w:rPr>
              <w:t>Pasy włączania i wyłączania, jezdnie łącznic</w:t>
            </w:r>
            <w:r w:rsidR="00986C98" w:rsidRPr="008A5D94">
              <w:rPr>
                <w:sz w:val="18"/>
              </w:rPr>
              <w:t>**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3D34DAC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≥ 0,42</w:t>
            </w:r>
          </w:p>
        </w:tc>
      </w:tr>
      <w:tr w:rsidR="00363999" w:rsidRPr="008A5D94" w14:paraId="03D34DB1" w14:textId="77777777" w:rsidTr="00BD40BF">
        <w:trPr>
          <w:jc w:val="center"/>
        </w:trPr>
        <w:tc>
          <w:tcPr>
            <w:tcW w:w="1260" w:type="dxa"/>
            <w:shd w:val="clear" w:color="auto" w:fill="auto"/>
            <w:vAlign w:val="center"/>
          </w:tcPr>
          <w:p w14:paraId="03D34DAE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GP, G</w:t>
            </w:r>
          </w:p>
        </w:tc>
        <w:tc>
          <w:tcPr>
            <w:tcW w:w="4843" w:type="dxa"/>
            <w:shd w:val="clear" w:color="auto" w:fill="auto"/>
            <w:vAlign w:val="center"/>
          </w:tcPr>
          <w:p w14:paraId="03D34DAF" w14:textId="77777777" w:rsidR="00363999" w:rsidRPr="008A5D94" w:rsidRDefault="00363999" w:rsidP="00BD40BF">
            <w:pPr>
              <w:spacing w:before="80" w:after="0"/>
              <w:rPr>
                <w:sz w:val="18"/>
              </w:rPr>
            </w:pPr>
            <w:r w:rsidRPr="008A5D94">
              <w:rPr>
                <w:sz w:val="18"/>
              </w:rPr>
              <w:t>Pasy ruchu, pasy dodatkowe, utwardzone pobocza</w:t>
            </w:r>
          </w:p>
        </w:tc>
        <w:tc>
          <w:tcPr>
            <w:tcW w:w="2699" w:type="dxa"/>
            <w:shd w:val="clear" w:color="auto" w:fill="auto"/>
            <w:vAlign w:val="center"/>
          </w:tcPr>
          <w:p w14:paraId="03D34DB0" w14:textId="77777777" w:rsidR="00363999" w:rsidRPr="008A5D94" w:rsidRDefault="00363999" w:rsidP="00BD40BF">
            <w:pPr>
              <w:spacing w:before="80" w:after="0"/>
              <w:jc w:val="center"/>
              <w:rPr>
                <w:sz w:val="18"/>
              </w:rPr>
            </w:pPr>
            <w:r w:rsidRPr="008A5D94">
              <w:rPr>
                <w:sz w:val="18"/>
              </w:rPr>
              <w:t>≥ 0,36</w:t>
            </w:r>
          </w:p>
        </w:tc>
      </w:tr>
    </w:tbl>
    <w:p w14:paraId="03D34DB2" w14:textId="77777777" w:rsidR="00363999" w:rsidRPr="008A5D94" w:rsidRDefault="00986C98" w:rsidP="00363999">
      <w:pPr>
        <w:tabs>
          <w:tab w:val="left" w:pos="426"/>
        </w:tabs>
        <w:spacing w:before="80" w:after="0"/>
        <w:ind w:left="426" w:hanging="426"/>
        <w:jc w:val="both"/>
        <w:rPr>
          <w:sz w:val="16"/>
        </w:rPr>
      </w:pPr>
      <w:r w:rsidRPr="008A5D94">
        <w:rPr>
          <w:sz w:val="18"/>
        </w:rPr>
        <w:t>*</w:t>
      </w:r>
      <w:r w:rsidR="00363999" w:rsidRPr="008A5D94">
        <w:tab/>
      </w:r>
      <w:r w:rsidR="00363999" w:rsidRPr="008A5D94">
        <w:rPr>
          <w:i/>
          <w:sz w:val="16"/>
        </w:rPr>
        <w:t>podane wartości odnoszą się do miarodajnego współczynnika tarcia</w:t>
      </w:r>
      <w:r w:rsidR="00363999" w:rsidRPr="008A5D94">
        <w:rPr>
          <w:rStyle w:val="Odwoanieprzypisudolnego"/>
          <w:i/>
          <w:sz w:val="16"/>
        </w:rPr>
        <w:footnoteReference w:id="2"/>
      </w:r>
      <w:r w:rsidR="00363999" w:rsidRPr="008A5D94">
        <w:rPr>
          <w:i/>
          <w:sz w:val="16"/>
        </w:rPr>
        <w:t xml:space="preserve"> pomierzonego oponą PIARC 165/15R przy prędkości 60 km/h</w:t>
      </w:r>
      <w:r w:rsidR="00363999" w:rsidRPr="008A5D94">
        <w:rPr>
          <w:sz w:val="16"/>
        </w:rPr>
        <w:t>.</w:t>
      </w:r>
    </w:p>
    <w:p w14:paraId="03D34DB3" w14:textId="77777777" w:rsidR="00E233BC" w:rsidRPr="008A5D94" w:rsidRDefault="00986C98" w:rsidP="00E233BC">
      <w:pPr>
        <w:tabs>
          <w:tab w:val="left" w:pos="426"/>
        </w:tabs>
        <w:spacing w:after="0"/>
        <w:jc w:val="both"/>
        <w:rPr>
          <w:sz w:val="16"/>
        </w:rPr>
      </w:pPr>
      <w:r w:rsidRPr="008A5D94">
        <w:rPr>
          <w:sz w:val="18"/>
        </w:rPr>
        <w:t>**</w:t>
      </w:r>
      <w:r w:rsidR="00DC11E3">
        <w:rPr>
          <w:sz w:val="16"/>
        </w:rPr>
        <w:tab/>
      </w:r>
      <w:r w:rsidR="00DC11E3" w:rsidRPr="00DC11E3">
        <w:rPr>
          <w:i/>
          <w:sz w:val="16"/>
        </w:rPr>
        <w:t>d</w:t>
      </w:r>
      <w:r w:rsidR="00E233BC" w:rsidRPr="00DC11E3">
        <w:rPr>
          <w:i/>
          <w:sz w:val="16"/>
        </w:rPr>
        <w:t>opuszcza się pomiar przy 30km/h, wówczas wymagania należy odpowiednio przeliczyć</w:t>
      </w:r>
    </w:p>
    <w:p w14:paraId="03D34DB4" w14:textId="77777777" w:rsidR="00E233BC" w:rsidRPr="008A5D94" w:rsidRDefault="00E233BC" w:rsidP="00363999">
      <w:pPr>
        <w:tabs>
          <w:tab w:val="left" w:pos="426"/>
        </w:tabs>
        <w:spacing w:before="80" w:after="0"/>
        <w:ind w:left="426" w:hanging="426"/>
        <w:jc w:val="both"/>
      </w:pPr>
    </w:p>
    <w:p w14:paraId="03D34DB5" w14:textId="77777777" w:rsidR="00363999" w:rsidRPr="008A5D94" w:rsidRDefault="00363999" w:rsidP="00363999">
      <w:pPr>
        <w:spacing w:before="80" w:after="0"/>
        <w:jc w:val="both"/>
      </w:pPr>
      <w:r w:rsidRPr="008A5D94">
        <w:t>W tabeli 9 podano minimalne dopuszczalne wartości wskaźnika, poniżej których należy zastosować program naprawczy.</w:t>
      </w:r>
    </w:p>
    <w:p w14:paraId="03D34DB6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W przypadku Wady polegającej na nieuzyskaniu w trakcie badań odbiorowych wymaganego współczynnika tarcia nawierzchni poprzez usunięcie Wady rozumie się uzyskanie podczas ponownych pomiarów przeprowadzonych w okresie do 10 miesięcy od daty dopuszczenia odcinka do użytkowania wyników spełniających wymagania obowiązujących przepisów i wymagania Zamawiającego określone w </w:t>
      </w:r>
      <w:proofErr w:type="spellStart"/>
      <w:r w:rsidRPr="008A5D94">
        <w:t>WWiORB</w:t>
      </w:r>
      <w:proofErr w:type="spellEnd"/>
      <w:r w:rsidRPr="008A5D94">
        <w:t xml:space="preserve">. Miarodajny współczynnik tarcia wyznacza się dla kilometrowych odcinków dróg. W przypadkach szczególnych, jak początek i koniec drogi, wartość miarodajną wyznacza się dla odcinków o długości 500 ÷ 1499 </w:t>
      </w:r>
      <w:proofErr w:type="spellStart"/>
      <w:r w:rsidRPr="008A5D94">
        <w:t>m.Pomiar</w:t>
      </w:r>
      <w:proofErr w:type="spellEnd"/>
      <w:r w:rsidRPr="008A5D94">
        <w:t xml:space="preserve"> współczynnika tarcia powinien być określony na mokrej nawierzchni przy całkowitym poślizgu opony testowej. Pomiar wykonuje się w śladzie prawego lub lewego koła nie rzadziej niż co 50 m na nawierzchni zwilżanej wodą w ilości 0,5 l/m</w:t>
      </w:r>
      <w:r w:rsidRPr="008A5D94">
        <w:rPr>
          <w:vertAlign w:val="superscript"/>
        </w:rPr>
        <w:t>2</w:t>
      </w:r>
      <w:r w:rsidRPr="008A5D94">
        <w:t>, przy 100% poślizgu opony testowej rowkowanej (</w:t>
      </w:r>
      <w:proofErr w:type="spellStart"/>
      <w:r w:rsidRPr="008A5D94">
        <w:t>ribbed</w:t>
      </w:r>
      <w:proofErr w:type="spellEnd"/>
      <w:r w:rsidRPr="008A5D94">
        <w:t xml:space="preserve"> </w:t>
      </w:r>
      <w:proofErr w:type="spellStart"/>
      <w:r w:rsidRPr="008A5D94">
        <w:t>tyre</w:t>
      </w:r>
      <w:proofErr w:type="spellEnd"/>
      <w:r w:rsidRPr="008A5D94">
        <w:t xml:space="preserve">) rozmiaru 165 R 15 - zalecanej przez World Road </w:t>
      </w:r>
      <w:proofErr w:type="spellStart"/>
      <w:r w:rsidRPr="008A5D94">
        <w:t>Association</w:t>
      </w:r>
      <w:proofErr w:type="spellEnd"/>
      <w:r w:rsidRPr="008A5D94">
        <w:t xml:space="preserve"> PIARC, lub za pomocą innej wiarygodnej metody równoważnej, jeśli dysponuje się sprawdzoną zależnością korelacyjną umożliwiającą przeliczenie wyników pomiarów. Pomiary powinny być wykonywane w temperaturze otoczenia od 5ºC do 30ºC, na czystej nawierzchni.</w:t>
      </w:r>
    </w:p>
    <w:p w14:paraId="03D34DB7" w14:textId="77777777" w:rsidR="00363999" w:rsidRPr="008A5D94" w:rsidRDefault="00363999" w:rsidP="00363999">
      <w:pPr>
        <w:numPr>
          <w:ilvl w:val="3"/>
          <w:numId w:val="2"/>
        </w:numPr>
        <w:spacing w:before="80" w:after="0"/>
        <w:ind w:left="851" w:hanging="851"/>
        <w:jc w:val="both"/>
      </w:pPr>
      <w:r w:rsidRPr="008A5D94">
        <w:t>Równość podłużna</w:t>
      </w:r>
    </w:p>
    <w:p w14:paraId="03D34DB8" w14:textId="77777777" w:rsidR="00363999" w:rsidRPr="008A5D94" w:rsidRDefault="00363999" w:rsidP="00363999">
      <w:pPr>
        <w:spacing w:before="80" w:after="0"/>
        <w:jc w:val="both"/>
      </w:pPr>
      <w:r w:rsidRPr="008A5D94">
        <w:t>Do oceny równości podłużnej warstwy ścieralnej nawierzchni dróg klasy A, S, GP oraz G należy stosować metodę profilometryczną bazującą na wskaźnikach równości IRI [mm/m]. Profil nierówności warstwy nawierzchni należy rejestrować z krokiem co 10 cm. Wartość IRI standardowo należy wyznaczać z krokiem co 50 m. Pomiary należy wykonywać w śladzie prawego koła.</w:t>
      </w:r>
    </w:p>
    <w:p w14:paraId="03D34DB9" w14:textId="77777777" w:rsidR="00363999" w:rsidRPr="008A5D94" w:rsidRDefault="00363999" w:rsidP="00363999">
      <w:pPr>
        <w:spacing w:before="80" w:after="0"/>
        <w:jc w:val="both"/>
      </w:pPr>
      <w:r w:rsidRPr="008A5D94">
        <w:t xml:space="preserve">Wymagana równość podłużna jest określona przez wartość średnią wyników pomiaru </w:t>
      </w:r>
      <w:proofErr w:type="spellStart"/>
      <w:r w:rsidRPr="008A5D94">
        <w:t>IRI</w:t>
      </w:r>
      <w:r w:rsidRPr="008A5D94">
        <w:rPr>
          <w:vertAlign w:val="subscript"/>
        </w:rPr>
        <w:t>śr</w:t>
      </w:r>
      <w:proofErr w:type="spellEnd"/>
      <w:r w:rsidRPr="008A5D94">
        <w:t xml:space="preserve"> oraz wartość maksymalną pojedynczego pomiaru </w:t>
      </w:r>
      <w:proofErr w:type="spellStart"/>
      <w:r w:rsidRPr="008A5D94">
        <w:t>IRI</w:t>
      </w:r>
      <w:r w:rsidRPr="008A5D94">
        <w:rPr>
          <w:vertAlign w:val="subscript"/>
        </w:rPr>
        <w:t>max</w:t>
      </w:r>
      <w:proofErr w:type="spellEnd"/>
      <w:r w:rsidRPr="008A5D94">
        <w:t>, których nie można przekroczyć na długości ocenianego odcinka nawierzchni nie dłuższego niż 1000 m</w:t>
      </w:r>
      <w:r w:rsidR="005E0489" w:rsidRPr="008A5D94">
        <w:t xml:space="preserve">, przy czym odcinek końcowy o długości mniejszej niż 500 m należy oceniać łącznie z odcinkiem </w:t>
      </w:r>
      <w:proofErr w:type="spellStart"/>
      <w:r w:rsidR="005E0489" w:rsidRPr="008A5D94">
        <w:lastRenderedPageBreak/>
        <w:t>poprzedzajacym</w:t>
      </w:r>
      <w:proofErr w:type="spellEnd"/>
      <w:r w:rsidRPr="008A5D94">
        <w:t xml:space="preserve">. W przypadku odcinka nawierzchni o całkowitej długości mniejszej niż 500 m, dopuszczalną wartość </w:t>
      </w:r>
      <w:proofErr w:type="spellStart"/>
      <w:r w:rsidRPr="008A5D94">
        <w:t>IRI</w:t>
      </w:r>
      <w:r w:rsidRPr="008A5D94">
        <w:rPr>
          <w:vertAlign w:val="subscript"/>
        </w:rPr>
        <w:t>śr</w:t>
      </w:r>
      <w:proofErr w:type="spellEnd"/>
      <w:r w:rsidRPr="008A5D94">
        <w:t xml:space="preserve"> wg tabeli 10 należy zwiększyć o 0,2 mm/m.</w:t>
      </w:r>
    </w:p>
    <w:p w14:paraId="03D34DBA" w14:textId="77777777" w:rsidR="00363999" w:rsidRDefault="00363999" w:rsidP="00363999">
      <w:pPr>
        <w:spacing w:before="80" w:after="0"/>
        <w:jc w:val="both"/>
      </w:pPr>
      <w:r w:rsidRPr="008A5D94">
        <w:t>Dopuszcza się stosowanie równoważnej, wiarygodnej aparatury pomiarowej, jeśli dysponuje się sprawdzoną zależnością korelacyjną umożliwiającą przeliczenie wyników pomiarów na wartości uzyskiwane profilografem laserowym.</w:t>
      </w:r>
    </w:p>
    <w:p w14:paraId="03D34DBB" w14:textId="77777777" w:rsidR="00673143" w:rsidRDefault="00673143" w:rsidP="00363999">
      <w:pPr>
        <w:spacing w:before="80" w:after="0"/>
        <w:jc w:val="both"/>
      </w:pPr>
    </w:p>
    <w:p w14:paraId="03D34DBC" w14:textId="77777777" w:rsidR="00DC11E3" w:rsidRDefault="00DC11E3" w:rsidP="00DB5D3C">
      <w:pPr>
        <w:jc w:val="both"/>
      </w:pPr>
      <w:r w:rsidRPr="008A5D94">
        <w:t>Tabela 10.</w:t>
      </w:r>
      <w:r w:rsidRPr="008A5D94">
        <w:tab/>
        <w:t>Wymagane parametry równości podłużnej w okresie obowiązywania Gwarancji Jakości</w:t>
      </w:r>
    </w:p>
    <w:tbl>
      <w:tblPr>
        <w:tblStyle w:val="Tabela-Siatka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977"/>
        <w:gridCol w:w="2551"/>
      </w:tblGrid>
      <w:tr w:rsidR="00886BF1" w:rsidRPr="00DC11E3" w14:paraId="03D34DC0" w14:textId="77777777" w:rsidTr="00E00D11">
        <w:trPr>
          <w:trHeight w:val="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DBD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Klasa drogi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DBE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Element nawierzchni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4DBF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Zakres wartości równości podłużnej wyrażonej wskaźnikiem równości IRI</w:t>
            </w:r>
            <w:r>
              <w:rPr>
                <w:sz w:val="18"/>
                <w:szCs w:val="18"/>
              </w:rPr>
              <w:t xml:space="preserve"> </w:t>
            </w:r>
            <w:r w:rsidRPr="00DC11E3">
              <w:rPr>
                <w:sz w:val="18"/>
                <w:szCs w:val="18"/>
              </w:rPr>
              <w:t>[mm/m]</w:t>
            </w:r>
          </w:p>
        </w:tc>
      </w:tr>
      <w:tr w:rsidR="00886BF1" w:rsidRPr="00DC11E3" w14:paraId="03D34DC5" w14:textId="77777777" w:rsidTr="00E00D11">
        <w:trPr>
          <w:trHeight w:val="2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DC1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DC2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D34DC3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C11E3">
              <w:rPr>
                <w:sz w:val="18"/>
                <w:szCs w:val="18"/>
              </w:rPr>
              <w:t>IRI</w:t>
            </w:r>
            <w:r w:rsidRPr="00DC11E3">
              <w:rPr>
                <w:sz w:val="18"/>
                <w:szCs w:val="18"/>
                <w:vertAlign w:val="subscript"/>
              </w:rPr>
              <w:t>śr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DC4" w14:textId="77777777" w:rsidR="00886BF1" w:rsidRPr="00DC11E3" w:rsidRDefault="00886BF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DC11E3">
              <w:rPr>
                <w:sz w:val="18"/>
                <w:szCs w:val="18"/>
              </w:rPr>
              <w:t>IRI</w:t>
            </w:r>
            <w:r w:rsidRPr="00DC11E3">
              <w:rPr>
                <w:sz w:val="18"/>
                <w:szCs w:val="18"/>
                <w:vertAlign w:val="subscript"/>
              </w:rPr>
              <w:t>max</w:t>
            </w:r>
            <w:proofErr w:type="spellEnd"/>
          </w:p>
        </w:tc>
      </w:tr>
      <w:tr w:rsidR="00E00D11" w:rsidRPr="00DC11E3" w14:paraId="03D34DCB" w14:textId="77777777" w:rsidTr="00E00D11">
        <w:trPr>
          <w:trHeight w:val="43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DC6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DC7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C9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wymagany w okresie obowiązywania Gwarancji Jakości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CA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wymagany w okresie obowiązywania Gwarancji Jakości</w:t>
            </w:r>
          </w:p>
        </w:tc>
      </w:tr>
      <w:tr w:rsidR="00E00D11" w:rsidRPr="00DC11E3" w14:paraId="03D34DD1" w14:textId="77777777" w:rsidTr="00E00D11">
        <w:trPr>
          <w:trHeight w:val="13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DCC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A, S, GP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DCD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342E">
              <w:rPr>
                <w:sz w:val="18"/>
                <w:szCs w:val="18"/>
              </w:rPr>
              <w:t>Pasy ruchu zasadnicze, awaryjne, dodatkowe, włączenia i wyłączenia, jezdnie łącznic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CF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</w:t>
            </w:r>
            <w:r w:rsidRPr="00DC11E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D0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 2,6</w:t>
            </w:r>
          </w:p>
        </w:tc>
      </w:tr>
      <w:tr w:rsidR="00E00D11" w:rsidRPr="00DC11E3" w14:paraId="03D34DE3" w14:textId="77777777" w:rsidTr="00E00D11">
        <w:trPr>
          <w:trHeight w:hRule="exact" w:val="5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DDE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DDF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Pr="0072662C">
              <w:rPr>
                <w:sz w:val="18"/>
                <w:szCs w:val="18"/>
              </w:rPr>
              <w:t>twardzone</w:t>
            </w:r>
            <w:r>
              <w:rPr>
                <w:sz w:val="18"/>
                <w:szCs w:val="18"/>
              </w:rPr>
              <w:t xml:space="preserve"> </w:t>
            </w:r>
            <w:r w:rsidRPr="0072662C">
              <w:rPr>
                <w:sz w:val="18"/>
                <w:szCs w:val="18"/>
              </w:rPr>
              <w:t>pobocza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E1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1,5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E2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2,6</w:t>
            </w:r>
          </w:p>
        </w:tc>
      </w:tr>
      <w:tr w:rsidR="00E00D11" w:rsidRPr="00DC11E3" w14:paraId="03D34DE9" w14:textId="77777777" w:rsidTr="00E00D11">
        <w:trPr>
          <w:trHeight w:hRule="exact" w:val="5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DE4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34DE5" w14:textId="77777777" w:rsidR="00E00D11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Jezdnie MOP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E7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1,7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E8" w14:textId="77777777" w:rsidR="00E00D11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2,9</w:t>
            </w:r>
          </w:p>
        </w:tc>
      </w:tr>
      <w:tr w:rsidR="00E00D11" w:rsidRPr="00DC11E3" w14:paraId="03D34DEF" w14:textId="77777777" w:rsidTr="00E00D11">
        <w:trPr>
          <w:trHeight w:val="13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DEA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34DEB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A342E">
              <w:rPr>
                <w:sz w:val="18"/>
                <w:szCs w:val="18"/>
              </w:rPr>
              <w:t>Pasy ruchu zas</w:t>
            </w:r>
            <w:r>
              <w:rPr>
                <w:sz w:val="18"/>
                <w:szCs w:val="18"/>
              </w:rPr>
              <w:t xml:space="preserve">adnicze, dodatkowe, włączenia i </w:t>
            </w:r>
            <w:r w:rsidRPr="00DA342E">
              <w:rPr>
                <w:sz w:val="18"/>
                <w:szCs w:val="18"/>
              </w:rPr>
              <w:t>wyłączenia, postojowe</w:t>
            </w:r>
            <w:r>
              <w:rPr>
                <w:sz w:val="18"/>
                <w:szCs w:val="18"/>
              </w:rPr>
              <w:t>,</w:t>
            </w:r>
            <w:r w:rsidRPr="00DA342E">
              <w:rPr>
                <w:sz w:val="18"/>
                <w:szCs w:val="18"/>
              </w:rPr>
              <w:t xml:space="preserve"> jezdnie łącznic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ED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EE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 3,6</w:t>
            </w:r>
          </w:p>
        </w:tc>
      </w:tr>
      <w:tr w:rsidR="00E00D11" w:rsidRPr="00DC11E3" w14:paraId="03D34E01" w14:textId="77777777" w:rsidTr="00E00D11">
        <w:trPr>
          <w:trHeight w:hRule="exact" w:val="45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DFC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4DFD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2662C">
              <w:rPr>
                <w:sz w:val="18"/>
                <w:szCs w:val="18"/>
              </w:rPr>
              <w:t>Utwardzone</w:t>
            </w:r>
            <w:r>
              <w:rPr>
                <w:sz w:val="18"/>
                <w:szCs w:val="18"/>
              </w:rPr>
              <w:t xml:space="preserve"> </w:t>
            </w:r>
            <w:r w:rsidRPr="0072662C">
              <w:rPr>
                <w:sz w:val="18"/>
                <w:szCs w:val="18"/>
              </w:rPr>
              <w:t>pobocza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DFF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C11E3">
              <w:rPr>
                <w:sz w:val="18"/>
                <w:szCs w:val="18"/>
              </w:rPr>
              <w:t>≤</w:t>
            </w:r>
            <w:r>
              <w:rPr>
                <w:sz w:val="18"/>
                <w:szCs w:val="18"/>
              </w:rPr>
              <w:t xml:space="preserve"> 1,9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4E00" w14:textId="77777777" w:rsidR="00E00D11" w:rsidRPr="00DC11E3" w:rsidRDefault="00E00D11" w:rsidP="002365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≤ 3,6</w:t>
            </w:r>
          </w:p>
        </w:tc>
      </w:tr>
    </w:tbl>
    <w:p w14:paraId="03D34E02" w14:textId="77777777" w:rsidR="001A4168" w:rsidRPr="008A5D94" w:rsidRDefault="000F071A" w:rsidP="00B60A37">
      <w:pPr>
        <w:spacing w:before="80" w:after="0"/>
        <w:jc w:val="both"/>
      </w:pPr>
      <w:r w:rsidRPr="008A5D94">
        <w:t>W Tabel</w:t>
      </w:r>
      <w:r w:rsidR="005E4CC7">
        <w:t>i</w:t>
      </w:r>
      <w:r w:rsidRPr="008A5D94">
        <w:t xml:space="preserve"> 10 podano maksymalne dopuszczalne w</w:t>
      </w:r>
      <w:r w:rsidR="005E4CC7">
        <w:t>artości wskaźników wymaganych w </w:t>
      </w:r>
      <w:r w:rsidRPr="008A5D94">
        <w:t>okresie obowiązywania Gwarancji Jakości, powyżej których należy zastosować program naprawczy.</w:t>
      </w:r>
      <w:bookmarkStart w:id="28" w:name="_Toc408484182"/>
      <w:bookmarkStart w:id="29" w:name="_Toc455047575"/>
      <w:r w:rsidR="001A4168" w:rsidRPr="008A5D94">
        <w:br w:type="page"/>
      </w:r>
    </w:p>
    <w:p w14:paraId="03D34E52" w14:textId="77777777" w:rsidR="00363999" w:rsidRPr="008A5D94" w:rsidRDefault="00363999" w:rsidP="00363999">
      <w:pPr>
        <w:pStyle w:val="Nagwek2"/>
        <w:numPr>
          <w:ilvl w:val="0"/>
          <w:numId w:val="2"/>
        </w:numPr>
        <w:spacing w:before="80" w:after="0"/>
        <w:ind w:left="567" w:hanging="567"/>
      </w:pPr>
      <w:bookmarkStart w:id="30" w:name="_Toc485902166"/>
      <w:bookmarkStart w:id="31" w:name="_Toc488734255"/>
      <w:bookmarkStart w:id="32" w:name="_Toc488735826"/>
      <w:bookmarkStart w:id="33" w:name="_Toc488735889"/>
      <w:bookmarkStart w:id="34" w:name="_Toc488736097"/>
      <w:bookmarkStart w:id="35" w:name="_Toc488736132"/>
      <w:bookmarkStart w:id="36" w:name="_Toc485902167"/>
      <w:bookmarkStart w:id="37" w:name="_Toc488734256"/>
      <w:bookmarkStart w:id="38" w:name="_Toc488735827"/>
      <w:bookmarkStart w:id="39" w:name="_Toc488735890"/>
      <w:bookmarkStart w:id="40" w:name="_Toc488736133"/>
      <w:bookmarkStart w:id="41" w:name="_Toc485902168"/>
      <w:bookmarkStart w:id="42" w:name="_Toc488734257"/>
      <w:bookmarkStart w:id="43" w:name="_Toc488735828"/>
      <w:bookmarkStart w:id="44" w:name="_Toc488735891"/>
      <w:bookmarkStart w:id="45" w:name="_Toc488736098"/>
      <w:bookmarkStart w:id="46" w:name="_Toc488736134"/>
      <w:bookmarkStart w:id="47" w:name="_Toc485902169"/>
      <w:bookmarkStart w:id="48" w:name="_Toc488734258"/>
      <w:bookmarkStart w:id="49" w:name="_Toc488735829"/>
      <w:bookmarkStart w:id="50" w:name="_Toc488735892"/>
      <w:bookmarkStart w:id="51" w:name="_Toc488736099"/>
      <w:bookmarkStart w:id="52" w:name="_Toc488736135"/>
      <w:bookmarkStart w:id="53" w:name="_Toc485902170"/>
      <w:bookmarkStart w:id="54" w:name="_Toc488734259"/>
      <w:bookmarkStart w:id="55" w:name="_Toc488735830"/>
      <w:bookmarkStart w:id="56" w:name="_Toc488735893"/>
      <w:bookmarkStart w:id="57" w:name="_Toc488736100"/>
      <w:bookmarkStart w:id="58" w:name="_Toc488736136"/>
      <w:bookmarkStart w:id="59" w:name="_Toc485902171"/>
      <w:bookmarkStart w:id="60" w:name="_Toc488734260"/>
      <w:bookmarkStart w:id="61" w:name="_Toc488735831"/>
      <w:bookmarkStart w:id="62" w:name="_Toc488735894"/>
      <w:bookmarkStart w:id="63" w:name="_Toc488736101"/>
      <w:bookmarkStart w:id="64" w:name="_Toc488736137"/>
      <w:bookmarkStart w:id="65" w:name="_Toc485902172"/>
      <w:bookmarkStart w:id="66" w:name="_Toc488734261"/>
      <w:bookmarkStart w:id="67" w:name="_Toc488735832"/>
      <w:bookmarkStart w:id="68" w:name="_Toc488735895"/>
      <w:bookmarkStart w:id="69" w:name="_Toc488736102"/>
      <w:bookmarkStart w:id="70" w:name="_Toc488736138"/>
      <w:bookmarkStart w:id="71" w:name="_Toc485902173"/>
      <w:bookmarkStart w:id="72" w:name="_Toc488734262"/>
      <w:bookmarkStart w:id="73" w:name="_Toc488735833"/>
      <w:bookmarkStart w:id="74" w:name="_Toc488735896"/>
      <w:bookmarkStart w:id="75" w:name="_Toc488736103"/>
      <w:bookmarkStart w:id="76" w:name="_Toc488736139"/>
      <w:bookmarkStart w:id="77" w:name="_Toc485902174"/>
      <w:bookmarkStart w:id="78" w:name="_Toc488734263"/>
      <w:bookmarkStart w:id="79" w:name="_Toc488735834"/>
      <w:bookmarkStart w:id="80" w:name="_Toc488735897"/>
      <w:bookmarkStart w:id="81" w:name="_Toc488736104"/>
      <w:bookmarkStart w:id="82" w:name="_Toc488736140"/>
      <w:bookmarkStart w:id="83" w:name="_Toc485902175"/>
      <w:bookmarkStart w:id="84" w:name="_Toc488734264"/>
      <w:bookmarkStart w:id="85" w:name="_Toc488735835"/>
      <w:bookmarkStart w:id="86" w:name="_Toc488735898"/>
      <w:bookmarkStart w:id="87" w:name="_Toc488736105"/>
      <w:bookmarkStart w:id="88" w:name="_Toc488736141"/>
      <w:bookmarkStart w:id="89" w:name="_Toc485902176"/>
      <w:bookmarkStart w:id="90" w:name="_Toc488734265"/>
      <w:bookmarkStart w:id="91" w:name="_Toc488735836"/>
      <w:bookmarkStart w:id="92" w:name="_Toc488735899"/>
      <w:bookmarkStart w:id="93" w:name="_Toc488736106"/>
      <w:bookmarkStart w:id="94" w:name="_Toc488736142"/>
      <w:bookmarkStart w:id="95" w:name="_Toc485902177"/>
      <w:bookmarkStart w:id="96" w:name="_Toc488734266"/>
      <w:bookmarkStart w:id="97" w:name="_Toc488735837"/>
      <w:bookmarkStart w:id="98" w:name="_Toc488735900"/>
      <w:bookmarkStart w:id="99" w:name="_Toc488736107"/>
      <w:bookmarkStart w:id="100" w:name="_Toc488736143"/>
      <w:bookmarkStart w:id="101" w:name="_Toc485902178"/>
      <w:bookmarkStart w:id="102" w:name="_Toc488734267"/>
      <w:bookmarkStart w:id="103" w:name="_Toc488735838"/>
      <w:bookmarkStart w:id="104" w:name="_Toc488735901"/>
      <w:bookmarkStart w:id="105" w:name="_Toc488736108"/>
      <w:bookmarkStart w:id="106" w:name="_Toc488736144"/>
      <w:bookmarkStart w:id="107" w:name="_Toc485902179"/>
      <w:bookmarkStart w:id="108" w:name="_Toc488734268"/>
      <w:bookmarkStart w:id="109" w:name="_Toc488735839"/>
      <w:bookmarkStart w:id="110" w:name="_Toc488735902"/>
      <w:bookmarkStart w:id="111" w:name="_Toc488736109"/>
      <w:bookmarkStart w:id="112" w:name="_Toc488736145"/>
      <w:bookmarkStart w:id="113" w:name="_Toc408484183"/>
      <w:bookmarkStart w:id="114" w:name="_Toc455047576"/>
      <w:bookmarkStart w:id="115" w:name="_Toc488736146"/>
      <w:bookmarkStart w:id="116" w:name="_Toc19629290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8A5D94">
        <w:rPr>
          <w:szCs w:val="20"/>
        </w:rPr>
        <w:lastRenderedPageBreak/>
        <w:t>OZNAKOWANIE DRÓG</w:t>
      </w:r>
      <w:bookmarkEnd w:id="113"/>
      <w:bookmarkEnd w:id="114"/>
      <w:r w:rsidRPr="008A5D94">
        <w:rPr>
          <w:szCs w:val="20"/>
        </w:rPr>
        <w:t xml:space="preserve"> ORAZ URZĄDZENIA BRD</w:t>
      </w:r>
      <w:bookmarkStart w:id="117" w:name="_Toc488734270"/>
      <w:bookmarkStart w:id="118" w:name="_Toc488735841"/>
      <w:bookmarkStart w:id="119" w:name="_Toc488735904"/>
      <w:bookmarkStart w:id="120" w:name="_Toc488736111"/>
      <w:bookmarkStart w:id="121" w:name="_Toc488736147"/>
      <w:bookmarkStart w:id="122" w:name="_Toc488736112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</w:p>
    <w:p w14:paraId="03D34E53" w14:textId="7FA7A59F" w:rsidR="00363999" w:rsidRPr="008A5D94" w:rsidRDefault="00363999" w:rsidP="00363999">
      <w:pPr>
        <w:spacing w:before="80" w:after="0"/>
        <w:jc w:val="both"/>
      </w:pPr>
      <w:r w:rsidRPr="008A5D94">
        <w:t xml:space="preserve">Kontrola elementów oznakowania poziomego i pionowego </w:t>
      </w:r>
      <w:r w:rsidR="00524487" w:rsidRPr="008A5D94">
        <w:t xml:space="preserve">oraz i urządzeń bezpieczeństwa ruchu drogowego </w:t>
      </w:r>
      <w:r w:rsidRPr="008A5D94">
        <w:t>odbywać się będzie w</w:t>
      </w:r>
      <w:r w:rsidR="00B951AA">
        <w:t xml:space="preserve"> </w:t>
      </w:r>
      <w:r w:rsidRPr="008A5D94">
        <w:t>oparciu o</w:t>
      </w:r>
      <w:r w:rsidR="00B951AA">
        <w:t xml:space="preserve"> </w:t>
      </w:r>
      <w:r w:rsidRPr="008A5D94">
        <w:t>przepisy rozporządzenia Ministra Infrastruktury z dnia 3 lipca 2003 r. w sprawie szczegółowych warunków technicznych</w:t>
      </w:r>
      <w:r w:rsidR="00B951AA">
        <w:br/>
      </w:r>
      <w:r w:rsidRPr="008A5D94">
        <w:t xml:space="preserve">dla znaków i sygnałów drogowych oraz urządzeń bezpieczeństwa ruchu drogowego i warunków ich umieszczania na drogach (Dz. U. </w:t>
      </w:r>
      <w:r w:rsidR="006320AB">
        <w:t>z</w:t>
      </w:r>
      <w:r w:rsidRPr="008A5D94">
        <w:t xml:space="preserve"> 20</w:t>
      </w:r>
      <w:r w:rsidR="006320AB">
        <w:t>19</w:t>
      </w:r>
      <w:r w:rsidRPr="008A5D94">
        <w:t>, poz. 2</w:t>
      </w:r>
      <w:r w:rsidR="006320AB">
        <w:t>31</w:t>
      </w:r>
      <w:r w:rsidRPr="008A5D94">
        <w:t>1, z późniejszymi zmianami).</w:t>
      </w:r>
    </w:p>
    <w:p w14:paraId="03D34E54" w14:textId="77777777" w:rsidR="00363999" w:rsidRPr="008A5D94" w:rsidRDefault="00363999" w:rsidP="00363999">
      <w:pPr>
        <w:spacing w:before="80" w:after="0"/>
        <w:jc w:val="both"/>
      </w:pPr>
      <w:r w:rsidRPr="008A5D94">
        <w:t>Wszystkie elementy oznakowania poziomego i pionowego powinny zachować trwałość i utrzymanie wymaganych parametrów (takich, jak widoczność, odblaskowość) zgodnie z dokumentem odniesienia wymienionym w powyższym punkcie w całym okresie przewidzianym gwarancją.</w:t>
      </w:r>
    </w:p>
    <w:p w14:paraId="03D34E55" w14:textId="77777777" w:rsidR="00363999" w:rsidRPr="008A5D94" w:rsidRDefault="00363999" w:rsidP="00363999">
      <w:pPr>
        <w:spacing w:before="80" w:after="0"/>
        <w:jc w:val="both"/>
      </w:pPr>
    </w:p>
    <w:p w14:paraId="03D34E56" w14:textId="77777777" w:rsidR="00363999" w:rsidRPr="008A5D94" w:rsidRDefault="00363999" w:rsidP="00363999">
      <w:pPr>
        <w:pStyle w:val="Nagwek2"/>
        <w:numPr>
          <w:ilvl w:val="0"/>
          <w:numId w:val="2"/>
        </w:numPr>
        <w:spacing w:before="80" w:after="0"/>
        <w:ind w:left="567" w:hanging="567"/>
        <w:rPr>
          <w:szCs w:val="20"/>
        </w:rPr>
      </w:pPr>
      <w:bookmarkStart w:id="123" w:name="_Toc408484184"/>
      <w:bookmarkStart w:id="124" w:name="_Toc455047577"/>
      <w:bookmarkStart w:id="125" w:name="_Toc196292910"/>
      <w:r w:rsidRPr="008A5D94">
        <w:rPr>
          <w:szCs w:val="20"/>
        </w:rPr>
        <w:t>ZIELEŃ</w:t>
      </w:r>
      <w:bookmarkEnd w:id="123"/>
      <w:bookmarkEnd w:id="124"/>
      <w:bookmarkEnd w:id="125"/>
    </w:p>
    <w:p w14:paraId="03D34E57" w14:textId="3164795E" w:rsidR="007551C1" w:rsidRPr="00560FA7" w:rsidRDefault="007551C1" w:rsidP="007551C1">
      <w:pPr>
        <w:numPr>
          <w:ilvl w:val="1"/>
          <w:numId w:val="2"/>
        </w:numPr>
        <w:spacing w:before="80" w:after="0"/>
        <w:ind w:left="567" w:hanging="567"/>
        <w:jc w:val="both"/>
      </w:pPr>
      <w:r>
        <w:t xml:space="preserve">Okres gwarancyjny dla traw </w:t>
      </w:r>
      <w:r w:rsidRPr="007D7176">
        <w:t>trwa</w:t>
      </w:r>
      <w:r>
        <w:t xml:space="preserve"> do wydania Świadectwa Wykonania. </w:t>
      </w:r>
      <w:r w:rsidRPr="002702CC">
        <w:t xml:space="preserve">Wykonawca </w:t>
      </w:r>
      <w:r>
        <w:t>w </w:t>
      </w:r>
      <w:r w:rsidRPr="002702CC">
        <w:t>okre</w:t>
      </w:r>
      <w:r w:rsidRPr="00E66305">
        <w:t xml:space="preserve">sie gwarancyjnym jest zobowiązany do prowadzenia zabiegów konserwacyjnych traw zgodnie z wymogami określonymi w „Warunkach Wykonania i Odbioru Robot Budowlanych”. W szczególności Wykonawca zapewni właściwe warunki wzrostu oraz będzie prowadził wymagane zabiegi pielęgnacyjne, utrzymaniowe w tym: podlewanie, nawożenie, odchwaszczanie (nie można dopuścić do wysypu nasion chwastów), usuwanie samosiewów, koszenie, usuwanie skoszonej trawy. </w:t>
      </w:r>
      <w:r w:rsidRPr="00560FA7">
        <w:t>Dodatkowo w przypadku pojawienia się objawów chorób oraz szkodników będzie prowadził niezbędne zabiegi ochronne z użyciem środków</w:t>
      </w:r>
      <w:r w:rsidR="005E0823">
        <w:t xml:space="preserve"> biologicznych</w:t>
      </w:r>
      <w:r w:rsidR="006320AB">
        <w:br/>
      </w:r>
      <w:r w:rsidR="005E0823">
        <w:t>lub w </w:t>
      </w:r>
      <w:r w:rsidRPr="00560FA7">
        <w:t>uzasadnionych przypadkach środków chemicznych.</w:t>
      </w:r>
    </w:p>
    <w:p w14:paraId="03D34E58" w14:textId="77777777" w:rsidR="007551C1" w:rsidRPr="002702CC" w:rsidRDefault="007551C1" w:rsidP="007551C1">
      <w:pPr>
        <w:spacing w:before="80" w:after="0"/>
        <w:ind w:left="567"/>
        <w:jc w:val="both"/>
      </w:pPr>
      <w:r w:rsidRPr="002702CC">
        <w:t>Zieleń w pasie drogowym należy pielęgnować w taki sposób, aby nie powodować ograniczenia przepływu wody, obsypywania się skarp.</w:t>
      </w:r>
    </w:p>
    <w:p w14:paraId="03D34E59" w14:textId="0B9D8F4D" w:rsidR="007551C1" w:rsidRDefault="007551C1" w:rsidP="007551C1">
      <w:pPr>
        <w:spacing w:before="80" w:after="0"/>
        <w:ind w:left="567"/>
        <w:jc w:val="both"/>
      </w:pPr>
      <w:r w:rsidRPr="00524487">
        <w:t>Jej wysokość nie może</w:t>
      </w:r>
      <w:r w:rsidRPr="00524487" w:rsidDel="00D54524">
        <w:t xml:space="preserve"> </w:t>
      </w:r>
      <w:r w:rsidRPr="00524487">
        <w:t>ograniczać widoczności urządzeń umieszczonych w pasie drogowym ani rozrastać się w</w:t>
      </w:r>
      <w:r w:rsidR="006320AB">
        <w:t xml:space="preserve"> </w:t>
      </w:r>
      <w:r w:rsidRPr="00524487">
        <w:t xml:space="preserve">skrajnię drogi. </w:t>
      </w:r>
    </w:p>
    <w:p w14:paraId="03D34E5A" w14:textId="77777777" w:rsidR="007551C1" w:rsidRPr="00524487" w:rsidRDefault="007551C1" w:rsidP="007551C1">
      <w:pPr>
        <w:spacing w:before="80" w:after="0"/>
        <w:ind w:left="567"/>
        <w:jc w:val="both"/>
      </w:pPr>
      <w:r>
        <w:t>Wykonawca zobowiązany jest do koszenia traw nie rzadziej niż 2 razy w sezonie wegetacyjnym. Jednocze</w:t>
      </w:r>
      <w:r w:rsidR="005E0823">
        <w:t>ś</w:t>
      </w:r>
      <w:r>
        <w:t>nie wysokość traw nie może wynosić więcej niż 20</w:t>
      </w:r>
      <w:r w:rsidR="005E0823">
        <w:t xml:space="preserve"> </w:t>
      </w:r>
      <w:r>
        <w:t>cm.</w:t>
      </w:r>
    </w:p>
    <w:p w14:paraId="03D34E5B" w14:textId="77777777" w:rsidR="007551C1" w:rsidRPr="00560FA7" w:rsidRDefault="007551C1" w:rsidP="007551C1">
      <w:pPr>
        <w:spacing w:before="80" w:after="0"/>
        <w:ind w:left="567"/>
        <w:jc w:val="both"/>
      </w:pPr>
      <w:r w:rsidRPr="00524487">
        <w:t xml:space="preserve">Na </w:t>
      </w:r>
      <w:r w:rsidRPr="00524487">
        <w:rPr>
          <w:bCs/>
        </w:rPr>
        <w:t>górnych przejściach dla zwierząt</w:t>
      </w:r>
      <w:r w:rsidRPr="00524487">
        <w:t xml:space="preserve"> w celu utrzymania naturalnego charakteru zieleni nie należy wykonywać koszenia traw</w:t>
      </w:r>
      <w:r w:rsidRPr="00524487">
        <w:rPr>
          <w:bCs/>
        </w:rPr>
        <w:t>.</w:t>
      </w:r>
      <w:r w:rsidRPr="00560FA7">
        <w:t xml:space="preserve"> </w:t>
      </w:r>
    </w:p>
    <w:p w14:paraId="03D34E5C" w14:textId="77777777" w:rsidR="007551C1" w:rsidRDefault="007551C1" w:rsidP="007551C1">
      <w:pPr>
        <w:spacing w:before="80" w:after="0"/>
        <w:ind w:left="567"/>
        <w:jc w:val="both"/>
      </w:pPr>
      <w:r w:rsidRPr="00560FA7">
        <w:t>Zasady te obowiązują prze</w:t>
      </w:r>
      <w:r>
        <w:t>z cały okres trwania gwarancji.</w:t>
      </w:r>
    </w:p>
    <w:p w14:paraId="03D34E5D" w14:textId="77777777" w:rsidR="007551C1" w:rsidRDefault="007551C1" w:rsidP="007551C1">
      <w:pPr>
        <w:numPr>
          <w:ilvl w:val="1"/>
          <w:numId w:val="2"/>
        </w:numPr>
        <w:spacing w:before="80" w:after="0"/>
        <w:ind w:left="567" w:hanging="567"/>
        <w:jc w:val="both"/>
      </w:pPr>
      <w:r w:rsidRPr="00560FA7">
        <w:t>Kontrola jakości humusowania i obsiania skarp, rowów i terenów płaskich</w:t>
      </w:r>
    </w:p>
    <w:p w14:paraId="03D34E5E" w14:textId="2FC76E6B" w:rsidR="007551C1" w:rsidRPr="00524487" w:rsidRDefault="007551C1" w:rsidP="007551C1">
      <w:pPr>
        <w:spacing w:before="80" w:after="0"/>
        <w:ind w:left="567"/>
        <w:jc w:val="both"/>
      </w:pPr>
      <w:r w:rsidRPr="00560FA7">
        <w:t>W okresie gwarancji łączna powierzchnia nieporośniętych miejsc nie powinna być większa niż 2% wszystkich obsianych powierzchni, a maksymalny</w:t>
      </w:r>
      <w:r>
        <w:t xml:space="preserve"> </w:t>
      </w:r>
      <w:r w:rsidRPr="00560FA7">
        <w:t>wymiar pojedynczych niezadarnionych powierzchni nie powinien przekraczać 0,5 m</w:t>
      </w:r>
      <w:r w:rsidRPr="00560FA7">
        <w:rPr>
          <w:vertAlign w:val="superscript"/>
        </w:rPr>
        <w:t>2</w:t>
      </w:r>
      <w:r w:rsidRPr="00560FA7">
        <w:t>.</w:t>
      </w:r>
      <w:r w:rsidR="006320AB">
        <w:br/>
      </w:r>
      <w:r w:rsidRPr="00560FA7">
        <w:t>Nie dopuszcza się występowania jakichkolwiek wyżłobień erozyjnych ani lokalnych zsuwów i obrywów.</w:t>
      </w:r>
    </w:p>
    <w:p w14:paraId="03D34E5F" w14:textId="77777777" w:rsidR="007551C1" w:rsidRPr="00560FA7" w:rsidRDefault="007551C1" w:rsidP="007551C1">
      <w:pPr>
        <w:numPr>
          <w:ilvl w:val="1"/>
          <w:numId w:val="2"/>
        </w:numPr>
        <w:spacing w:before="80" w:after="0"/>
        <w:ind w:left="567" w:hanging="567"/>
        <w:jc w:val="both"/>
      </w:pPr>
      <w:r>
        <w:t xml:space="preserve">Okres gwarancyjny dla pozostałych elementów zieleni przydrożnej zgodnie z Aktem Umowy. </w:t>
      </w:r>
      <w:r w:rsidRPr="00524487">
        <w:t xml:space="preserve">Wykonawca w okresie gwarancji jest zobowiązany do </w:t>
      </w:r>
      <w:r w:rsidRPr="00560FA7">
        <w:t xml:space="preserve">prowadzenia zabiegów konserwacyjnych zgodnie z wymogami określonymi w „Warunkach Wykonania </w:t>
      </w:r>
      <w:r>
        <w:t>i </w:t>
      </w:r>
      <w:r w:rsidRPr="00560FA7">
        <w:t xml:space="preserve">Odbioru Robot Budowlanych” w zakresie </w:t>
      </w:r>
      <w:r>
        <w:t>pozostałych</w:t>
      </w:r>
      <w:r w:rsidRPr="00560FA7">
        <w:t xml:space="preserve"> elementów zieleni przydrożnej wykonanej w ramach zrealizowanego zadania.</w:t>
      </w:r>
    </w:p>
    <w:p w14:paraId="03D34E60" w14:textId="10200E3E" w:rsidR="007551C1" w:rsidRPr="00560FA7" w:rsidRDefault="007551C1" w:rsidP="007551C1">
      <w:pPr>
        <w:numPr>
          <w:ilvl w:val="1"/>
          <w:numId w:val="2"/>
        </w:numPr>
        <w:spacing w:before="80" w:after="0"/>
        <w:ind w:left="567" w:hanging="567"/>
        <w:jc w:val="both"/>
      </w:pPr>
      <w:r w:rsidRPr="00560FA7">
        <w:t xml:space="preserve">Wykonawca w </w:t>
      </w:r>
      <w:r>
        <w:t>okresie</w:t>
      </w:r>
      <w:r w:rsidRPr="00560FA7">
        <w:t xml:space="preserve"> </w:t>
      </w:r>
      <w:r>
        <w:t>wskazanym w pkt 4.2 w zakresie pozostałych elementów zieleni przydrożnej zapewni</w:t>
      </w:r>
      <w:r w:rsidRPr="00560FA7">
        <w:t xml:space="preserve"> właściwe warunki wzrostu oraz będzie prowadził wymagane zabiegi pielęgnacyjne, utrzymaniowe w tym: </w:t>
      </w:r>
      <w:r>
        <w:t xml:space="preserve">podlewanie, </w:t>
      </w:r>
      <w:r w:rsidRPr="00560FA7">
        <w:t xml:space="preserve">palikowanie, </w:t>
      </w:r>
      <w:r w:rsidRPr="00560FA7">
        <w:lastRenderedPageBreak/>
        <w:t xml:space="preserve">nawożenie, cięcia pielęgnacyjne, </w:t>
      </w:r>
      <w:r w:rsidRPr="002A4DF4">
        <w:t>koszenie.</w:t>
      </w:r>
      <w:r w:rsidRPr="00560FA7">
        <w:t xml:space="preserve"> Dodatkowo w przypadku pojawienia</w:t>
      </w:r>
      <w:r w:rsidR="006320AB">
        <w:br/>
      </w:r>
      <w:r w:rsidRPr="00560FA7">
        <w:t>się objawów chorób oraz szkodników owadzich będzie prowadził niezbędne zabiegi ochronne z użyciem środków biologicznych lub w uzasadnionych przypadkach środków chemicznych.</w:t>
      </w:r>
    </w:p>
    <w:p w14:paraId="03D34E61" w14:textId="79846996" w:rsidR="007551C1" w:rsidRPr="002702CC" w:rsidRDefault="007551C1" w:rsidP="007551C1">
      <w:pPr>
        <w:spacing w:before="80" w:after="0"/>
        <w:ind w:left="567"/>
        <w:jc w:val="both"/>
      </w:pPr>
      <w:r w:rsidRPr="002702CC">
        <w:t>Zieleń w pasie drogowym należy pielęgnować w taki sposób, aby nie powodować ograniczenia przepływu wody, obsypywania się skarp i</w:t>
      </w:r>
      <w:r w:rsidR="006320AB">
        <w:t xml:space="preserve"> </w:t>
      </w:r>
      <w:r w:rsidRPr="002702CC">
        <w:t>rozsiewania się chwastów.</w:t>
      </w:r>
    </w:p>
    <w:p w14:paraId="03D34E62" w14:textId="77777777" w:rsidR="007551C1" w:rsidRPr="00524487" w:rsidRDefault="007551C1" w:rsidP="007551C1">
      <w:pPr>
        <w:spacing w:before="80" w:after="0"/>
        <w:ind w:left="567"/>
        <w:jc w:val="both"/>
      </w:pPr>
      <w:r w:rsidRPr="00524487">
        <w:t>Jej wysokość nie może</w:t>
      </w:r>
      <w:r w:rsidRPr="00524487" w:rsidDel="00D54524">
        <w:t xml:space="preserve"> </w:t>
      </w:r>
      <w:r w:rsidRPr="00524487">
        <w:t xml:space="preserve">ograniczać widoczności urządzeń umieszczonych w pasie drogowym ani rozrastać się w skrajnię drogi. </w:t>
      </w:r>
    </w:p>
    <w:p w14:paraId="03D34E63" w14:textId="77777777" w:rsidR="007551C1" w:rsidRPr="00560FA7" w:rsidRDefault="007551C1" w:rsidP="007551C1">
      <w:pPr>
        <w:spacing w:before="80" w:after="0"/>
        <w:ind w:left="567"/>
        <w:jc w:val="both"/>
      </w:pPr>
      <w:r w:rsidRPr="00524487">
        <w:t xml:space="preserve">Na </w:t>
      </w:r>
      <w:r w:rsidRPr="00524487">
        <w:rPr>
          <w:bCs/>
        </w:rPr>
        <w:t>górnych przejściach dla zwierząt</w:t>
      </w:r>
      <w:r w:rsidRPr="00524487">
        <w:t xml:space="preserve"> w celu utrzymania naturalnego charakteru zieleni nie należy wykonywać cięć estetycznych</w:t>
      </w:r>
      <w:r w:rsidRPr="00524487">
        <w:rPr>
          <w:bCs/>
        </w:rPr>
        <w:t>.</w:t>
      </w:r>
    </w:p>
    <w:p w14:paraId="03D34E64" w14:textId="77777777" w:rsidR="007551C1" w:rsidRPr="00560FA7" w:rsidRDefault="007551C1" w:rsidP="007551C1">
      <w:pPr>
        <w:spacing w:before="80" w:after="0"/>
        <w:ind w:left="567"/>
        <w:jc w:val="both"/>
      </w:pPr>
      <w:r w:rsidRPr="00560FA7">
        <w:t>Zasady te obowiązują przez cały okres trwania gwarancji.</w:t>
      </w:r>
    </w:p>
    <w:p w14:paraId="03D34E65" w14:textId="77777777" w:rsidR="007551C1" w:rsidRDefault="007551C1" w:rsidP="007551C1">
      <w:pPr>
        <w:numPr>
          <w:ilvl w:val="1"/>
          <w:numId w:val="2"/>
        </w:numPr>
        <w:spacing w:before="80" w:after="0"/>
        <w:ind w:left="567" w:hanging="567"/>
        <w:jc w:val="both"/>
      </w:pPr>
      <w:r w:rsidRPr="00560FA7">
        <w:t>Kontrola jakości nasadzonych drzew, krzewów i pnączy</w:t>
      </w:r>
    </w:p>
    <w:p w14:paraId="03D34E66" w14:textId="77777777" w:rsidR="007551C1" w:rsidRPr="00560FA7" w:rsidRDefault="007551C1" w:rsidP="007551C1">
      <w:pPr>
        <w:spacing w:before="80" w:after="0"/>
        <w:ind w:left="567"/>
        <w:jc w:val="both"/>
      </w:pPr>
      <w:r w:rsidRPr="00560FA7">
        <w:t xml:space="preserve">W okresie gwarancji udatność </w:t>
      </w:r>
      <w:proofErr w:type="spellStart"/>
      <w:r w:rsidRPr="00560FA7">
        <w:t>nasadzeń</w:t>
      </w:r>
      <w:proofErr w:type="spellEnd"/>
      <w:r w:rsidRPr="00560FA7">
        <w:t xml:space="preserve"> nie będzie niższa niż:</w:t>
      </w:r>
    </w:p>
    <w:p w14:paraId="03D34E67" w14:textId="77777777" w:rsidR="007551C1" w:rsidRPr="00560FA7" w:rsidRDefault="007551C1" w:rsidP="007551C1">
      <w:pPr>
        <w:numPr>
          <w:ilvl w:val="0"/>
          <w:numId w:val="18"/>
        </w:numPr>
        <w:spacing w:after="0"/>
        <w:ind w:left="567" w:firstLine="0"/>
        <w:jc w:val="both"/>
      </w:pPr>
      <w:r w:rsidRPr="00560FA7">
        <w:t>95% dla krzewów;</w:t>
      </w:r>
    </w:p>
    <w:p w14:paraId="03D34E68" w14:textId="77777777" w:rsidR="007551C1" w:rsidRPr="00560FA7" w:rsidRDefault="007551C1" w:rsidP="007551C1">
      <w:pPr>
        <w:numPr>
          <w:ilvl w:val="0"/>
          <w:numId w:val="18"/>
        </w:numPr>
        <w:spacing w:after="0"/>
        <w:ind w:left="567" w:firstLine="0"/>
        <w:jc w:val="both"/>
      </w:pPr>
      <w:r>
        <w:t>80</w:t>
      </w:r>
      <w:r w:rsidRPr="00560FA7">
        <w:t>% dla drzew szkółkarskich (szkółki leśne);</w:t>
      </w:r>
    </w:p>
    <w:p w14:paraId="03D34E69" w14:textId="77777777" w:rsidR="007551C1" w:rsidRPr="00560FA7" w:rsidRDefault="007551C1" w:rsidP="007551C1">
      <w:pPr>
        <w:numPr>
          <w:ilvl w:val="0"/>
          <w:numId w:val="18"/>
        </w:numPr>
        <w:spacing w:after="0"/>
        <w:ind w:left="567" w:firstLine="0"/>
        <w:jc w:val="both"/>
      </w:pPr>
      <w:r w:rsidRPr="00560FA7">
        <w:t xml:space="preserve">98% dla drzew </w:t>
      </w:r>
      <w:r>
        <w:t>w szpalerze</w:t>
      </w:r>
      <w:r w:rsidRPr="00560FA7">
        <w:t>;</w:t>
      </w:r>
    </w:p>
    <w:p w14:paraId="03D34E6A" w14:textId="77777777" w:rsidR="007551C1" w:rsidRPr="00560FA7" w:rsidRDefault="007551C1" w:rsidP="007551C1">
      <w:pPr>
        <w:numPr>
          <w:ilvl w:val="0"/>
          <w:numId w:val="18"/>
        </w:numPr>
        <w:spacing w:after="0"/>
        <w:ind w:left="567" w:firstLine="0"/>
        <w:jc w:val="both"/>
      </w:pPr>
      <w:r>
        <w:t>8</w:t>
      </w:r>
      <w:r w:rsidRPr="00560FA7">
        <w:t>0% dla pnączy.</w:t>
      </w:r>
    </w:p>
    <w:p w14:paraId="03D34E6B" w14:textId="77777777" w:rsidR="007551C1" w:rsidRDefault="007551C1" w:rsidP="007551C1">
      <w:pPr>
        <w:numPr>
          <w:ilvl w:val="1"/>
          <w:numId w:val="2"/>
        </w:numPr>
        <w:spacing w:before="80" w:after="0"/>
        <w:ind w:left="567" w:hanging="567"/>
        <w:jc w:val="both"/>
      </w:pPr>
      <w:r w:rsidRPr="00560FA7">
        <w:t xml:space="preserve">W okresie gwarancji Zamawiający przy udziale Wykonawcy corocznie dokonuje Komisyjnego Przeglądu Gwarancyjnego stanu zieleni objętej gwarancją i sporządza Protokół Komisyjnego Przeglądu Gwarancyjnego. Komisyjnego Przeglądu Gwarancyjnego zieleni dokonuje się w czasie sezonu wegetacyjnego, przy pełnym ulistnieniu i w fazie wzrostu roślin pozwalającym prawidłowo ocenić stopień udatności obsiewu i </w:t>
      </w:r>
      <w:proofErr w:type="spellStart"/>
      <w:r w:rsidRPr="00560FA7">
        <w:t>nasadzeń</w:t>
      </w:r>
      <w:proofErr w:type="spellEnd"/>
      <w:r w:rsidRPr="00560FA7">
        <w:t>. Poprawek i uzupełnień Wykonawca dokonuje w terminie wskazanym w Protokole Komisyjnego Przeglądu Gwarancyjnego.</w:t>
      </w:r>
    </w:p>
    <w:p w14:paraId="03D34E6C" w14:textId="77777777" w:rsidR="007551C1" w:rsidRDefault="007551C1">
      <w:pPr>
        <w:spacing w:after="160" w:line="259" w:lineRule="auto"/>
      </w:pPr>
      <w:r>
        <w:br w:type="page"/>
      </w:r>
    </w:p>
    <w:p w14:paraId="03D34E6D" w14:textId="77777777" w:rsidR="005F574F" w:rsidRPr="008A5D94" w:rsidRDefault="005F574F" w:rsidP="005F574F">
      <w:pPr>
        <w:keepNext/>
        <w:numPr>
          <w:ilvl w:val="0"/>
          <w:numId w:val="2"/>
        </w:numPr>
        <w:spacing w:before="80" w:after="0"/>
        <w:ind w:left="426" w:hanging="426"/>
        <w:outlineLvl w:val="1"/>
        <w:rPr>
          <w:rFonts w:eastAsia="Times New Roman"/>
          <w:b/>
          <w:bCs/>
          <w:iCs/>
        </w:rPr>
      </w:pPr>
      <w:bookmarkStart w:id="126" w:name="_Toc485902183"/>
      <w:bookmarkStart w:id="127" w:name="_Toc488734273"/>
      <w:bookmarkStart w:id="128" w:name="_Toc488735844"/>
      <w:bookmarkStart w:id="129" w:name="_Toc488735907"/>
      <w:bookmarkStart w:id="130" w:name="_Toc488736114"/>
      <w:bookmarkStart w:id="131" w:name="_Toc488736150"/>
      <w:bookmarkStart w:id="132" w:name="_Toc488735845"/>
      <w:bookmarkStart w:id="133" w:name="_Toc488735908"/>
      <w:bookmarkStart w:id="134" w:name="_Toc488736115"/>
      <w:bookmarkStart w:id="135" w:name="_Toc488736151"/>
      <w:bookmarkStart w:id="136" w:name="_Toc488735846"/>
      <w:bookmarkStart w:id="137" w:name="_Toc488735909"/>
      <w:bookmarkStart w:id="138" w:name="_Toc488736116"/>
      <w:bookmarkStart w:id="139" w:name="_Toc488736152"/>
      <w:bookmarkStart w:id="140" w:name="_Toc196292911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r w:rsidRPr="008A5D94">
        <w:rPr>
          <w:rFonts w:eastAsia="Times New Roman"/>
          <w:b/>
          <w:bCs/>
          <w:iCs/>
        </w:rPr>
        <w:lastRenderedPageBreak/>
        <w:t>DROGOWE OBIEKTY INŻYNIERSKIE</w:t>
      </w:r>
      <w:bookmarkEnd w:id="140"/>
    </w:p>
    <w:p w14:paraId="03D34E6E" w14:textId="77777777" w:rsidR="005F574F" w:rsidRPr="008A5D94" w:rsidRDefault="005F574F" w:rsidP="005F574F">
      <w:pPr>
        <w:numPr>
          <w:ilvl w:val="1"/>
          <w:numId w:val="2"/>
        </w:numPr>
        <w:spacing w:before="80" w:after="0"/>
        <w:ind w:left="709" w:hanging="709"/>
        <w:jc w:val="both"/>
        <w:rPr>
          <w:b/>
        </w:rPr>
      </w:pPr>
      <w:r w:rsidRPr="008A5D94">
        <w:rPr>
          <w:b/>
        </w:rPr>
        <w:t>Wskaźniki</w:t>
      </w:r>
    </w:p>
    <w:p w14:paraId="03D34E6F" w14:textId="764B8EBB" w:rsidR="005F574F" w:rsidRPr="008A5D94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 xml:space="preserve">Każdy element drogowego obiektu inżynierskiego będzie podlegać ocenie stanu technicznego, zgodnie z „Instrukcją przeprowadzania przeglądów podstawowych i rozszerzonych drogowych obiektów inżynierskich”, wprowadzoną do stosowania Zarządzeniem nr 14 Generalnego Dyrektora Dróg Krajowych i Autostrad z dnia 7 lipca 2005 r. z późniejszymi zmianami, oraz zgodnie z „Zasadami stosowania skali ocen punktowych stanu technicznego i przydatności do użytkowania drogowych obiektów inżynierskich”, wprowadzonymi do stosowania Zarządzeniem nr </w:t>
      </w:r>
      <w:r w:rsidR="00C04DBF">
        <w:t>1</w:t>
      </w:r>
      <w:r w:rsidRPr="008A5D94">
        <w:t xml:space="preserve"> Generalnego Dyrektora Dróg Krajowych i Autostrad z dnia 3</w:t>
      </w:r>
      <w:r w:rsidR="00C04DBF">
        <w:t>0</w:t>
      </w:r>
      <w:r w:rsidRPr="008A5D94">
        <w:t> </w:t>
      </w:r>
      <w:r w:rsidR="00C04DBF">
        <w:t xml:space="preserve">stycznia </w:t>
      </w:r>
      <w:r w:rsidRPr="008A5D94">
        <w:t>20</w:t>
      </w:r>
      <w:r w:rsidR="00C04DBF">
        <w:t>19</w:t>
      </w:r>
      <w:r w:rsidRPr="008A5D94">
        <w:t xml:space="preserve"> r.</w:t>
      </w:r>
    </w:p>
    <w:p w14:paraId="03D34E70" w14:textId="77777777" w:rsidR="005F574F" w:rsidRPr="008A5D94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>Końcową oceną stanu technicznego każdego elementu drogowego obiektu inżynierskiego będzie najniższa z ocen cząstkowych określonych zgodnie z</w:t>
      </w:r>
      <w:r w:rsidR="007551C1">
        <w:t> </w:t>
      </w:r>
      <w:r w:rsidRPr="008A5D94">
        <w:t>„Zasadami stosowania skali ocen punktowych stanu technicznego i przydatności do użytkowania drogowych obiektów inżynierskich”.</w:t>
      </w:r>
    </w:p>
    <w:p w14:paraId="03D34E71" w14:textId="77777777" w:rsidR="005F574F" w:rsidRPr="008A5D94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>W końcowej ocenie stanu technicznego każdego elementu nie będą uwzględniane jako rodzaj uszkodzenia – zanieczyszczenia i wegetacja roślin, zgodnie z katalogiem uszkodzeń zawartym w „Instrukcji przeprowadzania przeglądów podstawowych i rozszerzonych drogowych obiektów inżynierskich”.</w:t>
      </w:r>
    </w:p>
    <w:p w14:paraId="03D34E72" w14:textId="77777777" w:rsidR="005F574F" w:rsidRPr="008A5D94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>Do oceny elementów nie będą wliczane oceny cząstkowe dotyczące rodzaju uszkodzeń, zgodnie z „Zasadami stosowania skali ocen punktowych stanu technicznego i przydatności do użytkowania drogowych obiektów inżynierskich”, które wystąpiły na skutek zdarzeń losowych, tj. uszkodzeń elementów obiektu niewynikających z warunków normalnej eksploatacji.</w:t>
      </w:r>
    </w:p>
    <w:p w14:paraId="03D34E73" w14:textId="77777777" w:rsidR="005F574F" w:rsidRPr="008A5D94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>Nawierzchnia jezdni:</w:t>
      </w:r>
    </w:p>
    <w:p w14:paraId="03D34E74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na obiekcie mostowym i na dojazdach do obiektu mostowego,</w:t>
      </w:r>
    </w:p>
    <w:p w14:paraId="03D34E75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wewnątrz tunelu i na terenie nad tunelem,</w:t>
      </w:r>
    </w:p>
    <w:p w14:paraId="03D34E76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nad przepustem i na dojazdach do przepustu,</w:t>
      </w:r>
    </w:p>
    <w:p w14:paraId="03D34E77" w14:textId="77777777" w:rsidR="005F574F" w:rsidRPr="008A5D94" w:rsidRDefault="005F574F" w:rsidP="005F574F">
      <w:pPr>
        <w:spacing w:after="0"/>
        <w:ind w:left="709"/>
        <w:jc w:val="both"/>
      </w:pPr>
      <w:r w:rsidRPr="008A5D94">
        <w:t xml:space="preserve">podlega dodatkowo ocenie zgodnie z pkt. 1 NAWIERZCHNIE Części Szczegółowej niniejszej Gwarancji Jakości. </w:t>
      </w:r>
    </w:p>
    <w:p w14:paraId="03D34E78" w14:textId="77777777" w:rsidR="005F574F" w:rsidRPr="008A5D94" w:rsidRDefault="005F574F" w:rsidP="005F574F">
      <w:pPr>
        <w:spacing w:before="80" w:after="0"/>
        <w:ind w:left="709"/>
        <w:jc w:val="both"/>
        <w:rPr>
          <w:b/>
        </w:rPr>
      </w:pPr>
    </w:p>
    <w:p w14:paraId="03D34E79" w14:textId="77777777" w:rsidR="005F574F" w:rsidRPr="008A5D94" w:rsidRDefault="005F574F" w:rsidP="005F574F">
      <w:pPr>
        <w:numPr>
          <w:ilvl w:val="1"/>
          <w:numId w:val="2"/>
        </w:numPr>
        <w:spacing w:before="80" w:after="0"/>
        <w:ind w:left="709" w:hanging="709"/>
        <w:jc w:val="both"/>
        <w:rPr>
          <w:b/>
        </w:rPr>
      </w:pPr>
      <w:r w:rsidRPr="008A5D94">
        <w:rPr>
          <w:b/>
        </w:rPr>
        <w:t>Ocena stopnia zużycia</w:t>
      </w:r>
    </w:p>
    <w:p w14:paraId="03D34E7A" w14:textId="77777777" w:rsidR="005F574F" w:rsidRPr="008A5D94" w:rsidRDefault="005F574F" w:rsidP="005F574F">
      <w:pPr>
        <w:numPr>
          <w:ilvl w:val="2"/>
          <w:numId w:val="2"/>
        </w:numPr>
        <w:spacing w:before="80" w:after="0"/>
        <w:ind w:left="709" w:hanging="709"/>
        <w:jc w:val="both"/>
      </w:pPr>
      <w:r w:rsidRPr="008A5D94">
        <w:t>W okresie gwarancji, ocena stanu technicznego każdego elementu obiektu mostowego powinna wynosić:</w:t>
      </w:r>
    </w:p>
    <w:p w14:paraId="03D34E7B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5 pkt, w odniesieniu do konstrukcji pomostu, konstrukcji dźwigarów głównych, przyczółków, filarów, urządzeń dylatacyjnych i łożysk,</w:t>
      </w:r>
    </w:p>
    <w:p w14:paraId="03D34E7C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nie mniej niż 4 pkt, w odniesieniu do pozostałych elementów.</w:t>
      </w:r>
    </w:p>
    <w:p w14:paraId="03D34E7D" w14:textId="77777777" w:rsidR="005F574F" w:rsidRPr="008A5D94" w:rsidRDefault="005F574F" w:rsidP="005F574F">
      <w:pPr>
        <w:numPr>
          <w:ilvl w:val="2"/>
          <w:numId w:val="2"/>
        </w:numPr>
        <w:spacing w:before="80" w:after="0"/>
        <w:ind w:left="709" w:hanging="709"/>
        <w:jc w:val="both"/>
      </w:pPr>
      <w:r w:rsidRPr="008A5D94">
        <w:t>W okresie gwarancji, ocena stanu technicznego każdego elementu tunelu lub przejścia podziemnego powinna wynosić:</w:t>
      </w:r>
    </w:p>
    <w:p w14:paraId="03D34E7E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 xml:space="preserve">5 pkt, w odniesieniu do ściany czołowej, ściany obudowy, stropu lub sklepienia </w:t>
      </w:r>
      <w:proofErr w:type="spellStart"/>
      <w:r w:rsidRPr="008A5D94">
        <w:t>kalotowego</w:t>
      </w:r>
      <w:proofErr w:type="spellEnd"/>
      <w:r w:rsidRPr="008A5D94">
        <w:t>, płyty dennej, podpór, urządzeń odwadniających i urządzeń wentylacyjnych,</w:t>
      </w:r>
    </w:p>
    <w:p w14:paraId="03D34E7F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nie mniej niż 4 pkt, w odniesieniu do pozostałych elementów.</w:t>
      </w:r>
    </w:p>
    <w:p w14:paraId="03D34E80" w14:textId="77777777" w:rsidR="005F574F" w:rsidRPr="008A5D94" w:rsidRDefault="005F574F" w:rsidP="005F574F">
      <w:pPr>
        <w:numPr>
          <w:ilvl w:val="2"/>
          <w:numId w:val="2"/>
        </w:numPr>
        <w:spacing w:before="80" w:after="0"/>
        <w:ind w:left="709" w:hanging="709"/>
        <w:jc w:val="both"/>
      </w:pPr>
      <w:r w:rsidRPr="008A5D94">
        <w:t>W okresie gwarancji, ocena stanu technicznego każdego elementu przepustu powinna wynosić:</w:t>
      </w:r>
    </w:p>
    <w:p w14:paraId="03D34E81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5 pkt, w odniesieniu do płyty górnej lub sklepienia, ścian, płyty dennej i fundamentów, elementów rurowych lub elementów ramowych i głowic,</w:t>
      </w:r>
    </w:p>
    <w:p w14:paraId="03D34E82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nie mniej niż 4 pkt, w odniesieniu do pozostałych elementów.</w:t>
      </w:r>
    </w:p>
    <w:p w14:paraId="03D34E83" w14:textId="77777777" w:rsidR="005F574F" w:rsidRPr="008A5D94" w:rsidRDefault="005F574F" w:rsidP="005F574F">
      <w:pPr>
        <w:numPr>
          <w:ilvl w:val="2"/>
          <w:numId w:val="2"/>
        </w:numPr>
        <w:spacing w:before="80" w:after="0"/>
        <w:ind w:left="709" w:hanging="709"/>
        <w:jc w:val="both"/>
      </w:pPr>
      <w:r w:rsidRPr="008A5D94">
        <w:lastRenderedPageBreak/>
        <w:t>W okresie gwarancji, ocena stanu technicznego każdego elementu konstrukcji oporowej powinna wynosić:</w:t>
      </w:r>
    </w:p>
    <w:p w14:paraId="03D34E84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5 pkt, w odniesieniu do korpusu i urządzeń odwadniających,</w:t>
      </w:r>
    </w:p>
    <w:p w14:paraId="03D34E85" w14:textId="77777777" w:rsidR="005F574F" w:rsidRPr="008A5D94" w:rsidRDefault="005F574F" w:rsidP="005F574F">
      <w:pPr>
        <w:numPr>
          <w:ilvl w:val="0"/>
          <w:numId w:val="31"/>
        </w:numPr>
        <w:spacing w:after="0"/>
        <w:ind w:left="993" w:hanging="284"/>
        <w:jc w:val="both"/>
      </w:pPr>
      <w:r w:rsidRPr="008A5D94">
        <w:t>nie mniej niż 4 pkt, w odniesieniu do pozostałych elementów.</w:t>
      </w:r>
    </w:p>
    <w:p w14:paraId="03D34E86" w14:textId="77777777" w:rsidR="005F574F" w:rsidRPr="008A5D94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>Wszelkie ujawnione w okresie gwarancji odstępstwa od projektu budowlanego i wykonawczego oraz STWIORB, które nie wynikają z normalnego zużycia, podlegają naprawie bez względu na ocenę stanu technicznego ustaloną zgodnie z „Zasadami stosowania skali ocen punktowych stanu technicznego i przydatności do użytkowania drogowych obiektów inżynierskich”.</w:t>
      </w:r>
    </w:p>
    <w:p w14:paraId="03D34E87" w14:textId="77777777" w:rsidR="005F574F" w:rsidRPr="008A5D94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 xml:space="preserve">Gwarant określi sposób usunięcia wady w formie programu naprawczego zgodnego z </w:t>
      </w:r>
      <w:proofErr w:type="spellStart"/>
      <w:r w:rsidRPr="008A5D94">
        <w:t>STWiORB</w:t>
      </w:r>
      <w:proofErr w:type="spellEnd"/>
      <w:r w:rsidRPr="008A5D94">
        <w:t>. Program naprawczy podlega uzgodnieniu z Zamawiający</w:t>
      </w:r>
      <w:r w:rsidR="005E0823">
        <w:t>m.</w:t>
      </w:r>
    </w:p>
    <w:p w14:paraId="03D34E88" w14:textId="0FB83C2D" w:rsidR="005F574F" w:rsidRDefault="005F574F" w:rsidP="005F574F">
      <w:pPr>
        <w:numPr>
          <w:ilvl w:val="2"/>
          <w:numId w:val="2"/>
        </w:numPr>
        <w:spacing w:after="0"/>
        <w:ind w:left="709" w:hanging="709"/>
        <w:jc w:val="both"/>
      </w:pPr>
      <w:r w:rsidRPr="008A5D94">
        <w:t>Gwarant zobowiązany jest zapewnić Zamawiającemu możliwość kontroli wykonanych robót poprzez zgłaszanie dokładnego terminu przystąpienia do usuwania wad, zgłaszanie robót ulegających zakryciu, zapewnienia dostępu do wykonywanych robót.</w:t>
      </w:r>
    </w:p>
    <w:p w14:paraId="29E94C23" w14:textId="77777777" w:rsidR="00B025A0" w:rsidRPr="008A5D94" w:rsidRDefault="00B025A0" w:rsidP="00B025A0">
      <w:pPr>
        <w:spacing w:after="0"/>
        <w:ind w:left="709"/>
        <w:jc w:val="both"/>
      </w:pPr>
    </w:p>
    <w:p w14:paraId="03D34E8A" w14:textId="77777777" w:rsidR="005E0823" w:rsidRPr="005E0823" w:rsidRDefault="005E0823" w:rsidP="00363999">
      <w:pPr>
        <w:spacing w:before="80" w:after="0"/>
        <w:jc w:val="both"/>
      </w:pPr>
    </w:p>
    <w:p w14:paraId="03D34E8B" w14:textId="77777777" w:rsidR="00363999" w:rsidRPr="008A5D94" w:rsidRDefault="00363999" w:rsidP="00363999">
      <w:pPr>
        <w:spacing w:before="80" w:after="0"/>
        <w:jc w:val="both"/>
        <w:rPr>
          <w:b/>
        </w:rPr>
      </w:pPr>
      <w:r w:rsidRPr="008A5D94">
        <w:rPr>
          <w:b/>
        </w:rPr>
        <w:t>PODPISY I PIECZĘCIE</w:t>
      </w:r>
    </w:p>
    <w:p w14:paraId="03D34E8C" w14:textId="77777777" w:rsidR="00363999" w:rsidRPr="008A5D94" w:rsidRDefault="00363999" w:rsidP="00363999">
      <w:pPr>
        <w:spacing w:before="80" w:after="0"/>
        <w:jc w:val="both"/>
      </w:pPr>
      <w:r w:rsidRPr="008A5D94">
        <w:rPr>
          <w:b/>
        </w:rPr>
        <w:t>W imieniu Gwaranta:</w:t>
      </w:r>
    </w:p>
    <w:sectPr w:rsidR="00363999" w:rsidRPr="008A5D94" w:rsidSect="00BD40BF">
      <w:footerReference w:type="default" r:id="rId12"/>
      <w:pgSz w:w="11906" w:h="16838" w:code="9"/>
      <w:pgMar w:top="1417" w:right="1417" w:bottom="1417" w:left="1417" w:header="561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37B09" w14:textId="77777777" w:rsidR="009A2DFA" w:rsidRDefault="009A2DFA" w:rsidP="00363999">
      <w:pPr>
        <w:spacing w:after="0" w:line="240" w:lineRule="auto"/>
      </w:pPr>
      <w:r>
        <w:separator/>
      </w:r>
    </w:p>
  </w:endnote>
  <w:endnote w:type="continuationSeparator" w:id="0">
    <w:p w14:paraId="2AED8A8A" w14:textId="77777777" w:rsidR="009A2DFA" w:rsidRDefault="009A2DFA" w:rsidP="00363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34E93" w14:textId="65815889" w:rsidR="0072662C" w:rsidRDefault="0072662C" w:rsidP="00BD40BF">
    <w:pPr>
      <w:pStyle w:val="Stopka"/>
      <w:jc w:val="center"/>
    </w:pPr>
    <w:r w:rsidRPr="00AA032B">
      <w:rPr>
        <w:w w:val="90"/>
      </w:rPr>
      <w:fldChar w:fldCharType="begin"/>
    </w:r>
    <w:r w:rsidRPr="00AA032B">
      <w:rPr>
        <w:w w:val="90"/>
      </w:rPr>
      <w:instrText>PAGE   \* MERGEFORMAT</w:instrText>
    </w:r>
    <w:r w:rsidRPr="00AA032B">
      <w:rPr>
        <w:w w:val="90"/>
      </w:rPr>
      <w:fldChar w:fldCharType="separate"/>
    </w:r>
    <w:r w:rsidR="00034E55">
      <w:rPr>
        <w:noProof/>
        <w:w w:val="90"/>
      </w:rPr>
      <w:t>25</w:t>
    </w:r>
    <w:r w:rsidRPr="00AA032B">
      <w:rPr>
        <w:w w:val="9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20DC4" w14:textId="77777777" w:rsidR="009A2DFA" w:rsidRDefault="009A2DFA" w:rsidP="00363999">
      <w:pPr>
        <w:spacing w:after="0" w:line="240" w:lineRule="auto"/>
      </w:pPr>
      <w:r>
        <w:separator/>
      </w:r>
    </w:p>
  </w:footnote>
  <w:footnote w:type="continuationSeparator" w:id="0">
    <w:p w14:paraId="11D25516" w14:textId="77777777" w:rsidR="009A2DFA" w:rsidRDefault="009A2DFA" w:rsidP="00363999">
      <w:pPr>
        <w:spacing w:after="0" w:line="240" w:lineRule="auto"/>
      </w:pPr>
      <w:r>
        <w:continuationSeparator/>
      </w:r>
    </w:p>
  </w:footnote>
  <w:footnote w:id="1">
    <w:p w14:paraId="03D34E94" w14:textId="77777777" w:rsidR="0072662C" w:rsidRDefault="0072662C" w:rsidP="0036399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62408">
        <w:rPr>
          <w:w w:val="90"/>
          <w:sz w:val="16"/>
        </w:rPr>
        <w:t>miarodajny współczynnik tarcia Dm – różnica wartości średniej E(m) i odchylenia standardowego D: Dm = E(m) - D. Wyniki podaje się z dokładnością do dwóch miejsc po przecinku. Wartość miarodajnego współczynnik tarcia nie może być mniejsza od minimalnej wartości wyniku pomiaru na odcinku 50-cio metrowym</w:t>
      </w:r>
    </w:p>
  </w:footnote>
  <w:footnote w:id="2">
    <w:p w14:paraId="03D34E95" w14:textId="77777777" w:rsidR="0072662C" w:rsidRDefault="0072662C" w:rsidP="0036399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E454E">
        <w:rPr>
          <w:w w:val="90"/>
          <w:sz w:val="18"/>
        </w:rPr>
        <w:t>miarodajny współczynnik tarcia Dm – różnica wartości średniej E(m) i odchylenia standardowego D: Dm = E(m) - D. Wyniki podaje się z dokładno</w:t>
      </w:r>
      <w:r w:rsidRPr="00715423">
        <w:rPr>
          <w:w w:val="90"/>
          <w:sz w:val="18"/>
          <w:u w:val="single"/>
        </w:rPr>
        <w:t>ś</w:t>
      </w:r>
      <w:r w:rsidRPr="000E454E">
        <w:rPr>
          <w:w w:val="90"/>
          <w:sz w:val="18"/>
        </w:rPr>
        <w:t>cią do dwóch miejsc po przecinku. Wartość miarodajnego współczynnik tarcia nie może być mniejsza od minimalnej wartości wyniku pomiaru na odcinku 50-cio metrowym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02A7"/>
    <w:multiLevelType w:val="multilevel"/>
    <w:tmpl w:val="DC80BA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AA4D9E"/>
    <w:multiLevelType w:val="hybridMultilevel"/>
    <w:tmpl w:val="587613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A56D5"/>
    <w:multiLevelType w:val="hybridMultilevel"/>
    <w:tmpl w:val="177E7E6E"/>
    <w:lvl w:ilvl="0" w:tplc="E0AA71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E1D10"/>
    <w:multiLevelType w:val="hybridMultilevel"/>
    <w:tmpl w:val="75640DF4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903F2"/>
    <w:multiLevelType w:val="hybridMultilevel"/>
    <w:tmpl w:val="38B4A1B6"/>
    <w:lvl w:ilvl="0" w:tplc="9020B16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DC97FAA"/>
    <w:multiLevelType w:val="hybridMultilevel"/>
    <w:tmpl w:val="C378581E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B4672"/>
    <w:multiLevelType w:val="hybridMultilevel"/>
    <w:tmpl w:val="0F0EF4B4"/>
    <w:lvl w:ilvl="0" w:tplc="9020B162">
      <w:start w:val="1"/>
      <w:numFmt w:val="bullet"/>
      <w:lvlText w:val=""/>
      <w:lvlJc w:val="left"/>
      <w:pPr>
        <w:ind w:left="1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13C92C59"/>
    <w:multiLevelType w:val="hybridMultilevel"/>
    <w:tmpl w:val="7D98999E"/>
    <w:lvl w:ilvl="0" w:tplc="0415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89A12E7"/>
    <w:multiLevelType w:val="hybridMultilevel"/>
    <w:tmpl w:val="738EA22E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067C3"/>
    <w:multiLevelType w:val="hybridMultilevel"/>
    <w:tmpl w:val="DBF0FF02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A756C"/>
    <w:multiLevelType w:val="hybridMultilevel"/>
    <w:tmpl w:val="EB2EF674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3454C"/>
    <w:multiLevelType w:val="hybridMultilevel"/>
    <w:tmpl w:val="2F8EB2EE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55410"/>
    <w:multiLevelType w:val="hybridMultilevel"/>
    <w:tmpl w:val="4AE836DA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75FF6"/>
    <w:multiLevelType w:val="hybridMultilevel"/>
    <w:tmpl w:val="5756132C"/>
    <w:lvl w:ilvl="0" w:tplc="9020B162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34DC1B20"/>
    <w:multiLevelType w:val="hybridMultilevel"/>
    <w:tmpl w:val="FB1AD404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1548C"/>
    <w:multiLevelType w:val="hybridMultilevel"/>
    <w:tmpl w:val="6C5C9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D3919"/>
    <w:multiLevelType w:val="multilevel"/>
    <w:tmpl w:val="EA78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C8322DA"/>
    <w:multiLevelType w:val="hybridMultilevel"/>
    <w:tmpl w:val="775EB7E4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D3853B5"/>
    <w:multiLevelType w:val="hybridMultilevel"/>
    <w:tmpl w:val="0E623EBE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960F3"/>
    <w:multiLevelType w:val="hybridMultilevel"/>
    <w:tmpl w:val="1062CC8C"/>
    <w:lvl w:ilvl="0" w:tplc="AC2EFE94">
      <w:start w:val="1"/>
      <w:numFmt w:val="lowerLetter"/>
      <w:lvlText w:val="%1)"/>
      <w:lvlJc w:val="left"/>
      <w:pPr>
        <w:ind w:left="2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92" w:hanging="360"/>
      </w:pPr>
    </w:lvl>
    <w:lvl w:ilvl="2" w:tplc="0415001B" w:tentative="1">
      <w:start w:val="1"/>
      <w:numFmt w:val="lowerRoman"/>
      <w:lvlText w:val="%3."/>
      <w:lvlJc w:val="right"/>
      <w:pPr>
        <w:ind w:left="3712" w:hanging="180"/>
      </w:pPr>
    </w:lvl>
    <w:lvl w:ilvl="3" w:tplc="0415000F" w:tentative="1">
      <w:start w:val="1"/>
      <w:numFmt w:val="decimal"/>
      <w:lvlText w:val="%4."/>
      <w:lvlJc w:val="left"/>
      <w:pPr>
        <w:ind w:left="4432" w:hanging="360"/>
      </w:pPr>
    </w:lvl>
    <w:lvl w:ilvl="4" w:tplc="04150019" w:tentative="1">
      <w:start w:val="1"/>
      <w:numFmt w:val="lowerLetter"/>
      <w:lvlText w:val="%5."/>
      <w:lvlJc w:val="left"/>
      <w:pPr>
        <w:ind w:left="5152" w:hanging="360"/>
      </w:pPr>
    </w:lvl>
    <w:lvl w:ilvl="5" w:tplc="0415001B" w:tentative="1">
      <w:start w:val="1"/>
      <w:numFmt w:val="lowerRoman"/>
      <w:lvlText w:val="%6."/>
      <w:lvlJc w:val="right"/>
      <w:pPr>
        <w:ind w:left="5872" w:hanging="180"/>
      </w:pPr>
    </w:lvl>
    <w:lvl w:ilvl="6" w:tplc="0415000F" w:tentative="1">
      <w:start w:val="1"/>
      <w:numFmt w:val="decimal"/>
      <w:lvlText w:val="%7."/>
      <w:lvlJc w:val="left"/>
      <w:pPr>
        <w:ind w:left="6592" w:hanging="360"/>
      </w:pPr>
    </w:lvl>
    <w:lvl w:ilvl="7" w:tplc="04150019" w:tentative="1">
      <w:start w:val="1"/>
      <w:numFmt w:val="lowerLetter"/>
      <w:lvlText w:val="%8."/>
      <w:lvlJc w:val="left"/>
      <w:pPr>
        <w:ind w:left="7312" w:hanging="360"/>
      </w:pPr>
    </w:lvl>
    <w:lvl w:ilvl="8" w:tplc="0415001B" w:tentative="1">
      <w:start w:val="1"/>
      <w:numFmt w:val="lowerRoman"/>
      <w:lvlText w:val="%9."/>
      <w:lvlJc w:val="right"/>
      <w:pPr>
        <w:ind w:left="8032" w:hanging="180"/>
      </w:pPr>
    </w:lvl>
  </w:abstractNum>
  <w:abstractNum w:abstractNumId="20" w15:restartNumberingAfterBreak="0">
    <w:nsid w:val="41F81378"/>
    <w:multiLevelType w:val="hybridMultilevel"/>
    <w:tmpl w:val="7FD0E548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10A31"/>
    <w:multiLevelType w:val="hybridMultilevel"/>
    <w:tmpl w:val="16D8B846"/>
    <w:lvl w:ilvl="0" w:tplc="AC2EFE94">
      <w:start w:val="1"/>
      <w:numFmt w:val="lowerLetter"/>
      <w:lvlText w:val="%1)"/>
      <w:lvlJc w:val="left"/>
      <w:pPr>
        <w:ind w:left="781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44F4C2C"/>
    <w:multiLevelType w:val="multilevel"/>
    <w:tmpl w:val="B8AAEF6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4954190"/>
    <w:multiLevelType w:val="hybridMultilevel"/>
    <w:tmpl w:val="C294514E"/>
    <w:lvl w:ilvl="0" w:tplc="AC2EFE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D34FED"/>
    <w:multiLevelType w:val="hybridMultilevel"/>
    <w:tmpl w:val="1744147C"/>
    <w:lvl w:ilvl="0" w:tplc="4E0A395A">
      <w:start w:val="1"/>
      <w:numFmt w:val="bullet"/>
      <w:lvlText w:val="‒"/>
      <w:lvlJc w:val="left"/>
      <w:pPr>
        <w:ind w:left="1429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D0E609A"/>
    <w:multiLevelType w:val="hybridMultilevel"/>
    <w:tmpl w:val="1F1483DE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40763"/>
    <w:multiLevelType w:val="hybridMultilevel"/>
    <w:tmpl w:val="E736C27C"/>
    <w:lvl w:ilvl="0" w:tplc="1E48256C">
      <w:start w:val="1"/>
      <w:numFmt w:val="lowerLetter"/>
      <w:lvlText w:val="%1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2CE06C">
      <w:start w:val="1"/>
      <w:numFmt w:val="lowerLetter"/>
      <w:lvlText w:val="%2"/>
      <w:lvlJc w:val="left"/>
      <w:pPr>
        <w:ind w:left="15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78D0D4">
      <w:start w:val="1"/>
      <w:numFmt w:val="lowerRoman"/>
      <w:lvlText w:val="%3"/>
      <w:lvlJc w:val="left"/>
      <w:pPr>
        <w:ind w:left="22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9C0F96">
      <w:start w:val="1"/>
      <w:numFmt w:val="decimal"/>
      <w:lvlText w:val="%4"/>
      <w:lvlJc w:val="left"/>
      <w:pPr>
        <w:ind w:left="29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AA20CA">
      <w:start w:val="1"/>
      <w:numFmt w:val="lowerLetter"/>
      <w:lvlText w:val="%5"/>
      <w:lvlJc w:val="left"/>
      <w:pPr>
        <w:ind w:left="36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CB2E11E">
      <w:start w:val="1"/>
      <w:numFmt w:val="lowerRoman"/>
      <w:lvlText w:val="%6"/>
      <w:lvlJc w:val="left"/>
      <w:pPr>
        <w:ind w:left="43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98FAC0">
      <w:start w:val="1"/>
      <w:numFmt w:val="decimal"/>
      <w:lvlText w:val="%7"/>
      <w:lvlJc w:val="left"/>
      <w:pPr>
        <w:ind w:left="51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4C19F0">
      <w:start w:val="1"/>
      <w:numFmt w:val="lowerLetter"/>
      <w:lvlText w:val="%8"/>
      <w:lvlJc w:val="left"/>
      <w:pPr>
        <w:ind w:left="58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78295C">
      <w:start w:val="1"/>
      <w:numFmt w:val="lowerRoman"/>
      <w:lvlText w:val="%9"/>
      <w:lvlJc w:val="left"/>
      <w:pPr>
        <w:ind w:left="65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F9434C3"/>
    <w:multiLevelType w:val="hybridMultilevel"/>
    <w:tmpl w:val="A234450C"/>
    <w:lvl w:ilvl="0" w:tplc="4468CFDC">
      <w:start w:val="1"/>
      <w:numFmt w:val="lowerLetter"/>
      <w:lvlText w:val="%1)"/>
      <w:lvlJc w:val="left"/>
      <w:pPr>
        <w:ind w:left="847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1A43C93"/>
    <w:multiLevelType w:val="hybridMultilevel"/>
    <w:tmpl w:val="10888512"/>
    <w:lvl w:ilvl="0" w:tplc="3BD0F7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635"/>
    <w:multiLevelType w:val="multilevel"/>
    <w:tmpl w:val="5546BB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55F97DBC"/>
    <w:multiLevelType w:val="hybridMultilevel"/>
    <w:tmpl w:val="363C1EB0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80150"/>
    <w:multiLevelType w:val="hybridMultilevel"/>
    <w:tmpl w:val="9F58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630636"/>
    <w:multiLevelType w:val="hybridMultilevel"/>
    <w:tmpl w:val="110C5FFA"/>
    <w:lvl w:ilvl="0" w:tplc="AC2EF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774AF"/>
    <w:multiLevelType w:val="hybridMultilevel"/>
    <w:tmpl w:val="C92C32F4"/>
    <w:lvl w:ilvl="0" w:tplc="9020B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24279"/>
    <w:multiLevelType w:val="hybridMultilevel"/>
    <w:tmpl w:val="841CC0B2"/>
    <w:lvl w:ilvl="0" w:tplc="F68E699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DA7C91"/>
    <w:multiLevelType w:val="hybridMultilevel"/>
    <w:tmpl w:val="AC526168"/>
    <w:lvl w:ilvl="0" w:tplc="63506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86346C"/>
    <w:multiLevelType w:val="hybridMultilevel"/>
    <w:tmpl w:val="AA86400A"/>
    <w:lvl w:ilvl="0" w:tplc="80A2430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9"/>
  </w:num>
  <w:num w:numId="3">
    <w:abstractNumId w:val="21"/>
  </w:num>
  <w:num w:numId="4">
    <w:abstractNumId w:val="33"/>
  </w:num>
  <w:num w:numId="5">
    <w:abstractNumId w:val="2"/>
  </w:num>
  <w:num w:numId="6">
    <w:abstractNumId w:val="8"/>
  </w:num>
  <w:num w:numId="7">
    <w:abstractNumId w:val="9"/>
  </w:num>
  <w:num w:numId="8">
    <w:abstractNumId w:val="36"/>
  </w:num>
  <w:num w:numId="9">
    <w:abstractNumId w:val="30"/>
  </w:num>
  <w:num w:numId="10">
    <w:abstractNumId w:val="34"/>
  </w:num>
  <w:num w:numId="11">
    <w:abstractNumId w:val="11"/>
  </w:num>
  <w:num w:numId="12">
    <w:abstractNumId w:val="25"/>
  </w:num>
  <w:num w:numId="13">
    <w:abstractNumId w:val="3"/>
  </w:num>
  <w:num w:numId="14">
    <w:abstractNumId w:val="5"/>
  </w:num>
  <w:num w:numId="15">
    <w:abstractNumId w:val="28"/>
  </w:num>
  <w:num w:numId="16">
    <w:abstractNumId w:val="12"/>
  </w:num>
  <w:num w:numId="17">
    <w:abstractNumId w:val="20"/>
  </w:num>
  <w:num w:numId="18">
    <w:abstractNumId w:val="10"/>
  </w:num>
  <w:num w:numId="19">
    <w:abstractNumId w:val="16"/>
  </w:num>
  <w:num w:numId="20">
    <w:abstractNumId w:val="17"/>
  </w:num>
  <w:num w:numId="21">
    <w:abstractNumId w:val="26"/>
  </w:num>
  <w:num w:numId="22">
    <w:abstractNumId w:val="15"/>
  </w:num>
  <w:num w:numId="23">
    <w:abstractNumId w:val="22"/>
  </w:num>
  <w:num w:numId="24">
    <w:abstractNumId w:val="35"/>
  </w:num>
  <w:num w:numId="25">
    <w:abstractNumId w:val="0"/>
  </w:num>
  <w:num w:numId="26">
    <w:abstractNumId w:val="6"/>
  </w:num>
  <w:num w:numId="27">
    <w:abstractNumId w:val="1"/>
  </w:num>
  <w:num w:numId="28">
    <w:abstractNumId w:val="18"/>
  </w:num>
  <w:num w:numId="29">
    <w:abstractNumId w:val="4"/>
  </w:num>
  <w:num w:numId="30">
    <w:abstractNumId w:val="14"/>
  </w:num>
  <w:num w:numId="31">
    <w:abstractNumId w:val="24"/>
  </w:num>
  <w:num w:numId="32">
    <w:abstractNumId w:val="27"/>
  </w:num>
  <w:num w:numId="33">
    <w:abstractNumId w:val="7"/>
  </w:num>
  <w:num w:numId="34">
    <w:abstractNumId w:val="31"/>
  </w:num>
  <w:num w:numId="35">
    <w:abstractNumId w:val="23"/>
  </w:num>
  <w:num w:numId="36">
    <w:abstractNumId w:val="19"/>
  </w:num>
  <w:num w:numId="37">
    <w:abstractNumId w:val="3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EE7"/>
    <w:rsid w:val="00016AC3"/>
    <w:rsid w:val="00031312"/>
    <w:rsid w:val="00034E55"/>
    <w:rsid w:val="000426DC"/>
    <w:rsid w:val="00060521"/>
    <w:rsid w:val="000746C5"/>
    <w:rsid w:val="00087EE7"/>
    <w:rsid w:val="000C61B5"/>
    <w:rsid w:val="000D582E"/>
    <w:rsid w:val="000F071A"/>
    <w:rsid w:val="001715C3"/>
    <w:rsid w:val="00186393"/>
    <w:rsid w:val="001A4168"/>
    <w:rsid w:val="001A4F67"/>
    <w:rsid w:val="001C06A9"/>
    <w:rsid w:val="001D3677"/>
    <w:rsid w:val="001F0C2E"/>
    <w:rsid w:val="002216DF"/>
    <w:rsid w:val="002365DF"/>
    <w:rsid w:val="002470D2"/>
    <w:rsid w:val="0025688F"/>
    <w:rsid w:val="002702CC"/>
    <w:rsid w:val="00292E56"/>
    <w:rsid w:val="002A4DF4"/>
    <w:rsid w:val="002B5723"/>
    <w:rsid w:val="002F141F"/>
    <w:rsid w:val="003206F7"/>
    <w:rsid w:val="0032075E"/>
    <w:rsid w:val="00327107"/>
    <w:rsid w:val="00352123"/>
    <w:rsid w:val="00356C07"/>
    <w:rsid w:val="00363999"/>
    <w:rsid w:val="003808FC"/>
    <w:rsid w:val="00384BD1"/>
    <w:rsid w:val="00387829"/>
    <w:rsid w:val="003C513A"/>
    <w:rsid w:val="003D25F9"/>
    <w:rsid w:val="003E4E32"/>
    <w:rsid w:val="003F45B3"/>
    <w:rsid w:val="00423E13"/>
    <w:rsid w:val="004739B1"/>
    <w:rsid w:val="004B5DEA"/>
    <w:rsid w:val="004C0514"/>
    <w:rsid w:val="004F02E6"/>
    <w:rsid w:val="00524487"/>
    <w:rsid w:val="00546039"/>
    <w:rsid w:val="0057171D"/>
    <w:rsid w:val="00586FCA"/>
    <w:rsid w:val="00597867"/>
    <w:rsid w:val="005B5365"/>
    <w:rsid w:val="005C0970"/>
    <w:rsid w:val="005C5559"/>
    <w:rsid w:val="005D68B1"/>
    <w:rsid w:val="005E0489"/>
    <w:rsid w:val="005E0823"/>
    <w:rsid w:val="005E4CC7"/>
    <w:rsid w:val="005F574F"/>
    <w:rsid w:val="006320AB"/>
    <w:rsid w:val="00635CB5"/>
    <w:rsid w:val="00657758"/>
    <w:rsid w:val="00661C26"/>
    <w:rsid w:val="00673143"/>
    <w:rsid w:val="00677DA8"/>
    <w:rsid w:val="006B4DF7"/>
    <w:rsid w:val="00716DD5"/>
    <w:rsid w:val="0072662C"/>
    <w:rsid w:val="007551C1"/>
    <w:rsid w:val="00757391"/>
    <w:rsid w:val="00766ADD"/>
    <w:rsid w:val="0078770F"/>
    <w:rsid w:val="007A68B1"/>
    <w:rsid w:val="007C21DD"/>
    <w:rsid w:val="007D1F77"/>
    <w:rsid w:val="00820738"/>
    <w:rsid w:val="00842289"/>
    <w:rsid w:val="00855083"/>
    <w:rsid w:val="00856319"/>
    <w:rsid w:val="00884688"/>
    <w:rsid w:val="00886BF1"/>
    <w:rsid w:val="008A5D94"/>
    <w:rsid w:val="008A697D"/>
    <w:rsid w:val="00900BD3"/>
    <w:rsid w:val="00902FE5"/>
    <w:rsid w:val="009234EF"/>
    <w:rsid w:val="00933E38"/>
    <w:rsid w:val="00935D6F"/>
    <w:rsid w:val="00952C6D"/>
    <w:rsid w:val="009740C2"/>
    <w:rsid w:val="00984055"/>
    <w:rsid w:val="00986C98"/>
    <w:rsid w:val="00990418"/>
    <w:rsid w:val="00996218"/>
    <w:rsid w:val="009A1338"/>
    <w:rsid w:val="009A2DFA"/>
    <w:rsid w:val="009D00D8"/>
    <w:rsid w:val="00A4326E"/>
    <w:rsid w:val="00A50DEA"/>
    <w:rsid w:val="00A524F3"/>
    <w:rsid w:val="00A56D24"/>
    <w:rsid w:val="00AC403E"/>
    <w:rsid w:val="00AE4248"/>
    <w:rsid w:val="00AF0120"/>
    <w:rsid w:val="00AF58DA"/>
    <w:rsid w:val="00B025A0"/>
    <w:rsid w:val="00B31EDC"/>
    <w:rsid w:val="00B5053A"/>
    <w:rsid w:val="00B60A37"/>
    <w:rsid w:val="00B67270"/>
    <w:rsid w:val="00B94728"/>
    <w:rsid w:val="00B951AA"/>
    <w:rsid w:val="00BD40BF"/>
    <w:rsid w:val="00BF5E14"/>
    <w:rsid w:val="00C04DBF"/>
    <w:rsid w:val="00C117F0"/>
    <w:rsid w:val="00C64FD8"/>
    <w:rsid w:val="00C87BDE"/>
    <w:rsid w:val="00CA6889"/>
    <w:rsid w:val="00CB76C0"/>
    <w:rsid w:val="00CD4C3F"/>
    <w:rsid w:val="00CF29A3"/>
    <w:rsid w:val="00D21BB6"/>
    <w:rsid w:val="00D25776"/>
    <w:rsid w:val="00D63F41"/>
    <w:rsid w:val="00D65A1D"/>
    <w:rsid w:val="00D67575"/>
    <w:rsid w:val="00D8206C"/>
    <w:rsid w:val="00DA342E"/>
    <w:rsid w:val="00DB0930"/>
    <w:rsid w:val="00DB477F"/>
    <w:rsid w:val="00DB5D3C"/>
    <w:rsid w:val="00DC0809"/>
    <w:rsid w:val="00DC11E3"/>
    <w:rsid w:val="00DE26F9"/>
    <w:rsid w:val="00DE644D"/>
    <w:rsid w:val="00DF5966"/>
    <w:rsid w:val="00E00D11"/>
    <w:rsid w:val="00E22ADF"/>
    <w:rsid w:val="00E233BC"/>
    <w:rsid w:val="00E55E79"/>
    <w:rsid w:val="00E72D7E"/>
    <w:rsid w:val="00EA7018"/>
    <w:rsid w:val="00EB67CE"/>
    <w:rsid w:val="00EC7E62"/>
    <w:rsid w:val="00F0091C"/>
    <w:rsid w:val="00F712E9"/>
    <w:rsid w:val="00FB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4BC2"/>
  <w15:chartTrackingRefBased/>
  <w15:docId w15:val="{A73B16C4-C24F-4FD5-A93F-947E07A0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BB6"/>
    <w:pPr>
      <w:spacing w:after="200" w:line="276" w:lineRule="auto"/>
    </w:pPr>
    <w:rPr>
      <w:rFonts w:ascii="Verdana" w:eastAsia="Calibri" w:hAnsi="Verdana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999"/>
    <w:pPr>
      <w:keepNext/>
      <w:spacing w:before="120" w:after="120"/>
      <w:outlineLvl w:val="0"/>
    </w:pPr>
    <w:rPr>
      <w:rFonts w:eastAsia="Times New Roman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999"/>
    <w:pPr>
      <w:keepNext/>
      <w:spacing w:before="120" w:after="120"/>
      <w:outlineLvl w:val="1"/>
    </w:pPr>
    <w:rPr>
      <w:rFonts w:eastAsia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3999"/>
    <w:pPr>
      <w:keepNext/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999"/>
    <w:rPr>
      <w:rFonts w:ascii="Verdana" w:eastAsia="Times New Roman" w:hAnsi="Verdana" w:cs="Arial"/>
      <w:b/>
      <w:bCs/>
      <w:kern w:val="32"/>
      <w:sz w:val="20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999"/>
    <w:rPr>
      <w:rFonts w:ascii="Verdana" w:eastAsia="Times New Roman" w:hAnsi="Verdana" w:cs="Arial"/>
      <w:b/>
      <w:bCs/>
      <w:iCs/>
      <w:sz w:val="20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3999"/>
    <w:rPr>
      <w:rFonts w:ascii="Verdana" w:eastAsia="Times New Roman" w:hAnsi="Verdana" w:cs="Arial"/>
      <w:b/>
      <w:bCs/>
      <w:sz w:val="20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363999"/>
    <w:pPr>
      <w:ind w:left="720"/>
      <w:contextualSpacing/>
    </w:pPr>
  </w:style>
  <w:style w:type="table" w:styleId="Tabela-Siatka">
    <w:name w:val="Table Grid"/>
    <w:basedOn w:val="Standardowy"/>
    <w:uiPriority w:val="59"/>
    <w:rsid w:val="00363999"/>
    <w:pPr>
      <w:spacing w:after="0" w:line="240" w:lineRule="auto"/>
    </w:pPr>
    <w:rPr>
      <w:rFonts w:ascii="Verdana" w:eastAsia="Calibri" w:hAnsi="Verdana" w:cs="Arial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363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399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3999"/>
    <w:rPr>
      <w:rFonts w:ascii="Verdana" w:eastAsia="Calibri" w:hAnsi="Verdana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3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3999"/>
    <w:rPr>
      <w:rFonts w:ascii="Verdana" w:eastAsia="Calibri" w:hAnsi="Verdana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999"/>
    <w:rPr>
      <w:rFonts w:ascii="Tahoma" w:eastAsia="Calibri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9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3999"/>
    <w:rPr>
      <w:rFonts w:ascii="Verdana" w:eastAsia="Calibri" w:hAnsi="Verdana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39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3999"/>
    <w:rPr>
      <w:rFonts w:ascii="Verdana" w:eastAsia="Calibri" w:hAnsi="Verdana" w:cs="Arial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3999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363999"/>
    <w:pPr>
      <w:tabs>
        <w:tab w:val="left" w:pos="426"/>
        <w:tab w:val="right" w:leader="dot" w:pos="9072"/>
      </w:tabs>
    </w:pPr>
  </w:style>
  <w:style w:type="character" w:styleId="Hipercze">
    <w:name w:val="Hyperlink"/>
    <w:uiPriority w:val="99"/>
    <w:unhideWhenUsed/>
    <w:rsid w:val="00363999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746C5"/>
    <w:pPr>
      <w:tabs>
        <w:tab w:val="left" w:pos="660"/>
        <w:tab w:val="right" w:leader="dot" w:pos="9060"/>
      </w:tabs>
      <w:spacing w:before="80" w:after="0"/>
      <w:ind w:left="220" w:hanging="78"/>
    </w:pPr>
    <w:rPr>
      <w:rFonts w:eastAsia="Times New Roman"/>
      <w:iCs/>
      <w:noProof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363999"/>
    <w:pPr>
      <w:spacing w:after="100"/>
      <w:ind w:left="440"/>
    </w:pPr>
    <w:rPr>
      <w:rFonts w:eastAsia="Times New Roman"/>
    </w:rPr>
  </w:style>
  <w:style w:type="character" w:styleId="Tekstzastpczy">
    <w:name w:val="Placeholder Text"/>
    <w:basedOn w:val="Domylnaczcionkaakapitu"/>
    <w:uiPriority w:val="99"/>
    <w:semiHidden/>
    <w:rsid w:val="00363999"/>
    <w:rPr>
      <w:color w:val="808080"/>
    </w:rPr>
  </w:style>
  <w:style w:type="table" w:customStyle="1" w:styleId="TableGrid">
    <w:name w:val="TableGrid"/>
    <w:rsid w:val="00363999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363999"/>
    <w:pPr>
      <w:spacing w:after="0" w:line="240" w:lineRule="auto"/>
    </w:pPr>
    <w:rPr>
      <w:rFonts w:ascii="Verdana" w:eastAsia="Calibri" w:hAnsi="Verdana" w:cs="Arial"/>
      <w:sz w:val="20"/>
      <w:szCs w:val="20"/>
      <w:lang w:eastAsia="pl-PL"/>
    </w:rPr>
  </w:style>
  <w:style w:type="table" w:customStyle="1" w:styleId="Siatkatabelijasna1">
    <w:name w:val="Siatka tabeli — jasna1"/>
    <w:basedOn w:val="Standardowy"/>
    <w:uiPriority w:val="40"/>
    <w:rsid w:val="00363999"/>
    <w:pPr>
      <w:spacing w:after="0" w:line="240" w:lineRule="auto"/>
    </w:pPr>
    <w:rPr>
      <w:rFonts w:ascii="Verdana" w:eastAsia="Calibri" w:hAnsi="Verdana" w:cs="Arial"/>
      <w:sz w:val="20"/>
      <w:szCs w:val="20"/>
      <w:lang w:eastAsia="pl-P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3999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3999"/>
    <w:rPr>
      <w:rFonts w:ascii="Verdana" w:eastAsia="Calibri" w:hAnsi="Verdana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3999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363999"/>
    <w:rPr>
      <w:b/>
      <w:bCs/>
    </w:rPr>
  </w:style>
  <w:style w:type="table" w:customStyle="1" w:styleId="Tabela-Siatka4">
    <w:name w:val="Tabela - Siatka4"/>
    <w:basedOn w:val="Standardowy"/>
    <w:next w:val="Tabela-Siatka"/>
    <w:uiPriority w:val="59"/>
    <w:rsid w:val="0085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7A68B1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76B98D7C84A94DA012099522F5525C" ma:contentTypeVersion="10" ma:contentTypeDescription="Utwórz nowy dokument." ma:contentTypeScope="" ma:versionID="3bc6f7c99397c219cfbf10578c935fab">
  <xsd:schema xmlns:xsd="http://www.w3.org/2001/XMLSchema" xmlns:xs="http://www.w3.org/2001/XMLSchema" xmlns:p="http://schemas.microsoft.com/office/2006/metadata/properties" xmlns:ns2="f2ee9952-4211-4083-b853-e2fbca6d3806" xmlns:ns3="0bbd9a3f-c049-44c4-9f67-d1a2bdc0730d" targetNamespace="http://schemas.microsoft.com/office/2006/metadata/properties" ma:root="true" ma:fieldsID="bbaeff235604beb0873d95d057c48b7b" ns2:_="" ns3:_="">
    <xsd:import namespace="f2ee9952-4211-4083-b853-e2fbca6d3806"/>
    <xsd:import namespace="0bbd9a3f-c049-44c4-9f67-d1a2bdc073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e9952-4211-4083-b853-e2fbca6d3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d9a3f-c049-44c4-9f67-d1a2bdc073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412B8-3B17-435A-8013-C2B9CE34C3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F6687A-6C8B-451A-935E-509090F144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396F29-E6CC-49D1-8A6F-03C16C268A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627E17-695E-4FAC-B1DB-61BBF2D6C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e9952-4211-4083-b853-e2fbca6d3806"/>
    <ds:schemaRef ds:uri="0bbd9a3f-c049-44c4-9f67-d1a2bdc073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6848</Words>
  <Characters>41090</Characters>
  <Application>Microsoft Office Word</Application>
  <DocSecurity>0</DocSecurity>
  <Lines>342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 Bartosz</dc:creator>
  <cp:keywords/>
  <dc:description/>
  <cp:lastModifiedBy>Koper Przemysław</cp:lastModifiedBy>
  <cp:revision>6</cp:revision>
  <cp:lastPrinted>2019-02-26T12:37:00Z</cp:lastPrinted>
  <dcterms:created xsi:type="dcterms:W3CDTF">2025-04-23T07:27:00Z</dcterms:created>
  <dcterms:modified xsi:type="dcterms:W3CDTF">2025-08-18T11:27:00Z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0x0101006C76B98D7C84A94DA012099522F5525C</vt:lpwstr>
  </property>
</Properties>
</file>