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43EF" w14:textId="74B67EB0" w:rsidR="00B1585D" w:rsidRPr="00EE4AD6" w:rsidRDefault="00B1585D" w:rsidP="00EE4AD6">
      <w:pPr>
        <w:pStyle w:val="Nagwek1"/>
        <w:spacing w:before="360" w:after="360" w:line="360" w:lineRule="auto"/>
        <w:ind w:left="284"/>
        <w:jc w:val="left"/>
        <w:rPr>
          <w:rFonts w:ascii="Calibri" w:hAnsi="Calibri" w:cs="Calibri"/>
          <w:sz w:val="24"/>
          <w:szCs w:val="24"/>
        </w:rPr>
      </w:pPr>
      <w:r w:rsidRPr="00EE4AD6">
        <w:rPr>
          <w:rFonts w:ascii="Calibri" w:hAnsi="Calibri" w:cs="Calibri"/>
          <w:sz w:val="24"/>
          <w:szCs w:val="24"/>
        </w:rPr>
        <w:t>Najczęściej zadawane pytania (FAQ) do naboru nr KPOD.05.02-IW.06-00</w:t>
      </w:r>
      <w:r w:rsidR="007221DB" w:rsidRPr="00EE4AD6">
        <w:rPr>
          <w:rFonts w:ascii="Calibri" w:hAnsi="Calibri" w:cs="Calibri"/>
          <w:sz w:val="24"/>
          <w:szCs w:val="24"/>
        </w:rPr>
        <w:t>3</w:t>
      </w:r>
      <w:r w:rsidRPr="00EE4AD6">
        <w:rPr>
          <w:rFonts w:ascii="Calibri" w:hAnsi="Calibri" w:cs="Calibri"/>
          <w:sz w:val="24"/>
          <w:szCs w:val="24"/>
        </w:rPr>
        <w:t>/2</w:t>
      </w:r>
      <w:r w:rsidR="00351AE3" w:rsidRPr="00EE4AD6">
        <w:rPr>
          <w:rFonts w:ascii="Calibri" w:hAnsi="Calibri" w:cs="Calibri"/>
          <w:sz w:val="24"/>
          <w:szCs w:val="24"/>
        </w:rPr>
        <w:t>4</w:t>
      </w:r>
      <w:r w:rsidRPr="00EE4AD6">
        <w:rPr>
          <w:rFonts w:ascii="Calibri" w:hAnsi="Calibri" w:cs="Calibri"/>
          <w:sz w:val="24"/>
          <w:szCs w:val="24"/>
        </w:rPr>
        <w:t xml:space="preserve"> w ramach Inwestycji C1.1.1 Zapewnienie dostępu do bardzo szybkiego internetu na obszarach białych plam.</w:t>
      </w:r>
    </w:p>
    <w:p w14:paraId="59BC1A4B" w14:textId="045E034C" w:rsidR="007221DB" w:rsidRPr="00EE4AD6" w:rsidRDefault="007221DB" w:rsidP="00EE4AD6">
      <w:pPr>
        <w:pStyle w:val="Akapitzlist"/>
        <w:numPr>
          <w:ilvl w:val="0"/>
          <w:numId w:val="1"/>
        </w:numPr>
        <w:ind w:left="284" w:hanging="357"/>
        <w:rPr>
          <w:rFonts w:ascii="Calibri" w:hAnsi="Calibri" w:cs="Calibri"/>
          <w:b/>
          <w:szCs w:val="24"/>
        </w:rPr>
      </w:pPr>
      <w:r w:rsidRPr="00EE4AD6">
        <w:rPr>
          <w:rFonts w:ascii="Calibri" w:hAnsi="Calibri" w:cs="Calibri"/>
          <w:b/>
          <w:szCs w:val="24"/>
        </w:rPr>
        <w:t>Mam pytanie czy w arkuszu finansowym, udostępnionym dla naboru III KPO</w:t>
      </w:r>
    </w:p>
    <w:p w14:paraId="2B0A8405" w14:textId="7A4CF355" w:rsidR="007221DB" w:rsidRPr="00EE4AD6" w:rsidRDefault="007221DB" w:rsidP="00EE4AD6">
      <w:pPr>
        <w:pStyle w:val="Akapitzlist"/>
        <w:ind w:left="284"/>
        <w:rPr>
          <w:rFonts w:ascii="Calibri" w:hAnsi="Calibri" w:cs="Calibri"/>
          <w:b/>
          <w:szCs w:val="24"/>
        </w:rPr>
      </w:pPr>
      <w:r w:rsidRPr="00EE4AD6">
        <w:rPr>
          <w:rFonts w:ascii="Calibri" w:hAnsi="Calibri" w:cs="Calibri"/>
          <w:b/>
          <w:szCs w:val="24"/>
        </w:rPr>
        <w:t>C1.1.1 należy uwzględniać spodziewane przepływy z tytułu realizacji projektów KPO/FERC z roku 2023, na które wnioskodawca podpisał umowy o dofinansowanie? Instrukcja nie stwierdza tego wyraźnie, mówiąc, iż danymi bazowymi powinny być sprawozdania za lata ubiegłe, które z definicji nie uwzględniają jeszcze startu nowych projektów dotacyjnych:</w:t>
      </w:r>
      <w:r w:rsidR="00C0690F" w:rsidRPr="00EE4AD6">
        <w:rPr>
          <w:rFonts w:ascii="Calibri" w:hAnsi="Calibri" w:cs="Calibri"/>
          <w:b/>
          <w:szCs w:val="24"/>
        </w:rPr>
        <w:t xml:space="preserve"> </w:t>
      </w:r>
      <w:r w:rsidRPr="00EE4AD6">
        <w:rPr>
          <w:rFonts w:ascii="Calibri" w:hAnsi="Calibri" w:cs="Calibri"/>
          <w:b/>
          <w:szCs w:val="24"/>
        </w:rPr>
        <w:t>oczekiwane będzie zaprezentowanie roku n-1 i n-2. Dane do roku n-1 i</w:t>
      </w:r>
      <w:r w:rsidR="00C0690F" w:rsidRPr="00EE4AD6">
        <w:rPr>
          <w:rFonts w:ascii="Calibri" w:hAnsi="Calibri" w:cs="Calibri"/>
          <w:b/>
          <w:szCs w:val="24"/>
        </w:rPr>
        <w:t xml:space="preserve"> </w:t>
      </w:r>
      <w:r w:rsidRPr="00EE4AD6">
        <w:rPr>
          <w:rFonts w:ascii="Calibri" w:hAnsi="Calibri" w:cs="Calibri"/>
          <w:b/>
          <w:szCs w:val="24"/>
        </w:rPr>
        <w:t xml:space="preserve">n-2 muszą pochodzić z przyjętych i zatwierdzonych sprawozdań finansowych Wnioskodawcy. Kolejne lata oparte są na rzetelnej prognozie finansowej. </w:t>
      </w:r>
    </w:p>
    <w:p w14:paraId="3EFC11FD" w14:textId="2EFCB937" w:rsidR="009A0E02" w:rsidRPr="00EE4AD6" w:rsidRDefault="007221DB" w:rsidP="00EE4AD6">
      <w:pPr>
        <w:pStyle w:val="Akapitzlist"/>
        <w:ind w:left="284"/>
        <w:rPr>
          <w:rFonts w:ascii="Calibri" w:hAnsi="Calibri" w:cs="Calibri"/>
          <w:b/>
          <w:szCs w:val="24"/>
        </w:rPr>
      </w:pPr>
      <w:r w:rsidRPr="00EE4AD6">
        <w:rPr>
          <w:rFonts w:ascii="Calibri" w:hAnsi="Calibri" w:cs="Calibri"/>
          <w:b/>
          <w:szCs w:val="24"/>
        </w:rPr>
        <w:t>Wszystkie przyjęte założenia do prognozy muszą być merytorycznie uzasadnione</w:t>
      </w:r>
      <w:r w:rsidR="009A0E02" w:rsidRPr="00EE4AD6">
        <w:rPr>
          <w:rFonts w:ascii="Calibri" w:hAnsi="Calibri" w:cs="Calibri"/>
          <w:b/>
          <w:szCs w:val="24"/>
        </w:rPr>
        <w:t>.</w:t>
      </w:r>
    </w:p>
    <w:p w14:paraId="73E9E053" w14:textId="77DD3515" w:rsidR="004D0710" w:rsidRPr="00EE4AD6" w:rsidRDefault="007221DB" w:rsidP="00EE4AD6">
      <w:pPr>
        <w:pStyle w:val="Akapitzlist"/>
        <w:ind w:left="284"/>
        <w:contextualSpacing w:val="0"/>
        <w:rPr>
          <w:rFonts w:ascii="Calibri" w:hAnsi="Calibri" w:cs="Calibri"/>
          <w:b/>
          <w:szCs w:val="24"/>
        </w:rPr>
      </w:pPr>
      <w:r w:rsidRPr="00EE4AD6">
        <w:rPr>
          <w:rFonts w:ascii="Calibri" w:hAnsi="Calibri" w:cs="Calibri"/>
          <w:b/>
          <w:szCs w:val="24"/>
        </w:rPr>
        <w:t>W przypadku udzielenia odpowiedzi pozytywnej zwracam uwagę, iż oczekiwanie generowania dodatnich przepływów w latach 2024-2026 w sytuacji realizacji projektów KPO/FERC z wkładem własnym 20% i inwestycjami własnymi może okazać się niewykonalne dla małych i średnich przedsiębiorstw z uwagi na fakt braku generowania strumieni przychodowych z tychże inwestycji przed rokiem 2026.</w:t>
      </w:r>
    </w:p>
    <w:p w14:paraId="11E9C6DC" w14:textId="17B3742B" w:rsidR="00BF4DC6" w:rsidRPr="00EE4AD6" w:rsidRDefault="00575C22" w:rsidP="00EE4AD6">
      <w:pPr>
        <w:pStyle w:val="Akapitzlist"/>
        <w:ind w:left="284"/>
        <w:contextualSpacing w:val="0"/>
        <w:rPr>
          <w:rFonts w:ascii="Calibri" w:hAnsi="Calibri" w:cs="Calibri"/>
          <w:bCs/>
          <w:szCs w:val="24"/>
        </w:rPr>
      </w:pPr>
      <w:r w:rsidRPr="00EE4AD6">
        <w:rPr>
          <w:rFonts w:ascii="Calibri" w:hAnsi="Calibri" w:cs="Calibri"/>
          <w:bCs/>
          <w:szCs w:val="24"/>
        </w:rPr>
        <w:t>Instrukcja stwierdza, że przyjęte i zatwierdzone sprawozdania za lata ubiegłe muszą być podstawą do danych wykazanych dla roku n-1 i n-2. Natomiast dane wykazane w kolejnych latach muszą być oparte na rzetelnej prognozie finansowej. W związku z powyższym należy w nich uwzględnić spodziewane przepływy wynikające również z realizacji wcześniej podpisanych umów o dofinansowanie.</w:t>
      </w:r>
    </w:p>
    <w:p w14:paraId="6CB327CD" w14:textId="4DDA545A" w:rsidR="005D7C0B" w:rsidRPr="00EE4AD6" w:rsidRDefault="007221DB" w:rsidP="00EE4AD6">
      <w:pPr>
        <w:pStyle w:val="Akapitzlist"/>
        <w:numPr>
          <w:ilvl w:val="0"/>
          <w:numId w:val="1"/>
        </w:numPr>
        <w:ind w:left="284" w:hanging="357"/>
        <w:contextualSpacing w:val="0"/>
        <w:rPr>
          <w:rFonts w:ascii="Calibri" w:hAnsi="Calibri" w:cs="Calibri"/>
          <w:b/>
          <w:szCs w:val="24"/>
        </w:rPr>
      </w:pPr>
      <w:r w:rsidRPr="00EE4AD6">
        <w:rPr>
          <w:rFonts w:ascii="Calibri" w:hAnsi="Calibri" w:cs="Calibri"/>
          <w:b/>
          <w:szCs w:val="24"/>
        </w:rPr>
        <w:t xml:space="preserve">Wskazany teren jest ujęty jako biała plama. Na tym terenie jest już dwóch operatorów światłowodowych. Czy można np.: wydzierżawić kilka włókien od jednego operatora założyć swoje mufy i podłączyć te punkty adresowe i tym samym spełnić wymagania </w:t>
      </w:r>
      <w:r w:rsidRPr="00EE4AD6">
        <w:rPr>
          <w:rFonts w:ascii="Calibri" w:hAnsi="Calibri" w:cs="Calibri"/>
          <w:b/>
          <w:szCs w:val="24"/>
        </w:rPr>
        <w:lastRenderedPageBreak/>
        <w:t>dotacji (pozyskać na to dotację z racji, iż jest to z punktu widzenia konkursu i dokumentacji - możliwe) Jakimi dokumentami się wtedy okazać przy rozliczeniu dotacji?</w:t>
      </w:r>
    </w:p>
    <w:p w14:paraId="0D36B15B" w14:textId="7FB776E0" w:rsidR="0011555A" w:rsidRPr="00EE4AD6" w:rsidRDefault="0011555A" w:rsidP="00EE4AD6">
      <w:pPr>
        <w:pStyle w:val="Akapitzlist"/>
        <w:ind w:left="284"/>
        <w:rPr>
          <w:rFonts w:ascii="Calibri" w:hAnsi="Calibri" w:cs="Calibri"/>
          <w:bCs/>
          <w:szCs w:val="24"/>
        </w:rPr>
      </w:pPr>
      <w:r w:rsidRPr="00EE4AD6">
        <w:rPr>
          <w:rFonts w:ascii="Calibri" w:hAnsi="Calibri" w:cs="Calibri"/>
          <w:bCs/>
          <w:szCs w:val="24"/>
        </w:rPr>
        <w:t xml:space="preserve">Dopuszczalne jest wykorzystanie istniejącej infrastruktury, w tym również dzierżawa od innych podmiotów. Sieć musi spełniać wymagania techniczne określone w „Wymaganiach dla sieci KPO/FERC” będących załącznikiem do Umowy. Każdy z Wnioskodawców musi zapewnić zgodność z wymogami dotyczącymi nadmiarowości elementów infrastruktury oraz dostępem hurtowym na niedyskryminacyjnych warunkach. </w:t>
      </w:r>
    </w:p>
    <w:p w14:paraId="063EA7A9" w14:textId="77777777" w:rsidR="0011555A" w:rsidRPr="00EE4AD6" w:rsidRDefault="0011555A" w:rsidP="00EE4AD6">
      <w:pPr>
        <w:pStyle w:val="Akapitzlist"/>
        <w:ind w:left="284"/>
        <w:rPr>
          <w:rFonts w:ascii="Calibri" w:hAnsi="Calibri" w:cs="Calibri"/>
          <w:bCs/>
          <w:szCs w:val="24"/>
        </w:rPr>
      </w:pPr>
      <w:r w:rsidRPr="00EE4AD6">
        <w:rPr>
          <w:rFonts w:ascii="Calibri" w:hAnsi="Calibri" w:cs="Calibri"/>
          <w:bCs/>
          <w:szCs w:val="24"/>
        </w:rPr>
        <w:t>Przedsięwzięcie rozliczane będzie metodą uproszczoną w formie stawek jednostkowych tzn. w celu rozliczenia Ostateczny odbiorca wsparcia wykazywał będzie we wnioskach o płatność wykonanie kamieni milowych i osiągnięcie wskaźników produktu.</w:t>
      </w:r>
    </w:p>
    <w:p w14:paraId="2CB2A954" w14:textId="77777777" w:rsidR="0011555A" w:rsidRPr="00EE4AD6" w:rsidRDefault="0011555A" w:rsidP="00EE4AD6">
      <w:pPr>
        <w:pStyle w:val="Akapitzlist"/>
        <w:ind w:left="284"/>
        <w:rPr>
          <w:rFonts w:ascii="Calibri" w:hAnsi="Calibri" w:cs="Calibri"/>
          <w:bCs/>
          <w:szCs w:val="24"/>
        </w:rPr>
      </w:pPr>
      <w:r w:rsidRPr="00EE4AD6">
        <w:rPr>
          <w:rFonts w:ascii="Calibri" w:hAnsi="Calibri" w:cs="Calibri"/>
          <w:bCs/>
          <w:szCs w:val="24"/>
        </w:rPr>
        <w:t>Na etapie weryfikacji wniosku o płatność dla potwierdzenia punktów adresowych oznaczonych w systemie SIMBA jako wykonane, będą brane pod uwagę wybrane według uznania Jednostki wspierającej plan rozwojowy dokumenty dotyczące realizacji Przedsięwzięcia, w szczególności:</w:t>
      </w:r>
    </w:p>
    <w:p w14:paraId="5D16D86D" w14:textId="77777777" w:rsidR="0011555A" w:rsidRPr="00EE4AD6" w:rsidRDefault="0011555A" w:rsidP="00EE4AD6">
      <w:pPr>
        <w:pStyle w:val="Akapitzlist"/>
        <w:ind w:left="284"/>
        <w:rPr>
          <w:rFonts w:ascii="Calibri" w:hAnsi="Calibri" w:cs="Calibri"/>
          <w:bCs/>
          <w:szCs w:val="24"/>
        </w:rPr>
      </w:pPr>
      <w:r w:rsidRPr="00EE4AD6">
        <w:rPr>
          <w:rFonts w:ascii="Calibri" w:hAnsi="Calibri" w:cs="Calibri"/>
          <w:bCs/>
          <w:szCs w:val="24"/>
        </w:rPr>
        <w:t>1.</w:t>
      </w:r>
      <w:r w:rsidRPr="00EE4AD6">
        <w:rPr>
          <w:rFonts w:ascii="Calibri" w:hAnsi="Calibri" w:cs="Calibri"/>
          <w:bCs/>
          <w:szCs w:val="24"/>
        </w:rPr>
        <w:tab/>
        <w:t>protokoły odbioru prac lub inne równoważne dowody;</w:t>
      </w:r>
    </w:p>
    <w:p w14:paraId="5079B06D" w14:textId="77777777" w:rsidR="0011555A" w:rsidRPr="00EE4AD6" w:rsidRDefault="0011555A" w:rsidP="00EE4AD6">
      <w:pPr>
        <w:pStyle w:val="Akapitzlist"/>
        <w:ind w:left="284"/>
        <w:rPr>
          <w:rFonts w:ascii="Calibri" w:hAnsi="Calibri" w:cs="Calibri"/>
          <w:bCs/>
          <w:szCs w:val="24"/>
        </w:rPr>
      </w:pPr>
      <w:r w:rsidRPr="00EE4AD6">
        <w:rPr>
          <w:rFonts w:ascii="Calibri" w:hAnsi="Calibri" w:cs="Calibri"/>
          <w:bCs/>
          <w:szCs w:val="24"/>
        </w:rPr>
        <w:t>2.</w:t>
      </w:r>
      <w:r w:rsidRPr="00EE4AD6">
        <w:rPr>
          <w:rFonts w:ascii="Calibri" w:hAnsi="Calibri" w:cs="Calibri"/>
          <w:bCs/>
          <w:szCs w:val="24"/>
        </w:rPr>
        <w:tab/>
        <w:t>dokumentacja powykonawcza;</w:t>
      </w:r>
    </w:p>
    <w:p w14:paraId="677235D7" w14:textId="77777777" w:rsidR="0011555A" w:rsidRPr="00EE4AD6" w:rsidRDefault="0011555A" w:rsidP="00EE4AD6">
      <w:pPr>
        <w:pStyle w:val="Akapitzlist"/>
        <w:ind w:left="284"/>
        <w:rPr>
          <w:rFonts w:ascii="Calibri" w:hAnsi="Calibri" w:cs="Calibri"/>
          <w:bCs/>
          <w:szCs w:val="24"/>
        </w:rPr>
      </w:pPr>
      <w:r w:rsidRPr="00EE4AD6">
        <w:rPr>
          <w:rFonts w:ascii="Calibri" w:hAnsi="Calibri" w:cs="Calibri"/>
          <w:bCs/>
          <w:szCs w:val="24"/>
        </w:rPr>
        <w:t>3.</w:t>
      </w:r>
      <w:r w:rsidRPr="00EE4AD6">
        <w:rPr>
          <w:rFonts w:ascii="Calibri" w:hAnsi="Calibri" w:cs="Calibri"/>
          <w:bCs/>
          <w:szCs w:val="24"/>
        </w:rPr>
        <w:tab/>
        <w:t>projekty wybudowanej sieci w postaci wektorowej SHP;</w:t>
      </w:r>
    </w:p>
    <w:p w14:paraId="238856B1" w14:textId="77777777" w:rsidR="0011555A" w:rsidRPr="00EE4AD6" w:rsidRDefault="0011555A" w:rsidP="00EE4AD6">
      <w:pPr>
        <w:pStyle w:val="Akapitzlist"/>
        <w:ind w:left="284"/>
        <w:rPr>
          <w:rFonts w:ascii="Calibri" w:hAnsi="Calibri" w:cs="Calibri"/>
          <w:bCs/>
          <w:szCs w:val="24"/>
        </w:rPr>
      </w:pPr>
      <w:r w:rsidRPr="00EE4AD6">
        <w:rPr>
          <w:rFonts w:ascii="Calibri" w:hAnsi="Calibri" w:cs="Calibri"/>
          <w:bCs/>
          <w:szCs w:val="24"/>
        </w:rPr>
        <w:t>4.</w:t>
      </w:r>
      <w:r w:rsidRPr="00EE4AD6">
        <w:rPr>
          <w:rFonts w:ascii="Calibri" w:hAnsi="Calibri" w:cs="Calibri"/>
          <w:bCs/>
          <w:szCs w:val="24"/>
        </w:rPr>
        <w:tab/>
        <w:t>dokument przyjęcia środka trwałego – OT;</w:t>
      </w:r>
    </w:p>
    <w:p w14:paraId="4072991F" w14:textId="77777777" w:rsidR="0011555A" w:rsidRPr="00EE4AD6" w:rsidRDefault="0011555A" w:rsidP="00EE4AD6">
      <w:pPr>
        <w:pStyle w:val="Akapitzlist"/>
        <w:ind w:left="284"/>
        <w:rPr>
          <w:rFonts w:ascii="Calibri" w:hAnsi="Calibri" w:cs="Calibri"/>
          <w:bCs/>
          <w:szCs w:val="24"/>
        </w:rPr>
      </w:pPr>
      <w:r w:rsidRPr="00EE4AD6">
        <w:rPr>
          <w:rFonts w:ascii="Calibri" w:hAnsi="Calibri" w:cs="Calibri"/>
          <w:bCs/>
          <w:szCs w:val="24"/>
        </w:rPr>
        <w:t>5.</w:t>
      </w:r>
      <w:r w:rsidRPr="00EE4AD6">
        <w:rPr>
          <w:rFonts w:ascii="Calibri" w:hAnsi="Calibri" w:cs="Calibri"/>
          <w:bCs/>
          <w:szCs w:val="24"/>
        </w:rPr>
        <w:tab/>
        <w:t>inne, równoważne dokumenty wskazane przez Ostatecznego odbiorcę wsparcia (np. oświadczenie projektanta/geodety o zgłoszeniu do zasobów);</w:t>
      </w:r>
    </w:p>
    <w:p w14:paraId="63019477" w14:textId="6644F831" w:rsidR="0011555A" w:rsidRPr="00EE4AD6" w:rsidRDefault="0011555A" w:rsidP="00EE4AD6">
      <w:pPr>
        <w:pStyle w:val="Akapitzlist"/>
        <w:ind w:left="284"/>
        <w:contextualSpacing w:val="0"/>
        <w:rPr>
          <w:rFonts w:ascii="Calibri" w:hAnsi="Calibri" w:cs="Calibri"/>
          <w:bCs/>
          <w:szCs w:val="24"/>
        </w:rPr>
      </w:pPr>
      <w:r w:rsidRPr="00EE4AD6">
        <w:rPr>
          <w:rFonts w:ascii="Calibri" w:hAnsi="Calibri" w:cs="Calibri"/>
          <w:bCs/>
          <w:szCs w:val="24"/>
        </w:rPr>
        <w:t>– potwierdzające zakres zrealizowanych prac zgodnie z określonymi w Przedsięwzięciu kamieniami milowymi. Oprócz weryfikacji dokumentów rozliczane efekty mogą zostać dodatkowo potwierdzone poprzez analizę dostępnych rejestrów publicznych.</w:t>
      </w:r>
    </w:p>
    <w:p w14:paraId="0BF389A4" w14:textId="03EA650C" w:rsidR="007221DB" w:rsidRPr="00EE4AD6" w:rsidRDefault="007221DB" w:rsidP="00EE4AD6">
      <w:pPr>
        <w:pStyle w:val="Akapitzlist"/>
        <w:numPr>
          <w:ilvl w:val="0"/>
          <w:numId w:val="1"/>
        </w:numPr>
        <w:ind w:left="284" w:hanging="357"/>
        <w:contextualSpacing w:val="0"/>
        <w:rPr>
          <w:rFonts w:ascii="Calibri" w:hAnsi="Calibri" w:cs="Calibri"/>
          <w:b/>
          <w:szCs w:val="24"/>
        </w:rPr>
      </w:pPr>
      <w:r w:rsidRPr="00EE4AD6">
        <w:rPr>
          <w:rFonts w:ascii="Calibri" w:hAnsi="Calibri" w:cs="Calibri"/>
          <w:b/>
          <w:szCs w:val="24"/>
        </w:rPr>
        <w:t xml:space="preserve">Wskazany teren jest ujęty jako biała plama. Na tym terenie jest nasz kabel (ale przy projektowaniu wskazano za mało muf i podpięcie wszystkich klientów nie jest możliwe). Zatem czy można poprzez wymianę kabla i założenie większej ilość muf spełnić </w:t>
      </w:r>
      <w:r w:rsidRPr="00EE4AD6">
        <w:rPr>
          <w:rFonts w:ascii="Calibri" w:hAnsi="Calibri" w:cs="Calibri"/>
          <w:b/>
          <w:szCs w:val="24"/>
        </w:rPr>
        <w:lastRenderedPageBreak/>
        <w:t>wymagania dotacji (otrzymać wsparcie na wskazaną inwestycję). Jakimi dokumentami przy rozliczaniu się wtedy okazać?</w:t>
      </w:r>
    </w:p>
    <w:p w14:paraId="631DFE21" w14:textId="2E58F611" w:rsidR="0011555A" w:rsidRPr="00EE4AD6" w:rsidRDefault="0011555A" w:rsidP="00EE4AD6">
      <w:pPr>
        <w:pStyle w:val="Akapitzlist"/>
        <w:ind w:left="284"/>
        <w:contextualSpacing w:val="0"/>
        <w:rPr>
          <w:rFonts w:ascii="Calibri" w:hAnsi="Calibri" w:cs="Calibri"/>
          <w:bCs/>
          <w:szCs w:val="24"/>
        </w:rPr>
      </w:pPr>
      <w:r w:rsidRPr="00EE4AD6">
        <w:rPr>
          <w:rFonts w:ascii="Calibri" w:hAnsi="Calibri" w:cs="Calibri"/>
          <w:bCs/>
          <w:szCs w:val="24"/>
        </w:rPr>
        <w:t>W ramach naboru dofinansowanie można otrzymać tylko na objęcie zasięgiem wskazanych przez nas punktów adresowych. Należy pamiętać o konieczności świadczenia usług hurtowych.</w:t>
      </w:r>
    </w:p>
    <w:p w14:paraId="18F41A38" w14:textId="27D6617D" w:rsidR="007221DB" w:rsidRPr="00EE4AD6" w:rsidRDefault="004810F4" w:rsidP="00EE4AD6">
      <w:pPr>
        <w:pStyle w:val="Akapitzlist"/>
        <w:numPr>
          <w:ilvl w:val="0"/>
          <w:numId w:val="1"/>
        </w:numPr>
        <w:ind w:left="284"/>
        <w:rPr>
          <w:rFonts w:ascii="Calibri" w:hAnsi="Calibri" w:cs="Calibri"/>
          <w:b/>
          <w:szCs w:val="24"/>
        </w:rPr>
      </w:pPr>
      <w:r w:rsidRPr="00EE4AD6">
        <w:rPr>
          <w:rFonts w:ascii="Calibri" w:hAnsi="Calibri" w:cs="Calibri"/>
          <w:b/>
          <w:szCs w:val="24"/>
        </w:rPr>
        <w:t xml:space="preserve">Czy </w:t>
      </w:r>
      <w:r w:rsidR="007221DB" w:rsidRPr="00EE4AD6">
        <w:rPr>
          <w:rFonts w:ascii="Calibri" w:hAnsi="Calibri" w:cs="Calibri"/>
          <w:b/>
          <w:szCs w:val="24"/>
        </w:rPr>
        <w:t>wniosek obejmuje cały dany Obszar konkursowy?</w:t>
      </w:r>
    </w:p>
    <w:p w14:paraId="2F985EB1" w14:textId="1703DF49" w:rsidR="006F4725" w:rsidRPr="00EE4AD6" w:rsidRDefault="004318A2" w:rsidP="00EE4AD6">
      <w:pPr>
        <w:pStyle w:val="Akapitzlist"/>
        <w:ind w:left="284"/>
        <w:contextualSpacing w:val="0"/>
        <w:rPr>
          <w:rFonts w:ascii="Calibri" w:hAnsi="Calibri" w:cs="Calibri"/>
          <w:b/>
          <w:szCs w:val="24"/>
        </w:rPr>
      </w:pPr>
      <w:r w:rsidRPr="00EE4AD6">
        <w:rPr>
          <w:rFonts w:ascii="Calibri" w:hAnsi="Calibri" w:cs="Calibri"/>
          <w:b/>
          <w:szCs w:val="24"/>
        </w:rPr>
        <w:t>Czy</w:t>
      </w:r>
      <w:r w:rsidR="007221DB" w:rsidRPr="00EE4AD6">
        <w:rPr>
          <w:rFonts w:ascii="Calibri" w:hAnsi="Calibri" w:cs="Calibri"/>
          <w:b/>
          <w:szCs w:val="24"/>
        </w:rPr>
        <w:t xml:space="preserve"> np. numer obszaru: 6.22.07.1 POMORSKIE KWIDZYŃSKI obejmuje 2282 punkty adresowe, które to adresy muszą być wszystkie objęte danym wnioskiem czy możliwa jest tylko część adresów?</w:t>
      </w:r>
    </w:p>
    <w:p w14:paraId="475CEBA2" w14:textId="6E31197E" w:rsidR="006F4725" w:rsidRPr="00EE4AD6" w:rsidRDefault="006F4725" w:rsidP="00EE4AD6">
      <w:pPr>
        <w:pStyle w:val="Akapitzlist"/>
        <w:ind w:left="284"/>
        <w:contextualSpacing w:val="0"/>
        <w:rPr>
          <w:rFonts w:ascii="Calibri" w:hAnsi="Calibri" w:cs="Calibri"/>
          <w:bCs/>
          <w:szCs w:val="24"/>
        </w:rPr>
      </w:pPr>
      <w:r w:rsidRPr="00EE4AD6">
        <w:rPr>
          <w:rFonts w:ascii="Calibri" w:hAnsi="Calibri" w:cs="Calibri"/>
          <w:bCs/>
          <w:szCs w:val="24"/>
        </w:rPr>
        <w:t>Wnioskodawca musi zadeklarować objęcie zasięgiem od 75% do 85% punktów adresowych na danym obszarze konkursowym.</w:t>
      </w:r>
    </w:p>
    <w:p w14:paraId="1E1996F1" w14:textId="46DE9385" w:rsidR="00E14BF1" w:rsidRPr="00EE4AD6" w:rsidRDefault="005B06C8"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 xml:space="preserve">Pytanie dot. </w:t>
      </w:r>
      <w:r w:rsidR="00964280" w:rsidRPr="00EE4AD6">
        <w:rPr>
          <w:rFonts w:ascii="Calibri" w:hAnsi="Calibri" w:cs="Calibri"/>
          <w:b/>
          <w:szCs w:val="24"/>
        </w:rPr>
        <w:t xml:space="preserve">inwestycji/projektów wykazywanych jako doświadczenie wnioskodawcy. </w:t>
      </w:r>
      <w:r w:rsidR="005D5520" w:rsidRPr="00EE4AD6">
        <w:rPr>
          <w:rFonts w:ascii="Calibri" w:hAnsi="Calibri" w:cs="Calibri"/>
          <w:b/>
          <w:szCs w:val="24"/>
        </w:rPr>
        <w:t>Czy data</w:t>
      </w:r>
      <w:r w:rsidR="007221DB" w:rsidRPr="00EE4AD6">
        <w:rPr>
          <w:rFonts w:ascii="Calibri" w:hAnsi="Calibri" w:cs="Calibri"/>
          <w:b/>
          <w:szCs w:val="24"/>
        </w:rPr>
        <w:t xml:space="preserve"> rozpoczęcia inwestycji/projektu w tym projektu dofinansowanego z POIG/POPC, przed 1/1/2015r nie ma znaczenia</w:t>
      </w:r>
      <w:r w:rsidR="005D5520" w:rsidRPr="00EE4AD6">
        <w:rPr>
          <w:rFonts w:ascii="Calibri" w:hAnsi="Calibri" w:cs="Calibri"/>
          <w:b/>
          <w:szCs w:val="24"/>
        </w:rPr>
        <w:t xml:space="preserve">? </w:t>
      </w:r>
      <w:r w:rsidR="007221DB" w:rsidRPr="00EE4AD6">
        <w:rPr>
          <w:rFonts w:ascii="Calibri" w:hAnsi="Calibri" w:cs="Calibri"/>
          <w:b/>
          <w:szCs w:val="24"/>
        </w:rPr>
        <w:t>Ważna jest data zakończenia inwestycji/projektu w tym dofinansowanego z POIG/POPC</w:t>
      </w:r>
      <w:r w:rsidR="005D5520" w:rsidRPr="00EE4AD6">
        <w:rPr>
          <w:rFonts w:ascii="Calibri" w:hAnsi="Calibri" w:cs="Calibri"/>
          <w:b/>
          <w:szCs w:val="24"/>
        </w:rPr>
        <w:t>,</w:t>
      </w:r>
      <w:r w:rsidR="007221DB" w:rsidRPr="00EE4AD6">
        <w:rPr>
          <w:rFonts w:ascii="Calibri" w:hAnsi="Calibri" w:cs="Calibri"/>
          <w:b/>
          <w:szCs w:val="24"/>
        </w:rPr>
        <w:t xml:space="preserve"> która musi mieścić się we wskazanym przez Państwa okresie, tj. od 1/1/2015r a do dnia złożenia Wniosku? Data rozpoczęcia realizacji takiej inwestycji/projektu może być wcześniejsza niż 1/1/2015r?</w:t>
      </w:r>
    </w:p>
    <w:p w14:paraId="050B48F8" w14:textId="18F2C43B" w:rsidR="006F4725" w:rsidRPr="00EE4AD6" w:rsidRDefault="006F4725" w:rsidP="00EE4AD6">
      <w:pPr>
        <w:pStyle w:val="Akapitzlist"/>
        <w:ind w:left="284"/>
        <w:contextualSpacing w:val="0"/>
        <w:rPr>
          <w:rFonts w:ascii="Calibri" w:hAnsi="Calibri" w:cs="Calibri"/>
          <w:bCs/>
          <w:szCs w:val="24"/>
        </w:rPr>
      </w:pPr>
      <w:r w:rsidRPr="00EE4AD6">
        <w:rPr>
          <w:rFonts w:ascii="Calibri" w:hAnsi="Calibri" w:cs="Calibri"/>
          <w:bCs/>
          <w:szCs w:val="24"/>
        </w:rPr>
        <w:t>Tak, data rozpoczęcia realizacji inwestycji nie jest brana pod uwagę. Dana inwestycja może zostać wykazana w ramach doświadczenia, jeżeli została zakończona pomiędzy 1.01.2015 r. a dniem złożenia Wniosku w naborze.</w:t>
      </w:r>
    </w:p>
    <w:p w14:paraId="5F54AB9D" w14:textId="18C1731A" w:rsidR="007221DB" w:rsidRPr="00EE4AD6" w:rsidRDefault="00A74ECC"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I</w:t>
      </w:r>
      <w:r w:rsidR="007221DB" w:rsidRPr="00EE4AD6">
        <w:rPr>
          <w:rFonts w:ascii="Calibri" w:hAnsi="Calibri" w:cs="Calibri"/>
          <w:b/>
          <w:szCs w:val="24"/>
        </w:rPr>
        <w:t xml:space="preserve">nwestycje/projekty realizowane przez wnioskodawcę w trybie mieszanym, tzn. częściowo z wykorzystaniem pracy własnych pracowników oraz własnych narzędzi Wnioskodawcy, w połączeniu z zakupem na zewnątrz niektórych usług (np. projektowych, geodezyjnych, wykopu pod kanalizację doziemną) i oczywiście dostawach </w:t>
      </w:r>
      <w:r w:rsidR="007221DB" w:rsidRPr="00EE4AD6">
        <w:rPr>
          <w:rFonts w:ascii="Calibri" w:hAnsi="Calibri" w:cs="Calibri"/>
          <w:b/>
          <w:szCs w:val="24"/>
        </w:rPr>
        <w:lastRenderedPageBreak/>
        <w:t>materiałów/urządzeń z zewnątrz, też mogą zostać zaliczone do Doświadczenia Wnioskodawcy w ramach kryterium 12 oceny merytorycznej?</w:t>
      </w:r>
    </w:p>
    <w:p w14:paraId="1A7F7A8B" w14:textId="54FC57EA" w:rsidR="006F4725" w:rsidRPr="00EE4AD6" w:rsidRDefault="007221DB" w:rsidP="00EE4AD6">
      <w:pPr>
        <w:pStyle w:val="Akapitzlist"/>
        <w:ind w:left="284"/>
        <w:contextualSpacing w:val="0"/>
        <w:rPr>
          <w:rFonts w:ascii="Calibri" w:hAnsi="Calibri" w:cs="Calibri"/>
          <w:b/>
          <w:szCs w:val="24"/>
        </w:rPr>
      </w:pPr>
      <w:r w:rsidRPr="00EE4AD6">
        <w:rPr>
          <w:rFonts w:ascii="Calibri" w:hAnsi="Calibri" w:cs="Calibri"/>
          <w:b/>
          <w:szCs w:val="24"/>
        </w:rPr>
        <w:t>W przypadku MIŚOT przedstawiony powyżej sposób wykonania jest dominującym sposobem na rozbudowę własnej sieci telekomunikacyjnej.</w:t>
      </w:r>
    </w:p>
    <w:p w14:paraId="5BDF1153" w14:textId="66963072" w:rsidR="00185407" w:rsidRPr="00EE4AD6" w:rsidRDefault="006F4725" w:rsidP="00EE4AD6">
      <w:pPr>
        <w:pStyle w:val="Akapitzlist"/>
        <w:ind w:left="284"/>
        <w:rPr>
          <w:rFonts w:ascii="Calibri" w:hAnsi="Calibri" w:cs="Calibri"/>
          <w:szCs w:val="24"/>
        </w:rPr>
      </w:pPr>
      <w:r w:rsidRPr="00EE4AD6">
        <w:rPr>
          <w:rFonts w:ascii="Calibri" w:hAnsi="Calibri" w:cs="Calibri"/>
          <w:szCs w:val="24"/>
        </w:rPr>
        <w:t xml:space="preserve">Jako doświadczenie mogą zostać wykazane inwestycje, które Wnioskodawca zrealizował jako </w:t>
      </w:r>
      <w:r w:rsidR="6D88FDB6" w:rsidRPr="00EE4AD6">
        <w:rPr>
          <w:rFonts w:ascii="Calibri" w:hAnsi="Calibri" w:cs="Calibri"/>
          <w:szCs w:val="24"/>
        </w:rPr>
        <w:t>podmiot realizujący inwestycje, czyli podmiot, który w okresie od 1 stycznia 2015 roku do dnia złożenia Wniosku o objęcie przedsięwzięcia wsparciem, zrealizował inwestycje z zakresu budowy, rozbudowy lub przebudowy sieci telekomunikacyjnych. Podmiot realizujący odpowiada za całość procesu inwestycyjnego, w tym planowanie, finansowanie, realizację oraz zarządzanie</w:t>
      </w:r>
      <w:r w:rsidR="00141662">
        <w:rPr>
          <w:rFonts w:ascii="Calibri" w:hAnsi="Calibri" w:cs="Calibri"/>
          <w:szCs w:val="24"/>
        </w:rPr>
        <w:t xml:space="preserve"> </w:t>
      </w:r>
      <w:r w:rsidR="6D88FDB6" w:rsidRPr="00EE4AD6">
        <w:rPr>
          <w:rFonts w:ascii="Calibri" w:hAnsi="Calibri" w:cs="Calibri"/>
          <w:szCs w:val="24"/>
        </w:rPr>
        <w:t>projektem</w:t>
      </w:r>
      <w:r w:rsidRPr="00EE4AD6">
        <w:rPr>
          <w:rFonts w:ascii="Calibri" w:hAnsi="Calibri" w:cs="Calibri"/>
          <w:szCs w:val="24"/>
        </w:rPr>
        <w:t>. Dotyczy to również przypadków, kiedy część usług lub dostaw była realizowana przez zewnętrznych podwykonawców.</w:t>
      </w:r>
    </w:p>
    <w:p w14:paraId="4ED7409D" w14:textId="6F4BB21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 xml:space="preserve">Mam kilka pytań </w:t>
      </w:r>
      <w:r w:rsidR="006F4725" w:rsidRPr="00EE4AD6">
        <w:rPr>
          <w:rFonts w:ascii="Calibri" w:hAnsi="Calibri" w:cs="Calibri"/>
          <w:b/>
          <w:szCs w:val="24"/>
        </w:rPr>
        <w:t>odnośnie do</w:t>
      </w:r>
      <w:r w:rsidRPr="00EE4AD6">
        <w:rPr>
          <w:rFonts w:ascii="Calibri" w:hAnsi="Calibri" w:cs="Calibri"/>
          <w:b/>
          <w:szCs w:val="24"/>
        </w:rPr>
        <w:t xml:space="preserve"> załącznika nr 8 do WoD. Chodzi o punkt nr 5 (promesa od instytucji finansowej) oraz pkt nr 6 (dokapitalizowanie) – Zakładka Opis kryterium i instrukcja – II etap sprawdzania kryterium.</w:t>
      </w:r>
    </w:p>
    <w:p w14:paraId="32D6B328" w14:textId="5D8BCD6D" w:rsidR="007221DB" w:rsidRPr="00EE4AD6" w:rsidRDefault="007221DB" w:rsidP="00EE4AD6">
      <w:pPr>
        <w:pStyle w:val="Akapitzlist"/>
        <w:numPr>
          <w:ilvl w:val="0"/>
          <w:numId w:val="2"/>
        </w:numPr>
        <w:ind w:left="284"/>
        <w:contextualSpacing w:val="0"/>
        <w:rPr>
          <w:rFonts w:ascii="Calibri" w:hAnsi="Calibri" w:cs="Calibri"/>
          <w:b/>
          <w:szCs w:val="24"/>
        </w:rPr>
      </w:pPr>
      <w:r w:rsidRPr="00EE4AD6">
        <w:rPr>
          <w:rFonts w:ascii="Calibri" w:hAnsi="Calibri" w:cs="Calibri"/>
          <w:b/>
          <w:szCs w:val="24"/>
        </w:rPr>
        <w:t>Czy promesa musi być złożona wraz z wnioskiem o dofinasowanie czy wystarczy deklaracja, że taka promesa zostanie dostarczona przed podpisaniem umowy z CPPC.</w:t>
      </w:r>
    </w:p>
    <w:p w14:paraId="3BFD7F1C" w14:textId="61F627D7" w:rsidR="00450DD0" w:rsidRPr="00EE4AD6" w:rsidRDefault="00450DD0" w:rsidP="00EE4AD6">
      <w:pPr>
        <w:pStyle w:val="Akapitzlist"/>
        <w:ind w:left="284"/>
        <w:contextualSpacing w:val="0"/>
        <w:rPr>
          <w:rFonts w:ascii="Calibri" w:hAnsi="Calibri" w:cs="Calibri"/>
          <w:bCs/>
          <w:szCs w:val="24"/>
        </w:rPr>
      </w:pPr>
      <w:r w:rsidRPr="00EE4AD6">
        <w:rPr>
          <w:rFonts w:ascii="Calibri" w:hAnsi="Calibri" w:cs="Calibri"/>
          <w:bCs/>
          <w:szCs w:val="24"/>
        </w:rPr>
        <w:t>Promesa musi być złożona wraz z wnioskiem.</w:t>
      </w:r>
    </w:p>
    <w:p w14:paraId="71A3E37D" w14:textId="403B6655" w:rsidR="007221DB" w:rsidRPr="00EE4AD6" w:rsidRDefault="007221DB" w:rsidP="00EE4AD6">
      <w:pPr>
        <w:pStyle w:val="Akapitzlist"/>
        <w:numPr>
          <w:ilvl w:val="0"/>
          <w:numId w:val="2"/>
        </w:numPr>
        <w:ind w:left="284"/>
        <w:contextualSpacing w:val="0"/>
        <w:rPr>
          <w:rFonts w:ascii="Calibri" w:hAnsi="Calibri" w:cs="Calibri"/>
          <w:b/>
          <w:szCs w:val="24"/>
        </w:rPr>
      </w:pPr>
      <w:r w:rsidRPr="00EE4AD6">
        <w:rPr>
          <w:rFonts w:ascii="Calibri" w:hAnsi="Calibri" w:cs="Calibri"/>
          <w:b/>
          <w:szCs w:val="24"/>
        </w:rPr>
        <w:t>W przypadku dokapitalizowania spółki, należy wykazać, że środki znajdują się na rachunku bankowym już na etapie składania WoD czy stosowny dokument (np. wyciąg z rachunku bankowego) można przedstawić przed podpisaniem umowy?</w:t>
      </w:r>
    </w:p>
    <w:p w14:paraId="432C1EF0" w14:textId="673410C2" w:rsidR="00194962" w:rsidRPr="00EE4AD6" w:rsidRDefault="00450DD0" w:rsidP="00EE4AD6">
      <w:pPr>
        <w:pStyle w:val="Akapitzlist"/>
        <w:ind w:left="284"/>
        <w:contextualSpacing w:val="0"/>
        <w:rPr>
          <w:rFonts w:ascii="Calibri" w:hAnsi="Calibri" w:cs="Calibri"/>
          <w:szCs w:val="24"/>
        </w:rPr>
      </w:pPr>
      <w:r w:rsidRPr="00EE4AD6">
        <w:rPr>
          <w:rFonts w:ascii="Calibri" w:hAnsi="Calibri" w:cs="Calibri"/>
          <w:szCs w:val="24"/>
        </w:rPr>
        <w:t>Dokapitalizowanie musi nastąpić przed dniem złożenia Wniosku. W celu spełnienia tego warunku niezbędne jest ujawnienie zmiany w KRS najpóźniej w dniu zawarcia Umowy</w:t>
      </w:r>
      <w:r w:rsidR="74474356" w:rsidRPr="00EE4AD6">
        <w:rPr>
          <w:rFonts w:ascii="Calibri" w:hAnsi="Calibri" w:cs="Calibri"/>
          <w:szCs w:val="24"/>
        </w:rPr>
        <w:t xml:space="preserve"> o objęcie przedsięwzięcia wsparciem</w:t>
      </w:r>
      <w:r w:rsidRPr="00EE4AD6">
        <w:rPr>
          <w:rFonts w:ascii="Calibri" w:hAnsi="Calibri" w:cs="Calibri"/>
          <w:szCs w:val="24"/>
        </w:rPr>
        <w:t xml:space="preserve">. </w:t>
      </w:r>
    </w:p>
    <w:p w14:paraId="375B2A12" w14:textId="777CA2FA" w:rsidR="007221DB" w:rsidRPr="00EE4AD6" w:rsidRDefault="007221DB" w:rsidP="00EE4AD6">
      <w:pPr>
        <w:pStyle w:val="Akapitzlist"/>
        <w:numPr>
          <w:ilvl w:val="0"/>
          <w:numId w:val="2"/>
        </w:numPr>
        <w:ind w:left="284"/>
        <w:contextualSpacing w:val="0"/>
        <w:rPr>
          <w:rFonts w:ascii="Calibri" w:hAnsi="Calibri" w:cs="Calibri"/>
          <w:b/>
          <w:szCs w:val="24"/>
        </w:rPr>
      </w:pPr>
      <w:r w:rsidRPr="00EE4AD6">
        <w:rPr>
          <w:rFonts w:ascii="Calibri" w:hAnsi="Calibri" w:cs="Calibri"/>
          <w:b/>
          <w:szCs w:val="24"/>
        </w:rPr>
        <w:lastRenderedPageBreak/>
        <w:t>Czy w przypadku składania wniosków na 3 projekty, scenariusz bazowy dla ostatniego, trzeciego projektu, powinien zawierać dane z projektu 1 oraz 2, czy możliwe jest przedstawienie więcej niż jednego scenariusza np. 1+3 lub 2+3. Chodzi o to, że firma może wygrać konkurs na terenie 1, 2 lub 3 obszarów. Każdy z tych wariantów będzie wymagał innego zapotrzebowania na kapitał."</w:t>
      </w:r>
    </w:p>
    <w:p w14:paraId="3409CFFB" w14:textId="4CEB58D0" w:rsidR="00D56E55" w:rsidRPr="00EE4AD6" w:rsidRDefault="00954224" w:rsidP="00EE4AD6">
      <w:pPr>
        <w:pStyle w:val="Akapitzlist"/>
        <w:ind w:left="284"/>
        <w:contextualSpacing w:val="0"/>
        <w:rPr>
          <w:rFonts w:ascii="Calibri" w:hAnsi="Calibri" w:cs="Calibri"/>
          <w:bCs/>
          <w:szCs w:val="24"/>
        </w:rPr>
      </w:pPr>
      <w:r w:rsidRPr="00EE4AD6">
        <w:rPr>
          <w:rFonts w:ascii="Calibri" w:hAnsi="Calibri" w:cs="Calibri"/>
          <w:bCs/>
          <w:szCs w:val="24"/>
        </w:rPr>
        <w:t>Dane należy przedstawiać w sposób narastający dla każdego kolejnego składanego wniosku</w:t>
      </w:r>
      <w:r w:rsidR="00E40151" w:rsidRPr="00EE4AD6">
        <w:rPr>
          <w:rFonts w:ascii="Calibri" w:hAnsi="Calibri" w:cs="Calibri"/>
          <w:bCs/>
          <w:szCs w:val="24"/>
        </w:rPr>
        <w:t xml:space="preserve">, np. składając 3 wnioski </w:t>
      </w:r>
      <w:r w:rsidR="00D56E55" w:rsidRPr="00EE4AD6">
        <w:rPr>
          <w:rFonts w:ascii="Calibri" w:hAnsi="Calibri" w:cs="Calibri"/>
          <w:bCs/>
          <w:szCs w:val="24"/>
        </w:rPr>
        <w:t>scenariusz bazowy dla ostatniego musi zawierać również dane z projektu 1 oraz projektu 2.</w:t>
      </w:r>
    </w:p>
    <w:p w14:paraId="6CF23402" w14:textId="61666F4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 xml:space="preserve">Zgodnie z Zasadami oceny przedsięwzięć, Beneficjent może objąć zasięgiem nie więcej niż 85% liczby punktów adresowych wykazanych w naborze dla danego obszaru konkursowego. Mając na uwadze powyższe, uprzejmie proszę o informację w jaki sposób należy wyliczyć maksymalną wartość dofinansowania oraz wartości poszczególnych stawek jednostkowych dla punktów adresowych </w:t>
      </w:r>
      <w:r w:rsidR="00AA57A5" w:rsidRPr="00EE4AD6">
        <w:rPr>
          <w:rFonts w:ascii="Calibri" w:hAnsi="Calibri" w:cs="Calibri"/>
          <w:b/>
          <w:szCs w:val="24"/>
        </w:rPr>
        <w:t xml:space="preserve">na </w:t>
      </w:r>
      <w:r w:rsidRPr="00EE4AD6">
        <w:rPr>
          <w:rFonts w:ascii="Calibri" w:hAnsi="Calibri" w:cs="Calibri"/>
          <w:b/>
          <w:szCs w:val="24"/>
        </w:rPr>
        <w:t xml:space="preserve">danym obszarze konkursowym? Jeżeli to możliwe, proszę o udzielenie wyjaśnień na przykładzie konkretnego obszaru (np. 6.02.03.1 lub inny, dowolnie przez Państwa wybrany obszar). </w:t>
      </w:r>
    </w:p>
    <w:p w14:paraId="22C22864" w14:textId="77777777" w:rsidR="007221DB" w:rsidRPr="00EE4AD6" w:rsidRDefault="007221DB" w:rsidP="00EE4AD6">
      <w:pPr>
        <w:pStyle w:val="Akapitzlist"/>
        <w:ind w:left="284"/>
        <w:contextualSpacing w:val="0"/>
        <w:rPr>
          <w:rFonts w:ascii="Calibri" w:hAnsi="Calibri" w:cs="Calibri"/>
          <w:b/>
          <w:szCs w:val="24"/>
        </w:rPr>
      </w:pPr>
      <w:r w:rsidRPr="00EE4AD6">
        <w:rPr>
          <w:rFonts w:ascii="Calibri" w:hAnsi="Calibri" w:cs="Calibri"/>
          <w:b/>
          <w:szCs w:val="24"/>
        </w:rPr>
        <w:t>Wskazuję jednocześnie, że zgodnie z Regulaminem (§3 ust. 5) maksymalny poziom dofinansowania UE w Przedsięwzięciu wynosi 90% kwoty wydatków kwalifikowanych, natomiast zgodnie z Zał. 9 do Regulaminu „Wyciąg z metodyki stawek jednostkowych” (pkt. 2): Maksymalny poziom objęcia przedsięwzięcia wsparciem kosztów kwalifikowalnych wynosi 79,71% sumy wartości stawek jednostkowych, tj. stawka jednostkowa x intensywność pomocy (79,71%). Mając na uwadze, że wartość całego dofinansowania na obszar konkursowy ustalana jest w oparciu o stawki jednostkowe dla poszczególnych PA, uprzejmie proszę o wyjaśnienie skąd wynika różnica w określeniu poziomu maksymalnego dofinansowania? "</w:t>
      </w:r>
    </w:p>
    <w:p w14:paraId="0F15BF89" w14:textId="77777777" w:rsidR="00DD3387" w:rsidRPr="00EE4AD6" w:rsidRDefault="00DD3387" w:rsidP="00EE4AD6">
      <w:pPr>
        <w:pStyle w:val="Akapitzlist"/>
        <w:ind w:left="284"/>
        <w:rPr>
          <w:rFonts w:ascii="Calibri" w:hAnsi="Calibri" w:cs="Calibri"/>
          <w:bCs/>
          <w:szCs w:val="24"/>
        </w:rPr>
      </w:pPr>
      <w:r w:rsidRPr="00EE4AD6">
        <w:rPr>
          <w:rFonts w:ascii="Calibri" w:hAnsi="Calibri" w:cs="Calibri"/>
          <w:bCs/>
          <w:szCs w:val="24"/>
        </w:rPr>
        <w:t>Potwierdzamy, że maksymalny poziom dofinansowania w naborze wynosi 90%.</w:t>
      </w:r>
    </w:p>
    <w:p w14:paraId="50619A46" w14:textId="77777777" w:rsidR="00DD3387" w:rsidRPr="00EE4AD6" w:rsidRDefault="00DD3387" w:rsidP="00EE4AD6">
      <w:pPr>
        <w:pStyle w:val="Akapitzlist"/>
        <w:ind w:left="284"/>
        <w:rPr>
          <w:rFonts w:ascii="Calibri" w:hAnsi="Calibri" w:cs="Calibri"/>
          <w:bCs/>
          <w:szCs w:val="24"/>
        </w:rPr>
      </w:pPr>
      <w:r w:rsidRPr="00EE4AD6">
        <w:rPr>
          <w:rFonts w:ascii="Calibri" w:hAnsi="Calibri" w:cs="Calibri"/>
          <w:bCs/>
          <w:szCs w:val="24"/>
        </w:rPr>
        <w:lastRenderedPageBreak/>
        <w:t>Maksymalna łączna wartość inwestycji oraz maksymalna łączna wartość wsparcia (90%) podane są w dokumencie stanowiącym załącznik nr 8 do Regulaminu wyboru (Lista obszarów konkursowych). Dla obszaru 6.02.03.1 maksymalna wartość inwestycji wynosi 5 880 000,00 zł, a maksymalna wartość dofinansowania (90%) wynosi 5 292 000,00 zł.</w:t>
      </w:r>
    </w:p>
    <w:p w14:paraId="4B684F6A" w14:textId="77777777" w:rsidR="00DD3387" w:rsidRPr="00EE4AD6" w:rsidRDefault="00DD3387" w:rsidP="00EE4AD6">
      <w:pPr>
        <w:pStyle w:val="Akapitzlist"/>
        <w:ind w:left="284"/>
        <w:rPr>
          <w:rFonts w:ascii="Calibri" w:hAnsi="Calibri" w:cs="Calibri"/>
          <w:bCs/>
          <w:szCs w:val="24"/>
        </w:rPr>
      </w:pPr>
      <w:r w:rsidRPr="00EE4AD6">
        <w:rPr>
          <w:rFonts w:ascii="Calibri" w:hAnsi="Calibri" w:cs="Calibri"/>
          <w:bCs/>
          <w:szCs w:val="24"/>
        </w:rPr>
        <w:t>W aktualnym naborze Wnioskodawca zobowiązany jest zadeklarować objęcie zasięgiem sieci min. 75% liczby punktów adresowych wskazanych na danym obszarze, lecz nie więcej niż 85%. Na obszarze 6.02.03.1 liczba punktów wynosi 1648 co oznacza, że należy zadeklarować objęcie zasięgiem min. 1236 punktów, ale nie więcej niż 1400 punktów.</w:t>
      </w:r>
    </w:p>
    <w:p w14:paraId="7BBB6321" w14:textId="77777777" w:rsidR="00DD3387" w:rsidRPr="00EE4AD6" w:rsidRDefault="00DD3387" w:rsidP="00EE4AD6">
      <w:pPr>
        <w:pStyle w:val="Akapitzlist"/>
        <w:ind w:left="284"/>
        <w:rPr>
          <w:rFonts w:ascii="Calibri" w:hAnsi="Calibri" w:cs="Calibri"/>
          <w:bCs/>
          <w:szCs w:val="24"/>
        </w:rPr>
      </w:pPr>
      <w:r w:rsidRPr="00EE4AD6">
        <w:rPr>
          <w:rFonts w:ascii="Calibri" w:hAnsi="Calibri" w:cs="Calibri"/>
          <w:bCs/>
          <w:szCs w:val="24"/>
        </w:rPr>
        <w:t>Na stronie internetowej naboru dostępne są do pobrania spakowane pliki w formacie csv lub xls dla każdego obszaru konkursowego. Wskazano w nich takie informacje jak adresy, współrzędne geograficzne, liczba lokali, kategorie stawek i kwoty stawek jednostkowych określonych dla każdego punktu adresowego.</w:t>
      </w:r>
    </w:p>
    <w:p w14:paraId="5ED6F015" w14:textId="77777777" w:rsidR="00DD3387" w:rsidRPr="00EE4AD6" w:rsidRDefault="00DD3387" w:rsidP="00EE4AD6">
      <w:pPr>
        <w:pStyle w:val="Akapitzlist"/>
        <w:ind w:left="284"/>
        <w:rPr>
          <w:rFonts w:ascii="Calibri" w:hAnsi="Calibri" w:cs="Calibri"/>
          <w:bCs/>
          <w:szCs w:val="24"/>
        </w:rPr>
      </w:pPr>
      <w:r w:rsidRPr="00EE4AD6">
        <w:rPr>
          <w:rFonts w:ascii="Calibri" w:hAnsi="Calibri" w:cs="Calibri"/>
          <w:bCs/>
          <w:szCs w:val="24"/>
        </w:rPr>
        <w:t>Dla naboru przyjęto uśrednioną stawkę jednostkową w wysokości 5 018,16 zł. Wnioskodawca może zadeklarować minimalizację wkładu publicznego o nie więcej niż 10% uśrednionej stawki.</w:t>
      </w:r>
    </w:p>
    <w:p w14:paraId="76C542A6" w14:textId="77777777" w:rsidR="00DD3387" w:rsidRPr="00EE4AD6" w:rsidRDefault="00DD3387" w:rsidP="00EE4AD6">
      <w:pPr>
        <w:pStyle w:val="Akapitzlist"/>
        <w:ind w:left="284"/>
        <w:rPr>
          <w:rFonts w:ascii="Calibri" w:hAnsi="Calibri" w:cs="Calibri"/>
          <w:bCs/>
          <w:szCs w:val="24"/>
        </w:rPr>
      </w:pPr>
      <w:r w:rsidRPr="00EE4AD6">
        <w:rPr>
          <w:rFonts w:ascii="Calibri" w:hAnsi="Calibri" w:cs="Calibri"/>
          <w:bCs/>
          <w:szCs w:val="24"/>
        </w:rPr>
        <w:t>Stawka podana przez Wnioskodawcę służy obliczeniu współczynnika obniżenia ceny. Jeżeli wnioskodawca zadeklaruje stawkę np. 4 800,00 zł, współczynnik obniżenia wyniesie 0,96 (4 800 / 5 018,16 = 0,96).</w:t>
      </w:r>
    </w:p>
    <w:p w14:paraId="089ABF29" w14:textId="77777777" w:rsidR="00DD3387" w:rsidRPr="00EE4AD6" w:rsidRDefault="00DD3387" w:rsidP="00EE4AD6">
      <w:pPr>
        <w:pStyle w:val="Akapitzlist"/>
        <w:ind w:left="284"/>
        <w:rPr>
          <w:rFonts w:ascii="Calibri" w:hAnsi="Calibri" w:cs="Calibri"/>
          <w:bCs/>
          <w:szCs w:val="24"/>
        </w:rPr>
      </w:pPr>
      <w:r w:rsidRPr="00EE4AD6">
        <w:rPr>
          <w:rFonts w:ascii="Calibri" w:hAnsi="Calibri" w:cs="Calibri"/>
          <w:bCs/>
          <w:szCs w:val="24"/>
        </w:rPr>
        <w:t>Stawka jednostkowa dla kategorii nr 1 wynosi 500,00 zł. Kwota dofinansowania dla jednego punktu adresowego z kategorii nr 1 wyniesie 500 x 0,96 x 90% = 432,00 zł.</w:t>
      </w:r>
    </w:p>
    <w:p w14:paraId="2B062EDF" w14:textId="33A44E41" w:rsidR="00DD3387" w:rsidRPr="00EE4AD6" w:rsidRDefault="00DD3387" w:rsidP="00EE4AD6">
      <w:pPr>
        <w:pStyle w:val="Akapitzlist"/>
        <w:ind w:left="284"/>
        <w:contextualSpacing w:val="0"/>
        <w:rPr>
          <w:rFonts w:ascii="Calibri" w:hAnsi="Calibri" w:cs="Calibri"/>
          <w:bCs/>
          <w:szCs w:val="24"/>
        </w:rPr>
      </w:pPr>
      <w:r w:rsidRPr="00EE4AD6">
        <w:rPr>
          <w:rFonts w:ascii="Calibri" w:hAnsi="Calibri" w:cs="Calibri"/>
          <w:bCs/>
          <w:szCs w:val="24"/>
        </w:rPr>
        <w:t>Kwota dofinansowania jest przeliczana we wniosku w sposób automatyczny po podaniu przez Wnioskodawcę stawki jednostkowej oraz liczby punktów adresowych, które zamierza objąć zasięgiem sieci.</w:t>
      </w:r>
    </w:p>
    <w:p w14:paraId="0D943AF4" w14:textId="604A7FAE" w:rsidR="007221DB" w:rsidRPr="00EE4AD6" w:rsidRDefault="00E10293"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 xml:space="preserve">W </w:t>
      </w:r>
      <w:r w:rsidR="007221DB" w:rsidRPr="00EE4AD6">
        <w:rPr>
          <w:rFonts w:ascii="Calibri" w:hAnsi="Calibri" w:cs="Calibri"/>
          <w:b/>
          <w:szCs w:val="24"/>
        </w:rPr>
        <w:t xml:space="preserve">jaki sposób wykonać analizę finansową w przypadku podmiotów niezobowiązanych do prowadzenia pełnej księgowości? Chodzi mi o spółki cywilne, jednoosobowe działalności gospodarcze i niektóre spółki jawne. Nie posiadają one danych historycznych w wariancie bilansu i RZiS, a z naszego doświadczenia opracowanie ich stanowi znaczący nakład pracy </w:t>
      </w:r>
      <w:r w:rsidR="007221DB" w:rsidRPr="00EE4AD6">
        <w:rPr>
          <w:rFonts w:ascii="Calibri" w:hAnsi="Calibri" w:cs="Calibri"/>
          <w:b/>
          <w:szCs w:val="24"/>
        </w:rPr>
        <w:lastRenderedPageBreak/>
        <w:t>i wykonywane jest m.in. przez wyspecjalizowane (i kosztowne) podmioty np</w:t>
      </w:r>
      <w:r w:rsidR="001D0690" w:rsidRPr="00EE4AD6">
        <w:rPr>
          <w:rFonts w:ascii="Calibri" w:hAnsi="Calibri" w:cs="Calibri"/>
          <w:b/>
          <w:szCs w:val="24"/>
        </w:rPr>
        <w:t>.</w:t>
      </w:r>
      <w:r w:rsidR="007221DB" w:rsidRPr="00EE4AD6">
        <w:rPr>
          <w:rFonts w:ascii="Calibri" w:hAnsi="Calibri" w:cs="Calibri"/>
          <w:b/>
          <w:szCs w:val="24"/>
        </w:rPr>
        <w:t xml:space="preserve"> na potrzeby przekształceń w spółki prawa handlowego.</w:t>
      </w:r>
    </w:p>
    <w:p w14:paraId="16574FAF" w14:textId="77777777" w:rsidR="00D702CF" w:rsidRPr="00EE4AD6" w:rsidRDefault="00D702CF" w:rsidP="00EE4AD6">
      <w:pPr>
        <w:pStyle w:val="Akapitzlist"/>
        <w:ind w:left="284"/>
        <w:rPr>
          <w:rFonts w:ascii="Calibri" w:hAnsi="Calibri" w:cs="Calibri"/>
          <w:bCs/>
          <w:szCs w:val="24"/>
        </w:rPr>
      </w:pPr>
      <w:r w:rsidRPr="00EE4AD6">
        <w:rPr>
          <w:rFonts w:ascii="Calibri" w:hAnsi="Calibri" w:cs="Calibri"/>
          <w:bCs/>
          <w:szCs w:val="24"/>
        </w:rPr>
        <w:t xml:space="preserve">Analiza finansowa dla podmiotów niezobowiązanych do prowadzenia pełnej księgowości, takich jak spółki cywilne, jednoosobowe działalności gospodarcze i niektóre spółki jawne, opiera się na rachunku przepływów pieniężnych, przygotowywanym na podstawie uproszczonych bilansów i rachunków zysków i strat zgodnie z ustawą o rachunkowości z dnia 29 września 1994 r. Wymaga to stworzenia scenariuszy bazowego i referencyjnych, uwzględniając dane historyczne z ostatnich trzech lat oraz prognozy finansowe, co pozwala na ocenę sytuacji finansowej i wykonalności projektu.  </w:t>
      </w:r>
    </w:p>
    <w:p w14:paraId="664A8CAE" w14:textId="2BE45ED1" w:rsidR="00B70D01" w:rsidRPr="00EE4AD6" w:rsidRDefault="00D702CF" w:rsidP="00EE4AD6">
      <w:pPr>
        <w:pStyle w:val="Akapitzlist"/>
        <w:ind w:left="284"/>
        <w:contextualSpacing w:val="0"/>
        <w:rPr>
          <w:rFonts w:ascii="Calibri" w:hAnsi="Calibri" w:cs="Calibri"/>
          <w:bCs/>
          <w:szCs w:val="24"/>
        </w:rPr>
      </w:pPr>
      <w:r w:rsidRPr="00EE4AD6">
        <w:rPr>
          <w:rFonts w:ascii="Calibri" w:hAnsi="Calibri" w:cs="Calibri"/>
          <w:bCs/>
          <w:szCs w:val="24"/>
        </w:rPr>
        <w:t>W celu poprawnego przygotowania załącznika wnioskodawca może zlecić przygotowanie danych osobom zajmującym się sprawami rachunkowymi / księgowymi firmy. Należy pamiętać, że prawdziwość podanych danych finansowych potwierdzają osoby upełnomocnione do reprezentacji podmiotu oraz główny księgowy Wnioskodawcy (ewentualnie osoba upoważniona do reprezentowania biura księgowego), czyli osoba odpowiadająca za przygotowanie finansowych i księgowych danych pierwotnych do sprawozdań finansowych Wnioskodawcy.</w:t>
      </w:r>
    </w:p>
    <w:p w14:paraId="50242573" w14:textId="5F7DD22F"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W jaki sposób powinien zostać wypełniony załącznik nr 8 do wniosku o dofinansowanie (Załącznik finansowy) w przypadku wnioskodawcy, który nie prowadzi pełniej księgowości (np. jest przedsiębiorcą prowadzącym jednoosobową działalność gospodarczą)?</w:t>
      </w:r>
    </w:p>
    <w:p w14:paraId="2FA955F6" w14:textId="7F922798" w:rsidR="0039104C" w:rsidRPr="00EE4AD6" w:rsidRDefault="0039104C" w:rsidP="00EE4AD6">
      <w:pPr>
        <w:pStyle w:val="Akapitzlist"/>
        <w:ind w:left="284"/>
        <w:rPr>
          <w:rFonts w:ascii="Calibri" w:hAnsi="Calibri" w:cs="Calibri"/>
          <w:bCs/>
          <w:szCs w:val="24"/>
        </w:rPr>
      </w:pPr>
      <w:r w:rsidRPr="00EE4AD6">
        <w:rPr>
          <w:rFonts w:ascii="Calibri" w:hAnsi="Calibri" w:cs="Calibri"/>
          <w:bCs/>
          <w:szCs w:val="24"/>
        </w:rPr>
        <w:t xml:space="preserve">Wypełniając załącznik nr 8 do wniosku o dofinansowanie wnioskodawca prowadzący jednoosobową działalność gospodarczą, nie zobowiązany do prowadzenia pełnej księgowości powinien opierać się na rachunku przepływów pieniężnych, przygotowywanym na podstawie uproszczonych bilansów i rachunków zysków i strat zgodnie z ustawą o rachunkowości z dnia 29 września 1994 r. Wymaga to stworzenia scenariuszy bazowego i </w:t>
      </w:r>
      <w:r w:rsidRPr="00EE4AD6">
        <w:rPr>
          <w:rFonts w:ascii="Calibri" w:hAnsi="Calibri" w:cs="Calibri"/>
          <w:bCs/>
          <w:szCs w:val="24"/>
        </w:rPr>
        <w:lastRenderedPageBreak/>
        <w:t>referencyjnych, uwzględniając dane historyczne z ostatnich trzech lat oraz prognozy finansowe, co pozwala na ocenę sytuacji finansowej i wykonalności projektu.</w:t>
      </w:r>
    </w:p>
    <w:p w14:paraId="1F2A68AF" w14:textId="0E5396C9" w:rsidR="0039104C" w:rsidRPr="00EE4AD6" w:rsidRDefault="0039104C" w:rsidP="00EE4AD6">
      <w:pPr>
        <w:pStyle w:val="Akapitzlist"/>
        <w:ind w:left="284"/>
        <w:contextualSpacing w:val="0"/>
        <w:rPr>
          <w:rFonts w:ascii="Calibri" w:hAnsi="Calibri" w:cs="Calibri"/>
          <w:bCs/>
          <w:szCs w:val="24"/>
        </w:rPr>
      </w:pPr>
      <w:r w:rsidRPr="00EE4AD6">
        <w:rPr>
          <w:rFonts w:ascii="Calibri" w:hAnsi="Calibri" w:cs="Calibri"/>
          <w:bCs/>
          <w:szCs w:val="24"/>
        </w:rPr>
        <w:t>W celu poprawnego przygotowania załącznika wnioskodawca może zlecić przygotowanie danych osobom zajmującym się sprawami rachunkowymi / księgowymi firmy. Należy pamiętać, że prawdziwość podanych danych finansowych potwierdzają osoby upełnomocnione do reprezentacji podmiotu oraz główny księgowy Wnioskodawcy (ewentualnie osoba upoważniona do reprezentowania biura księgowego), czyli osoba odpowiadająca za przygotowanie finansowych i księgowych danych pierwotnych do sprawozdań finansowych Wnioskodawcy.</w:t>
      </w:r>
    </w:p>
    <w:p w14:paraId="3EC19924" w14:textId="11AFA74A"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Co w sytuacji</w:t>
      </w:r>
      <w:r w:rsidR="00351F31" w:rsidRPr="00EE4AD6">
        <w:rPr>
          <w:rFonts w:ascii="Calibri" w:hAnsi="Calibri" w:cs="Calibri"/>
          <w:b/>
          <w:szCs w:val="24"/>
        </w:rPr>
        <w:t>,</w:t>
      </w:r>
      <w:r w:rsidRPr="00EE4AD6">
        <w:rPr>
          <w:rFonts w:ascii="Calibri" w:hAnsi="Calibri" w:cs="Calibri"/>
          <w:b/>
          <w:szCs w:val="24"/>
        </w:rPr>
        <w:t xml:space="preserve"> kiedy zrealizujemy 30% wskaźników – punktów adresowych założonych we wniosku</w:t>
      </w:r>
      <w:r w:rsidR="00AE5D33" w:rsidRPr="00EE4AD6">
        <w:rPr>
          <w:rFonts w:ascii="Calibri" w:hAnsi="Calibri" w:cs="Calibri"/>
          <w:b/>
          <w:szCs w:val="24"/>
        </w:rPr>
        <w:t>?</w:t>
      </w:r>
      <w:r w:rsidR="00351F31" w:rsidRPr="00EE4AD6">
        <w:rPr>
          <w:rFonts w:ascii="Calibri" w:hAnsi="Calibri" w:cs="Calibri"/>
          <w:b/>
          <w:szCs w:val="24"/>
        </w:rPr>
        <w:t xml:space="preserve"> </w:t>
      </w:r>
      <w:r w:rsidRPr="00EE4AD6">
        <w:rPr>
          <w:rFonts w:ascii="Calibri" w:hAnsi="Calibri" w:cs="Calibri"/>
          <w:b/>
          <w:szCs w:val="24"/>
        </w:rPr>
        <w:t>Czy dotacja będzie do zwrotu</w:t>
      </w:r>
      <w:r w:rsidR="00AE5D33" w:rsidRPr="00EE4AD6">
        <w:rPr>
          <w:rFonts w:ascii="Calibri" w:hAnsi="Calibri" w:cs="Calibri"/>
          <w:b/>
          <w:szCs w:val="24"/>
        </w:rPr>
        <w:t>?</w:t>
      </w:r>
    </w:p>
    <w:p w14:paraId="092D52FE" w14:textId="216CB3F3" w:rsidR="006203A1" w:rsidRPr="00EE4AD6" w:rsidRDefault="006203A1" w:rsidP="00EE4AD6">
      <w:pPr>
        <w:pStyle w:val="Akapitzlist"/>
        <w:ind w:left="284"/>
        <w:rPr>
          <w:rFonts w:ascii="Calibri" w:hAnsi="Calibri" w:cs="Calibri"/>
          <w:bCs/>
          <w:szCs w:val="24"/>
        </w:rPr>
      </w:pPr>
      <w:r w:rsidRPr="00EE4AD6">
        <w:rPr>
          <w:rFonts w:ascii="Calibri" w:hAnsi="Calibri" w:cs="Calibri"/>
          <w:bCs/>
          <w:szCs w:val="24"/>
        </w:rPr>
        <w:t xml:space="preserve">W przypadku realizacji tylko 30% wskaźników – punktów adresowych założonych we wniosku, skutkującego nieosiągnięciem założonych celów przedsięwzięcia, należy liczyć się z koniecznością zwrotu dofinansowania. </w:t>
      </w:r>
    </w:p>
    <w:p w14:paraId="5F8BDAD3" w14:textId="27B7F840" w:rsidR="006203A1" w:rsidRPr="00EE4AD6" w:rsidRDefault="006203A1" w:rsidP="00EE4AD6">
      <w:pPr>
        <w:pStyle w:val="Akapitzlist"/>
        <w:ind w:left="284"/>
        <w:rPr>
          <w:rFonts w:ascii="Calibri" w:hAnsi="Calibri" w:cs="Calibri"/>
          <w:bCs/>
          <w:szCs w:val="24"/>
        </w:rPr>
      </w:pPr>
      <w:r w:rsidRPr="00EE4AD6">
        <w:rPr>
          <w:rFonts w:ascii="Calibri" w:hAnsi="Calibri" w:cs="Calibri"/>
          <w:bCs/>
          <w:szCs w:val="24"/>
        </w:rPr>
        <w:t>Zgodnie z §5 ust. 4 umowy, ostateczny odbiorca wsparcia zobowiązany jest do objęcia zasięgiem szerokopasmowego dostępu do internetu liczby punktów adresowych zadeklarowanych we Wniosku. Niewykonanie całości przedsięwzięcia może skutkować konsekwencjami opisanymi w dalszych postanowieniach umowy.</w:t>
      </w:r>
    </w:p>
    <w:p w14:paraId="1E49A265" w14:textId="1356AC5E" w:rsidR="006203A1" w:rsidRPr="00EE4AD6" w:rsidRDefault="006203A1" w:rsidP="00EE4AD6">
      <w:pPr>
        <w:pStyle w:val="Akapitzlist"/>
        <w:ind w:left="284"/>
        <w:contextualSpacing w:val="0"/>
        <w:rPr>
          <w:rFonts w:ascii="Calibri" w:hAnsi="Calibri" w:cs="Calibri"/>
          <w:bCs/>
          <w:szCs w:val="24"/>
        </w:rPr>
      </w:pPr>
      <w:r w:rsidRPr="00EE4AD6">
        <w:rPr>
          <w:rFonts w:ascii="Calibri" w:hAnsi="Calibri" w:cs="Calibri"/>
          <w:bCs/>
          <w:szCs w:val="24"/>
        </w:rPr>
        <w:t>Zgodnie z §23 ust. 1 umowy, w przypadku rozwiązania umowy z powodów przedstawionych w §22, ostateczny odbiorca wsparcia będzie zobowiązany do zwrotu całości otrzymanego dofinansowania wraz z odsetkami.</w:t>
      </w:r>
    </w:p>
    <w:p w14:paraId="241CE29B" w14:textId="1C49CD88" w:rsidR="007221DB" w:rsidRPr="00EE4AD6" w:rsidRDefault="00351F31"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w:t>
      </w:r>
      <w:r w:rsidR="007221DB" w:rsidRPr="00EE4AD6">
        <w:rPr>
          <w:rFonts w:ascii="Calibri" w:hAnsi="Calibri" w:cs="Calibri"/>
          <w:b/>
          <w:szCs w:val="24"/>
        </w:rPr>
        <w:t>hciałbym spytać w jaki sposób należy udokumentować doświadczenie w sytuacji, gdy firma budowała sieć za pomocą własnych pracowników?</w:t>
      </w:r>
    </w:p>
    <w:p w14:paraId="032E16B3" w14:textId="1FB4E984" w:rsidR="007221DB" w:rsidRPr="00EE4AD6" w:rsidRDefault="007221DB" w:rsidP="00EE4AD6">
      <w:pPr>
        <w:pStyle w:val="Akapitzlist"/>
        <w:ind w:left="284"/>
        <w:contextualSpacing w:val="0"/>
        <w:rPr>
          <w:rFonts w:ascii="Calibri" w:hAnsi="Calibri" w:cs="Calibri"/>
          <w:b/>
          <w:szCs w:val="24"/>
        </w:rPr>
      </w:pPr>
      <w:r w:rsidRPr="00EE4AD6">
        <w:rPr>
          <w:rFonts w:ascii="Calibri" w:hAnsi="Calibri" w:cs="Calibri"/>
          <w:b/>
          <w:szCs w:val="24"/>
        </w:rPr>
        <w:t>Chciałbym się też upewnić czy minimalna wartość dotycząca Punktów Adresowych (75%) odnosi się do liczby czy wartości?</w:t>
      </w:r>
    </w:p>
    <w:p w14:paraId="0F95AE86" w14:textId="77777777" w:rsidR="00372F69" w:rsidRPr="00EE4AD6" w:rsidRDefault="00372F69" w:rsidP="00EE4AD6">
      <w:pPr>
        <w:pStyle w:val="Akapitzlist"/>
        <w:ind w:left="284"/>
        <w:rPr>
          <w:rFonts w:ascii="Calibri" w:hAnsi="Calibri" w:cs="Calibri"/>
          <w:bCs/>
          <w:szCs w:val="24"/>
        </w:rPr>
      </w:pPr>
      <w:r w:rsidRPr="00EE4AD6">
        <w:rPr>
          <w:rFonts w:ascii="Calibri" w:hAnsi="Calibri" w:cs="Calibri"/>
          <w:bCs/>
          <w:szCs w:val="24"/>
        </w:rPr>
        <w:lastRenderedPageBreak/>
        <w:t xml:space="preserve">W przypadku realizacji prac zasobami własnymi należy zadbać o właściwą ścieżkę audytu. Powinny zostać opracowane i wystawiane m.in. takie dokumenty jak: </w:t>
      </w:r>
    </w:p>
    <w:p w14:paraId="7C5506B2" w14:textId="77777777" w:rsidR="00372F69" w:rsidRPr="00EE4AD6" w:rsidRDefault="00372F69" w:rsidP="00EE4AD6">
      <w:pPr>
        <w:pStyle w:val="Akapitzlist"/>
        <w:ind w:left="284" w:hanging="510"/>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 xml:space="preserve">protokoły wydania materiałów z magazynu, </w:t>
      </w:r>
    </w:p>
    <w:p w14:paraId="64EEC775" w14:textId="77777777" w:rsidR="00372F69" w:rsidRPr="00EE4AD6" w:rsidRDefault="00372F69" w:rsidP="00EE4AD6">
      <w:pPr>
        <w:pStyle w:val="Akapitzlist"/>
        <w:ind w:left="284" w:hanging="510"/>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 xml:space="preserve">protokoły zlecenia prac – z uwzględnieniem danych adresów, odcinka długości sieci etc. </w:t>
      </w:r>
    </w:p>
    <w:p w14:paraId="3766C9D1" w14:textId="77777777" w:rsidR="00372F69" w:rsidRPr="00EE4AD6" w:rsidRDefault="00372F69" w:rsidP="00EE4AD6">
      <w:pPr>
        <w:pStyle w:val="Akapitzlist"/>
        <w:ind w:left="284" w:hanging="510"/>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protokoły odbioru prac, w tym protokoły przeprowadzenia odbiorów jakości sieci oraz inne dokumenty zewnętrzne</w:t>
      </w:r>
    </w:p>
    <w:p w14:paraId="7D59297E" w14:textId="77777777" w:rsidR="00372F69" w:rsidRPr="00EE4AD6" w:rsidRDefault="00372F69" w:rsidP="00EE4AD6">
      <w:pPr>
        <w:pStyle w:val="Akapitzlist"/>
        <w:ind w:left="284" w:hanging="510"/>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dokumentacja powykonawcza,</w:t>
      </w:r>
    </w:p>
    <w:p w14:paraId="6099CD6B" w14:textId="77777777" w:rsidR="00372F69" w:rsidRPr="00EE4AD6" w:rsidRDefault="00372F69" w:rsidP="00EE4AD6">
      <w:pPr>
        <w:pStyle w:val="Akapitzlist"/>
        <w:ind w:left="284" w:hanging="510"/>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 xml:space="preserve">oświadczenia geodety o zgłoszeniu do zasobów, </w:t>
      </w:r>
    </w:p>
    <w:p w14:paraId="076A6B73" w14:textId="77777777" w:rsidR="00372F69" w:rsidRPr="00EE4AD6" w:rsidRDefault="00372F69" w:rsidP="00EE4AD6">
      <w:pPr>
        <w:pStyle w:val="Akapitzlist"/>
        <w:ind w:left="284" w:hanging="510"/>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 xml:space="preserve">dokumentacja odbiorowa od właściciela słupów (w przypadku infrastruktury napowietrznej), </w:t>
      </w:r>
    </w:p>
    <w:p w14:paraId="62C5877C" w14:textId="390B3310" w:rsidR="0058678B" w:rsidRPr="00EE4AD6" w:rsidRDefault="00372F69" w:rsidP="00EE4AD6">
      <w:pPr>
        <w:pStyle w:val="Akapitzlist"/>
        <w:ind w:left="284" w:hanging="510"/>
        <w:contextualSpacing w:val="0"/>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przyjęcie środka trwałego (dla kolejnych etapów może być to środek trwały w budowie).</w:t>
      </w:r>
    </w:p>
    <w:p w14:paraId="7E09148D" w14:textId="668300BC" w:rsidR="00372F69" w:rsidRPr="00EE4AD6" w:rsidRDefault="00372F69" w:rsidP="00EE4AD6">
      <w:pPr>
        <w:pStyle w:val="Akapitzlist"/>
        <w:ind w:left="284"/>
        <w:contextualSpacing w:val="0"/>
        <w:rPr>
          <w:rFonts w:ascii="Calibri" w:hAnsi="Calibri" w:cs="Calibri"/>
          <w:bCs/>
          <w:szCs w:val="24"/>
        </w:rPr>
      </w:pPr>
      <w:r w:rsidRPr="00EE4AD6">
        <w:rPr>
          <w:rFonts w:ascii="Calibri" w:hAnsi="Calibri" w:cs="Calibri"/>
          <w:bCs/>
          <w:szCs w:val="24"/>
        </w:rPr>
        <w:t>Wnioskodawca zobowiązany jest zadeklarować objęcie zasięgiem sieci NGA w ramach wniosku minimum 75% liczby punktów adresowych, które zostały określone dla danego obszaru konkursowego. Informacje na ten temat zostały przedstawione m.in. w dokumencie "Zasady oceny Przedsięwzięć w Inwestycji C1.1.1.", w kryterium merytorycznym nr 11.</w:t>
      </w:r>
    </w:p>
    <w:p w14:paraId="4F15AE76" w14:textId="7777777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Jeżeli na tym etapie nie ma możliwości ingerencji w listy obszarów konkursowych, to czy powstanie lista rezerwowa bądź planowany jest 4. konkurs, w którym mój punkt adresowy może być ujęty?</w:t>
      </w:r>
    </w:p>
    <w:p w14:paraId="3AD2A06A" w14:textId="2698DAF1" w:rsidR="00A51448" w:rsidRPr="00EE4AD6" w:rsidRDefault="00A51448" w:rsidP="00EE4AD6">
      <w:pPr>
        <w:pStyle w:val="Akapitzlist"/>
        <w:ind w:left="284"/>
        <w:contextualSpacing w:val="0"/>
        <w:rPr>
          <w:rFonts w:ascii="Calibri" w:hAnsi="Calibri" w:cs="Calibri"/>
          <w:bCs/>
          <w:szCs w:val="24"/>
        </w:rPr>
      </w:pPr>
      <w:r w:rsidRPr="00EE4AD6">
        <w:rPr>
          <w:rFonts w:ascii="Calibri" w:hAnsi="Calibri" w:cs="Calibri"/>
          <w:bCs/>
          <w:szCs w:val="24"/>
        </w:rPr>
        <w:t>Na chwilę obecną nie planujemy przeprowadzenia kolejnego naboru ani utworzenia listy rezerwowej.</w:t>
      </w:r>
    </w:p>
    <w:p w14:paraId="659F45BC" w14:textId="69F1C8F3" w:rsidR="007221DB" w:rsidRPr="00EE4AD6" w:rsidRDefault="007760E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w:t>
      </w:r>
      <w:r w:rsidR="007221DB" w:rsidRPr="00EE4AD6">
        <w:rPr>
          <w:rFonts w:ascii="Calibri" w:hAnsi="Calibri" w:cs="Calibri"/>
          <w:b/>
          <w:szCs w:val="24"/>
        </w:rPr>
        <w:t xml:space="preserve"> Załącznik nr 8 do wniosku o dofinansowanie („Załącznik finansowy”) może być oparty na sprawozdaniach skonsolidowanych? </w:t>
      </w:r>
    </w:p>
    <w:p w14:paraId="7211CF5F" w14:textId="100D7839" w:rsidR="00A87D5C" w:rsidRPr="00EE4AD6" w:rsidRDefault="00331DC2" w:rsidP="00EE4AD6">
      <w:pPr>
        <w:ind w:left="284"/>
        <w:rPr>
          <w:rFonts w:ascii="Calibri" w:hAnsi="Calibri" w:cs="Calibri"/>
          <w:bCs/>
          <w:szCs w:val="24"/>
          <w:highlight w:val="yellow"/>
        </w:rPr>
      </w:pPr>
      <w:r w:rsidRPr="00EE4AD6">
        <w:rPr>
          <w:rFonts w:ascii="Calibri" w:hAnsi="Calibri" w:cs="Calibri"/>
          <w:bCs/>
          <w:szCs w:val="24"/>
        </w:rPr>
        <w:t>Załącznik nr 8 do Wniosku o dofinansowanie może być oparty na sprawozdaniach skonsolidowanych.</w:t>
      </w:r>
    </w:p>
    <w:p w14:paraId="2A432719" w14:textId="6D7745D4"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lastRenderedPageBreak/>
        <w:t>Czy tym razem system przewiduje zapisanie wniosku w wersji roboczej i mo</w:t>
      </w:r>
      <w:r w:rsidR="00224D4E" w:rsidRPr="00EE4AD6">
        <w:rPr>
          <w:rFonts w:ascii="Calibri" w:hAnsi="Calibri" w:cs="Calibri"/>
          <w:b/>
          <w:szCs w:val="24"/>
        </w:rPr>
        <w:t>ż</w:t>
      </w:r>
      <w:r w:rsidRPr="00EE4AD6">
        <w:rPr>
          <w:rFonts w:ascii="Calibri" w:hAnsi="Calibri" w:cs="Calibri"/>
          <w:b/>
          <w:szCs w:val="24"/>
        </w:rPr>
        <w:t xml:space="preserve">liwość jego załadowania? </w:t>
      </w:r>
    </w:p>
    <w:p w14:paraId="7C8BC068" w14:textId="26E8A583" w:rsidR="00920A4A" w:rsidRPr="00EE4AD6" w:rsidRDefault="00920A4A" w:rsidP="00EE4AD6">
      <w:pPr>
        <w:pStyle w:val="Akapitzlist"/>
        <w:ind w:left="284"/>
        <w:contextualSpacing w:val="0"/>
        <w:rPr>
          <w:rFonts w:ascii="Calibri" w:hAnsi="Calibri" w:cs="Calibri"/>
          <w:bCs/>
          <w:szCs w:val="24"/>
        </w:rPr>
      </w:pPr>
      <w:r w:rsidRPr="00EE4AD6">
        <w:rPr>
          <w:rFonts w:ascii="Calibri" w:hAnsi="Calibri" w:cs="Calibri"/>
          <w:bCs/>
          <w:szCs w:val="24"/>
        </w:rPr>
        <w:t>System LSI umożliwia zapisanie wersji roboczej wniosku i pobranie wersji PDF tego wniosku. W przypadku uzupełnienia więcej niż jednego wniosku (na inne obszary konkursowe) należy wypełnić wszystkie pola w systemie osobno dla każdego wniosku.</w:t>
      </w:r>
    </w:p>
    <w:p w14:paraId="2C72798C" w14:textId="16527CEA" w:rsidR="00AD7628"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 xml:space="preserve">Jak podpisywać i wysyłać </w:t>
      </w:r>
      <w:r w:rsidR="008D5159" w:rsidRPr="00EE4AD6">
        <w:rPr>
          <w:rFonts w:ascii="Calibri" w:hAnsi="Calibri" w:cs="Calibri"/>
          <w:b/>
          <w:szCs w:val="24"/>
        </w:rPr>
        <w:t>zał.</w:t>
      </w:r>
      <w:r w:rsidRPr="00EE4AD6">
        <w:rPr>
          <w:rFonts w:ascii="Calibri" w:hAnsi="Calibri" w:cs="Calibri"/>
          <w:b/>
          <w:szCs w:val="24"/>
        </w:rPr>
        <w:t xml:space="preserve"> 8 (arkusz finansowy) - zgodnie z instrukcją "Prawdziwość podanych danych finansowych potwierdzają osoby upełnomocnione do reprezentacji podmiotu (Wnioskodawcy) oraz główny księgowy Wnioskodawcy". Tymczasem, o ile nic się nie zmieniło, wniosek podpisuje 1 osoba - jak zatem arkusz xls ma podpisać też księgowy?</w:t>
      </w:r>
    </w:p>
    <w:p w14:paraId="6D3FAFD6" w14:textId="3EADC14F" w:rsidR="007221DB" w:rsidRPr="00EE4AD6" w:rsidRDefault="00AD7628" w:rsidP="00EE4AD6">
      <w:pPr>
        <w:pStyle w:val="Akapitzlist"/>
        <w:ind w:left="284"/>
        <w:contextualSpacing w:val="0"/>
        <w:rPr>
          <w:rFonts w:ascii="Calibri" w:hAnsi="Calibri" w:cs="Calibri"/>
          <w:bCs/>
          <w:szCs w:val="24"/>
        </w:rPr>
      </w:pPr>
      <w:r w:rsidRPr="00EE4AD6">
        <w:rPr>
          <w:rFonts w:ascii="Calibri" w:hAnsi="Calibri" w:cs="Calibri"/>
          <w:bCs/>
          <w:szCs w:val="24"/>
        </w:rPr>
        <w:t>Plik excel (załącznik nr 8) w pierwszej kolejności powinien być podpisany przez głównego księgowego oraz przez osoby reprezentujące podmiot. Następnie plik wraz z podpisami należy dołączyć do generatora wniosku np. w formacie ZIP. Plik xlsx musi być podpisany elektronicznie przez głównego księgowego i osoby reprezentujące podmiot za pomocą kwalifikowanego podpisu elektronicznego.</w:t>
      </w:r>
    </w:p>
    <w:p w14:paraId="3F49A911" w14:textId="5EE26F0B" w:rsidR="007221DB" w:rsidRPr="00EE4AD6" w:rsidRDefault="00224D4E"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w:t>
      </w:r>
      <w:r w:rsidR="007221DB" w:rsidRPr="00EE4AD6">
        <w:rPr>
          <w:rFonts w:ascii="Calibri" w:hAnsi="Calibri" w:cs="Calibri"/>
          <w:b/>
          <w:szCs w:val="24"/>
        </w:rPr>
        <w:t xml:space="preserve"> ilości PA wskazywane w części budżetowej muszą zgadzać się z PA wskazywanymi w FPZiS oraz na mapach?</w:t>
      </w:r>
    </w:p>
    <w:p w14:paraId="57E10CB9" w14:textId="57EA5B9E" w:rsidR="00B300BF" w:rsidRPr="00EE4AD6" w:rsidRDefault="00B300BF" w:rsidP="00EE4AD6">
      <w:pPr>
        <w:pStyle w:val="Akapitzlist"/>
        <w:ind w:left="284"/>
        <w:contextualSpacing w:val="0"/>
        <w:rPr>
          <w:rFonts w:ascii="Calibri" w:hAnsi="Calibri" w:cs="Calibri"/>
          <w:bCs/>
          <w:szCs w:val="24"/>
        </w:rPr>
      </w:pPr>
      <w:r w:rsidRPr="00EE4AD6">
        <w:rPr>
          <w:rFonts w:ascii="Calibri" w:hAnsi="Calibri" w:cs="Calibri"/>
          <w:bCs/>
          <w:szCs w:val="24"/>
        </w:rPr>
        <w:t>Liczba PA wskazana we Wniosku oraz w załącznikach musi być taka sama.</w:t>
      </w:r>
    </w:p>
    <w:p w14:paraId="07E7C2A0" w14:textId="7777777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Proszę o definicję Podmiotu realizującego inwestycję</w:t>
      </w:r>
    </w:p>
    <w:p w14:paraId="0426177D" w14:textId="77777777" w:rsidR="00993CA6" w:rsidRPr="00EE4AD6" w:rsidRDefault="00993CA6" w:rsidP="00EE4AD6">
      <w:pPr>
        <w:pStyle w:val="Akapitzlist"/>
        <w:ind w:left="284"/>
        <w:rPr>
          <w:rFonts w:ascii="Calibri" w:hAnsi="Calibri" w:cs="Calibri"/>
          <w:bCs/>
          <w:szCs w:val="24"/>
        </w:rPr>
      </w:pPr>
      <w:r w:rsidRPr="00EE4AD6">
        <w:rPr>
          <w:rFonts w:ascii="Calibri" w:hAnsi="Calibri" w:cs="Calibri"/>
          <w:bCs/>
          <w:szCs w:val="24"/>
        </w:rPr>
        <w:t xml:space="preserve">Podmiot realizujący – podmiot, który w okresie od 1 stycznia 2015 roku do dnia złożenia Wniosku o objęcie przedsięwzięcia wsparciem, zrealizował inwestycje z zakresu budowy, rozbudowy lub przebudowy sieci telekomunikacyjnych. Podmiot realizujący odpowiada za </w:t>
      </w:r>
      <w:r w:rsidRPr="00EE4AD6">
        <w:rPr>
          <w:rFonts w:ascii="Calibri" w:hAnsi="Calibri" w:cs="Calibri"/>
          <w:bCs/>
          <w:szCs w:val="24"/>
        </w:rPr>
        <w:lastRenderedPageBreak/>
        <w:t>całość procesu inwestycyjnego, w tym planowanie, finansowanie, realizację oraz zarządzanie projektem.</w:t>
      </w:r>
    </w:p>
    <w:p w14:paraId="2FC8A699" w14:textId="445FD400" w:rsidR="00993CA6" w:rsidRPr="00EE4AD6" w:rsidRDefault="00993CA6" w:rsidP="00EE4AD6">
      <w:pPr>
        <w:pStyle w:val="Akapitzlist"/>
        <w:ind w:left="284"/>
        <w:contextualSpacing w:val="0"/>
        <w:rPr>
          <w:rFonts w:ascii="Calibri" w:hAnsi="Calibri" w:cs="Calibri"/>
          <w:bCs/>
          <w:szCs w:val="24"/>
        </w:rPr>
      </w:pPr>
      <w:r w:rsidRPr="00EE4AD6">
        <w:rPr>
          <w:rFonts w:ascii="Calibri" w:hAnsi="Calibri" w:cs="Calibri"/>
          <w:bCs/>
          <w:szCs w:val="24"/>
        </w:rPr>
        <w:t>Definicja została umieszczona w Zasadach oceny Przedsięwzięć (w słowniku pojęć).</w:t>
      </w:r>
    </w:p>
    <w:p w14:paraId="6122389C" w14:textId="717408E9"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 promesa kredytowa musi być złożona wraz z wnioskiem czy też do momentu podpisania umowy?</w:t>
      </w:r>
    </w:p>
    <w:p w14:paraId="4A5CEE4E" w14:textId="273A7EBA" w:rsidR="00993CA6" w:rsidRPr="00EE4AD6" w:rsidRDefault="00993CA6" w:rsidP="00EE4AD6">
      <w:pPr>
        <w:pStyle w:val="Akapitzlist"/>
        <w:ind w:left="284"/>
        <w:contextualSpacing w:val="0"/>
        <w:rPr>
          <w:rFonts w:ascii="Calibri" w:hAnsi="Calibri" w:cs="Calibri"/>
          <w:bCs/>
          <w:szCs w:val="24"/>
        </w:rPr>
      </w:pPr>
      <w:r w:rsidRPr="00EE4AD6">
        <w:rPr>
          <w:rFonts w:ascii="Calibri" w:hAnsi="Calibri" w:cs="Calibri"/>
          <w:bCs/>
          <w:szCs w:val="24"/>
        </w:rPr>
        <w:t>W przypadku zadeklarowania finansowania zewnętrznego wymagana będzie nieodwołalna promesa lub umowa kredytowa (umowa równoważna) ze strony banku lub instytucji finansowej nadzorowanej przez Komisję Nadzoru Finansowego (KNF). Promesa musi dotyczyć konkretnie ocenianego projektu (w promesie musi być ujęta jego nazwa, wartość oraz okres realizacji). Promesa może być warunkowa (pozytywna ocena projektu przez CPPC), jednak okres jej zawarcia musi być adekwatny do okresu realizacji projektu i jego trwałości. Promesa musi być złożona wraz z wnioskiem.</w:t>
      </w:r>
    </w:p>
    <w:p w14:paraId="78E29342" w14:textId="7777777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W przypadku wyboru opcji dokapitalizowania jakiego rodzaju dokument należy przedłożyć wraz z wnioskiem - czy uchwała wspólników będzie wystarczająca?</w:t>
      </w:r>
    </w:p>
    <w:p w14:paraId="73B8E01F" w14:textId="05FA6DE7" w:rsidR="00587C0D" w:rsidRPr="00EE4AD6" w:rsidRDefault="00587C0D" w:rsidP="00EE4AD6">
      <w:pPr>
        <w:pStyle w:val="Akapitzlist"/>
        <w:ind w:left="284"/>
        <w:contextualSpacing w:val="0"/>
        <w:rPr>
          <w:rFonts w:ascii="Calibri" w:hAnsi="Calibri" w:cs="Calibri"/>
          <w:bCs/>
          <w:szCs w:val="24"/>
        </w:rPr>
      </w:pPr>
      <w:r w:rsidRPr="00EE4AD6">
        <w:rPr>
          <w:rFonts w:ascii="Calibri" w:hAnsi="Calibri" w:cs="Calibri"/>
          <w:bCs/>
          <w:szCs w:val="24"/>
        </w:rPr>
        <w:t>W przypadku zadeklarowania dokonania dokapitalizowania, takie dokapitalizowanie musi nastąpić przed dniem złożenia wniosku i musi zostać zarejestrowane w Krajowym Rejestrze Sądowym (KRS) przed dniem podpisania umowy o dofinasowanie (środki muszą fizycznie wpłynąć na rachunek podmiotu dokapitalizowanego). Na etapie składania wniosku przedstawienie uchwały wspólników będzie wystarczające. CPPC weryfikuje dodatkowo podwyższeniu kapitału deklarowanego w oparciu o aktualny odpis KRS w momencie zawierania umowy o wsparcie.</w:t>
      </w:r>
    </w:p>
    <w:p w14:paraId="27383BF8" w14:textId="7777777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Wskaźniki horyzontalne - wskaźniki rezultatu Dodatkowe lokale mieszkalne z dostępem do internetu za pośrednictwem sieci o bardzo dużej przepustowości - jaką wartość należy tu wpisać? liczbę punktów adresowych, które mamy zamiar objąć zasięgiem czy liczbę lokali w punktach adresowych łącznie?</w:t>
      </w:r>
    </w:p>
    <w:p w14:paraId="2FBA9B01" w14:textId="7BC0C607" w:rsidR="00587C0D" w:rsidRPr="00EE4AD6" w:rsidRDefault="00587C0D" w:rsidP="00EE4AD6">
      <w:pPr>
        <w:pStyle w:val="Akapitzlist"/>
        <w:ind w:left="284"/>
        <w:contextualSpacing w:val="0"/>
        <w:rPr>
          <w:rFonts w:ascii="Calibri" w:hAnsi="Calibri" w:cs="Calibri"/>
          <w:bCs/>
          <w:szCs w:val="24"/>
        </w:rPr>
      </w:pPr>
      <w:r w:rsidRPr="00EE4AD6">
        <w:rPr>
          <w:rFonts w:ascii="Calibri" w:hAnsi="Calibri" w:cs="Calibri"/>
          <w:bCs/>
          <w:szCs w:val="24"/>
        </w:rPr>
        <w:lastRenderedPageBreak/>
        <w:t>Należy podać liczbę lokali w punktach adresowych.</w:t>
      </w:r>
    </w:p>
    <w:p w14:paraId="33616FA3" w14:textId="2D79FAF9"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 we wniosku wpisuje się</w:t>
      </w:r>
      <w:r w:rsidR="00587C0D" w:rsidRPr="00EE4AD6">
        <w:rPr>
          <w:rFonts w:ascii="Calibri" w:hAnsi="Calibri" w:cs="Calibri"/>
          <w:b/>
          <w:szCs w:val="24"/>
        </w:rPr>
        <w:t xml:space="preserve"> </w:t>
      </w:r>
      <w:r w:rsidRPr="00EE4AD6">
        <w:rPr>
          <w:rFonts w:ascii="Calibri" w:hAnsi="Calibri" w:cs="Calibri"/>
          <w:b/>
          <w:szCs w:val="24"/>
        </w:rPr>
        <w:t>samodzielnie wartość wskaźnika C4G, C5G, C6G Dodatkowe gospodarstwa domowe (lokale mieszkalne) z szerokopasmowym dostępem do internetu o przepustowości co najmniej 100 Mb/s (z możliwością zwiększenia do przepustowości gigabitowej)?</w:t>
      </w:r>
    </w:p>
    <w:p w14:paraId="7D919DE0" w14:textId="5A4D424E" w:rsidR="004A174D" w:rsidRPr="00EE4AD6" w:rsidRDefault="004A174D" w:rsidP="00EE4AD6">
      <w:pPr>
        <w:pStyle w:val="Akapitzlist"/>
        <w:ind w:left="284"/>
        <w:contextualSpacing w:val="0"/>
        <w:rPr>
          <w:rFonts w:ascii="Calibri" w:hAnsi="Calibri" w:cs="Calibri"/>
          <w:bCs/>
          <w:szCs w:val="24"/>
        </w:rPr>
      </w:pPr>
      <w:r w:rsidRPr="00EE4AD6">
        <w:rPr>
          <w:rFonts w:ascii="Calibri" w:hAnsi="Calibri" w:cs="Calibri"/>
          <w:bCs/>
          <w:szCs w:val="24"/>
        </w:rPr>
        <w:t>W pierwszej kolejności należy uzupełnić wartość we wskaźniku: Dodatkowe lokale mieszkalne z dostępem do internetu za pośrednictwem sieci o bardzo dużej przepustowości. Następnie ta wartość zostanie przez system automatycznie podana we wskaźniku: C4G, C5G, C6G Dodatkowe gospodarstwa domowe (lokale mieszkalne) z szerokopasmowym dostępem do Internetu o przepustowości co najmniej 100 Mb/s (z możliwością zwiększenia do przepustowości gigabitowej).</w:t>
      </w:r>
    </w:p>
    <w:p w14:paraId="3C049230" w14:textId="11C1A781"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KRYTERIA MERYTORYCZNE OCENY PRZEDSIĘWZIĘĆ W INWESTYCJI C1.1.1.  =&gt; czy referencje podpisane przez Klienta komercyjnego/operatora wskazujące w danym okresie wartość wybudowanej/przebudowanej sieci telekomunikacyjnej</w:t>
      </w:r>
      <w:r w:rsidR="008D5159" w:rsidRPr="00EE4AD6">
        <w:rPr>
          <w:rFonts w:ascii="Calibri" w:hAnsi="Calibri" w:cs="Calibri"/>
          <w:b/>
          <w:szCs w:val="24"/>
        </w:rPr>
        <w:t xml:space="preserve"> </w:t>
      </w:r>
      <w:r w:rsidRPr="00EE4AD6">
        <w:rPr>
          <w:rFonts w:ascii="Calibri" w:hAnsi="Calibri" w:cs="Calibri"/>
          <w:b/>
          <w:szCs w:val="24"/>
        </w:rPr>
        <w:t>(zebrane od 1.01.2015) są wystarczającym dokumentem na potwierdzenie doświadczenia w odniesieniu do potencjalnej punktacji wskazanej w regulaminie za doświadczenie</w:t>
      </w:r>
      <w:r w:rsidR="00806137" w:rsidRPr="00EE4AD6">
        <w:rPr>
          <w:rFonts w:ascii="Calibri" w:hAnsi="Calibri" w:cs="Calibri"/>
          <w:b/>
          <w:szCs w:val="24"/>
        </w:rPr>
        <w:t>?</w:t>
      </w:r>
      <w:r w:rsidRPr="00EE4AD6">
        <w:rPr>
          <w:rFonts w:ascii="Calibri" w:hAnsi="Calibri" w:cs="Calibri"/>
          <w:b/>
          <w:szCs w:val="24"/>
        </w:rPr>
        <w:t xml:space="preserve"> Chodzi o to</w:t>
      </w:r>
      <w:r w:rsidR="00806137" w:rsidRPr="00EE4AD6">
        <w:rPr>
          <w:rFonts w:ascii="Calibri" w:hAnsi="Calibri" w:cs="Calibri"/>
          <w:b/>
          <w:szCs w:val="24"/>
        </w:rPr>
        <w:t>,</w:t>
      </w:r>
      <w:r w:rsidRPr="00EE4AD6">
        <w:rPr>
          <w:rFonts w:ascii="Calibri" w:hAnsi="Calibri" w:cs="Calibri"/>
          <w:b/>
          <w:szCs w:val="24"/>
        </w:rPr>
        <w:t xml:space="preserve"> czy należy poza w/w referencjami dołączyć np. 100-1000 stron protokołów odbioru z 8 lat wstecz?</w:t>
      </w:r>
    </w:p>
    <w:p w14:paraId="2E79F910" w14:textId="064487F6" w:rsidR="004A174D" w:rsidRPr="00EE4AD6" w:rsidRDefault="004A174D" w:rsidP="00EE4AD6">
      <w:pPr>
        <w:pStyle w:val="Akapitzlist"/>
        <w:ind w:left="284"/>
        <w:contextualSpacing w:val="0"/>
        <w:rPr>
          <w:rFonts w:ascii="Calibri" w:hAnsi="Calibri" w:cs="Calibri"/>
          <w:bCs/>
          <w:szCs w:val="24"/>
        </w:rPr>
      </w:pPr>
      <w:r w:rsidRPr="00EE4AD6">
        <w:rPr>
          <w:rFonts w:ascii="Calibri" w:hAnsi="Calibri" w:cs="Calibri"/>
          <w:bCs/>
          <w:szCs w:val="24"/>
        </w:rPr>
        <w:t>Nie został określony katalog dokumentów wymaganych do potwierdzenia posiadanego doświadczenia. Wnioskodawca powinien posiadać dokumenty, na podstawie których będzie w stanie jednoznacznie wykazać wartość zrealizowanych inwestycji. Należy zwrócić uwagę, że można wykazać jako doświadczenie wyłącznie koszty inwestycyjne, bez kosztów bieżących działalności przedsiębiorstwa. Do wniosku nie należy dołączać dokumentacji potwierdzającej wykazane doświadczenie, natomiast ekspert oceniający wniosek może zwrócić się do wnioskodawcy z prośbą o jej przesłanie na etapie oceny.</w:t>
      </w:r>
    </w:p>
    <w:p w14:paraId="16690A57" w14:textId="04DCFF2A"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lastRenderedPageBreak/>
        <w:t>Proszę o wskazanie dokumentu/dokumentów</w:t>
      </w:r>
      <w:r w:rsidR="00C12FC1" w:rsidRPr="00EE4AD6">
        <w:rPr>
          <w:rFonts w:ascii="Calibri" w:hAnsi="Calibri" w:cs="Calibri"/>
          <w:b/>
          <w:szCs w:val="24"/>
        </w:rPr>
        <w:t>,</w:t>
      </w:r>
      <w:r w:rsidRPr="00EE4AD6">
        <w:rPr>
          <w:rFonts w:ascii="Calibri" w:hAnsi="Calibri" w:cs="Calibri"/>
          <w:b/>
          <w:szCs w:val="24"/>
        </w:rPr>
        <w:t xml:space="preserve"> w których uregulowano kwestię promesy. Czy opublikowana będzie instrukcja wypełniania załącznika finansowego?</w:t>
      </w:r>
    </w:p>
    <w:p w14:paraId="7C2A1063" w14:textId="20D6B3D3" w:rsidR="00523410" w:rsidRPr="00EE4AD6" w:rsidRDefault="00523410" w:rsidP="00EE4AD6">
      <w:pPr>
        <w:pStyle w:val="Akapitzlist"/>
        <w:ind w:left="284"/>
        <w:contextualSpacing w:val="0"/>
        <w:rPr>
          <w:rFonts w:ascii="Calibri" w:hAnsi="Calibri" w:cs="Calibri"/>
          <w:bCs/>
          <w:szCs w:val="24"/>
        </w:rPr>
      </w:pPr>
      <w:r w:rsidRPr="00EE4AD6">
        <w:rPr>
          <w:rFonts w:ascii="Calibri" w:hAnsi="Calibri" w:cs="Calibri"/>
          <w:bCs/>
          <w:szCs w:val="24"/>
        </w:rPr>
        <w:t xml:space="preserve">Instrukcja do załącznika finansowego znajduje się w pliku </w:t>
      </w:r>
      <w:r w:rsidR="004463CE" w:rsidRPr="00EE4AD6">
        <w:rPr>
          <w:rFonts w:ascii="Calibri" w:hAnsi="Calibri" w:cs="Calibri"/>
          <w:bCs/>
          <w:szCs w:val="24"/>
        </w:rPr>
        <w:t xml:space="preserve">xlsx </w:t>
      </w:r>
      <w:r w:rsidRPr="00EE4AD6">
        <w:rPr>
          <w:rFonts w:ascii="Calibri" w:hAnsi="Calibri" w:cs="Calibri"/>
          <w:bCs/>
          <w:szCs w:val="24"/>
        </w:rPr>
        <w:t>dot. załącznika nr 8, w pierwszej zakładce pn. "Opis kryterium i instrukcja".</w:t>
      </w:r>
    </w:p>
    <w:p w14:paraId="56BE6958" w14:textId="7777777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 węzeł PWR ma być umieszczony na warstwie węzły czy na warstwie PWR czy na jednej i drugiej warstwie jednocześnie?</w:t>
      </w:r>
    </w:p>
    <w:p w14:paraId="06F5A32D" w14:textId="502A861B" w:rsidR="00EF1632" w:rsidRPr="00EE4AD6" w:rsidRDefault="00523410" w:rsidP="00EE4AD6">
      <w:pPr>
        <w:pStyle w:val="Akapitzlist"/>
        <w:ind w:left="284"/>
        <w:contextualSpacing w:val="0"/>
        <w:rPr>
          <w:rFonts w:ascii="Calibri" w:hAnsi="Calibri" w:cs="Calibri"/>
          <w:bCs/>
          <w:szCs w:val="24"/>
        </w:rPr>
      </w:pPr>
      <w:r w:rsidRPr="00EE4AD6">
        <w:rPr>
          <w:rFonts w:ascii="Calibri" w:hAnsi="Calibri" w:cs="Calibri"/>
          <w:bCs/>
          <w:szCs w:val="24"/>
        </w:rPr>
        <w:t>Na mapie powinna się znajdować zarówno warstwa PWR</w:t>
      </w:r>
      <w:r w:rsidR="00F11243" w:rsidRPr="00EE4AD6">
        <w:rPr>
          <w:rFonts w:ascii="Calibri" w:hAnsi="Calibri" w:cs="Calibri"/>
          <w:bCs/>
          <w:szCs w:val="24"/>
        </w:rPr>
        <w:t>,</w:t>
      </w:r>
      <w:r w:rsidRPr="00EE4AD6">
        <w:rPr>
          <w:rFonts w:ascii="Calibri" w:hAnsi="Calibri" w:cs="Calibri"/>
          <w:bCs/>
          <w:szCs w:val="24"/>
        </w:rPr>
        <w:t xml:space="preserve"> jak i warstwa węzły z odpowiednimi atrybutami.</w:t>
      </w:r>
    </w:p>
    <w:p w14:paraId="77F50035" w14:textId="77777777" w:rsidR="002725D4"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Warstwa PWR atrybut id_bud co tu należy wpisać</w:t>
      </w:r>
      <w:r w:rsidR="00C12FC1" w:rsidRPr="00EE4AD6">
        <w:rPr>
          <w:rFonts w:ascii="Calibri" w:hAnsi="Calibri" w:cs="Calibri"/>
          <w:b/>
          <w:szCs w:val="24"/>
        </w:rPr>
        <w:t>,</w:t>
      </w:r>
      <w:r w:rsidRPr="00EE4AD6">
        <w:rPr>
          <w:rFonts w:ascii="Calibri" w:hAnsi="Calibri" w:cs="Calibri"/>
          <w:b/>
          <w:szCs w:val="24"/>
        </w:rPr>
        <w:t xml:space="preserve"> jeśli nie ma odniesienia do adresu w fpzis?</w:t>
      </w:r>
    </w:p>
    <w:p w14:paraId="1E6F80BB" w14:textId="334E9530" w:rsidR="002725D4" w:rsidRPr="00EE4AD6" w:rsidRDefault="002725D4" w:rsidP="00EE4AD6">
      <w:pPr>
        <w:pStyle w:val="Akapitzlist"/>
        <w:ind w:left="284"/>
        <w:contextualSpacing w:val="0"/>
        <w:rPr>
          <w:rFonts w:ascii="Calibri" w:hAnsi="Calibri" w:cs="Calibri"/>
          <w:bCs/>
          <w:szCs w:val="24"/>
        </w:rPr>
      </w:pPr>
      <w:r w:rsidRPr="00EE4AD6">
        <w:rPr>
          <w:rFonts w:ascii="Calibri" w:hAnsi="Calibri" w:cs="Calibri"/>
          <w:bCs/>
          <w:szCs w:val="24"/>
        </w:rPr>
        <w:t>Należy wpisać identyfik</w:t>
      </w:r>
      <w:r w:rsidR="00361E69" w:rsidRPr="00EE4AD6">
        <w:rPr>
          <w:rFonts w:ascii="Calibri" w:hAnsi="Calibri" w:cs="Calibri"/>
          <w:bCs/>
          <w:szCs w:val="24"/>
        </w:rPr>
        <w:t>a</w:t>
      </w:r>
      <w:r w:rsidRPr="00EE4AD6">
        <w:rPr>
          <w:rFonts w:ascii="Calibri" w:hAnsi="Calibri" w:cs="Calibri"/>
          <w:bCs/>
          <w:szCs w:val="24"/>
        </w:rPr>
        <w:t>tor węzła. We wskazanym polu id_budynku należy wprowadzić identyfikator węzła PWR zgodny z Formularzem planowania zasięgów i sieci NGA dla KPO i FERC.</w:t>
      </w:r>
    </w:p>
    <w:p w14:paraId="5AD96062" w14:textId="0EB626AF"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 xml:space="preserve">Stat_wezla  może być w instrukcji dla warstw wektorowych Status [słownik: istniejący, planowany do wybudowania, planowany do modernizacji], natomiast w fpzis nie można </w:t>
      </w:r>
      <w:r w:rsidR="00C02CAE" w:rsidRPr="00EE4AD6">
        <w:rPr>
          <w:rFonts w:ascii="Calibri" w:hAnsi="Calibri" w:cs="Calibri"/>
          <w:b/>
          <w:szCs w:val="24"/>
        </w:rPr>
        <w:t>wybrać</w:t>
      </w:r>
      <w:r w:rsidRPr="00EE4AD6">
        <w:rPr>
          <w:rFonts w:ascii="Calibri" w:hAnsi="Calibri" w:cs="Calibri"/>
          <w:b/>
          <w:szCs w:val="24"/>
        </w:rPr>
        <w:t xml:space="preserve"> statusu planowany do modernizacji co należy wybrać w fpzis jeśli węzeł istnieje planowany w budowie czy zrealizowany?</w:t>
      </w:r>
    </w:p>
    <w:p w14:paraId="0ADE7A5D" w14:textId="737D3AA5" w:rsidR="002725D4" w:rsidRPr="00EE4AD6" w:rsidRDefault="002725D4" w:rsidP="00EE4AD6">
      <w:pPr>
        <w:pStyle w:val="Akapitzlist"/>
        <w:ind w:left="284"/>
        <w:contextualSpacing w:val="0"/>
        <w:rPr>
          <w:rFonts w:ascii="Calibri" w:hAnsi="Calibri" w:cs="Calibri"/>
          <w:bCs/>
          <w:szCs w:val="24"/>
        </w:rPr>
      </w:pPr>
      <w:r w:rsidRPr="00EE4AD6">
        <w:rPr>
          <w:rFonts w:ascii="Calibri" w:hAnsi="Calibri" w:cs="Calibri"/>
          <w:bCs/>
          <w:szCs w:val="24"/>
        </w:rPr>
        <w:t>W FPZiS należy wybrać "planowany".</w:t>
      </w:r>
    </w:p>
    <w:p w14:paraId="60536ACA" w14:textId="7777777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 Konsorcja mogą być wnioskodawcami?</w:t>
      </w:r>
    </w:p>
    <w:p w14:paraId="755FBD9A" w14:textId="54BED570" w:rsidR="002725D4" w:rsidRPr="00EE4AD6" w:rsidRDefault="002725D4" w:rsidP="00EE4AD6">
      <w:pPr>
        <w:pStyle w:val="Akapitzlist"/>
        <w:ind w:left="284"/>
        <w:contextualSpacing w:val="0"/>
        <w:rPr>
          <w:rFonts w:ascii="Calibri" w:hAnsi="Calibri" w:cs="Calibri"/>
          <w:bCs/>
          <w:szCs w:val="24"/>
        </w:rPr>
      </w:pPr>
      <w:r w:rsidRPr="00EE4AD6">
        <w:rPr>
          <w:rFonts w:ascii="Calibri" w:hAnsi="Calibri" w:cs="Calibri"/>
          <w:bCs/>
          <w:szCs w:val="24"/>
        </w:rPr>
        <w:t>Nie, konsorcja nie mogą aplikować w naborze.</w:t>
      </w:r>
    </w:p>
    <w:p w14:paraId="2D6D35A1" w14:textId="7777777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lastRenderedPageBreak/>
        <w:t>W przypadku dokapitalizowania spółki, należy wykazać, że środki znajdują się na rachunku bankowym już na etapie składania WoD czy stosowny dokument (np. wyciąg z rachunku bankowego) można przedstawić przed podpisaniem umowy?</w:t>
      </w:r>
    </w:p>
    <w:p w14:paraId="13BC6041" w14:textId="2353B78A" w:rsidR="00671829" w:rsidRPr="00EE4AD6" w:rsidRDefault="00671829" w:rsidP="00EE4AD6">
      <w:pPr>
        <w:pStyle w:val="Akapitzlist"/>
        <w:ind w:left="284"/>
        <w:contextualSpacing w:val="0"/>
        <w:rPr>
          <w:rFonts w:ascii="Calibri" w:hAnsi="Calibri" w:cs="Calibri"/>
          <w:bCs/>
          <w:szCs w:val="24"/>
        </w:rPr>
      </w:pPr>
      <w:r w:rsidRPr="00EE4AD6">
        <w:rPr>
          <w:rFonts w:ascii="Calibri" w:hAnsi="Calibri" w:cs="Calibri"/>
          <w:bCs/>
          <w:szCs w:val="24"/>
        </w:rPr>
        <w:t>W przypadku zadeklarowania dokonania dokapitalizowania, takie dokapitalizowanie musi nastąpić przed dniem złożenia wniosku i musi zostać zarejestrowane w Krajowym Rejestrze Sądowym (KRS) przed dniem podpisania umowy o dofinasowanie (środki muszą fizycznie wpłynąć na rachunek podmiotu dokapitalizowanego). Na etapie składania wniosku przedstawienie uchwały wspólników będzie wystarczające. CPPC weryfikuje dodatkowo podwyższeniu kapitału deklarowanego w oparciu o aktualny odpis KRS w momencie zawierania umowy o wsparcie.</w:t>
      </w:r>
    </w:p>
    <w:p w14:paraId="49CBDF77" w14:textId="7777777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 przy zmianie PA z droższych na tańsze dofinansowanie również ulega zmianie?</w:t>
      </w:r>
    </w:p>
    <w:p w14:paraId="0EA00AC1" w14:textId="46472E97" w:rsidR="00020B14" w:rsidRPr="00EE4AD6" w:rsidRDefault="00020B14" w:rsidP="00EE4AD6">
      <w:pPr>
        <w:pStyle w:val="Akapitzlist"/>
        <w:ind w:left="284"/>
        <w:contextualSpacing w:val="0"/>
        <w:rPr>
          <w:rFonts w:ascii="Calibri" w:hAnsi="Calibri" w:cs="Calibri"/>
          <w:bCs/>
          <w:szCs w:val="24"/>
        </w:rPr>
      </w:pPr>
      <w:r w:rsidRPr="00EE4AD6">
        <w:rPr>
          <w:rFonts w:ascii="Calibri" w:hAnsi="Calibri" w:cs="Calibri"/>
          <w:bCs/>
          <w:szCs w:val="24"/>
        </w:rPr>
        <w:t>W takim przypadku dofinansowanie ulega zmniejszeniu. Zgodnie z zapisami wzoru umowy: "Wymiana nie może prowadzić do zmniejszenia lub zwiększenia liczby punktów adresowych, których objęcie zasięgiem Ostateczny odbiorca wsparcia zadeklarował we Wniosku, ani do zwiększenia kwoty dofinansowania lub wydatków kwalifikowanych Przedsięwzięcia”.</w:t>
      </w:r>
    </w:p>
    <w:p w14:paraId="5C488131" w14:textId="04A2E22F" w:rsidR="007221DB" w:rsidRPr="00EE4AD6" w:rsidRDefault="00073772"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 xml:space="preserve">Wnioskodawca, przedsiębiorstwo notowane na giełdzie przygotowuje sprawozdania zgodnie z Międzynarodowymi Standardami Sprawozdawczości Finansowej, pozycje prezentowane w jego sprawozdaniach są inne niż wymagane w Załączniku Finansowym. Niektóre pozycje są zgrupowane, np. pozycja „koszty zakupów zewnętrznych” zawiera zużycie materiałów i energii, usługi obce oraz pozostałe koszty rodzajowe, a pozycja „koszty świadczeń pracowniczych” zawiera wynagrodzenia oraz ubezpieczenia społeczne. Czy w celu zachowania zgodności danych z opublikowanymi sprawozdaniami możliwe jest wykazanie tych kosztów tylko w jednej pozycji Załącznika? </w:t>
      </w:r>
    </w:p>
    <w:p w14:paraId="3F7A8747" w14:textId="3D90E5E9" w:rsidR="007163F8" w:rsidRPr="00EE4AD6" w:rsidRDefault="00C40A1B" w:rsidP="00EE4AD6">
      <w:pPr>
        <w:pStyle w:val="Akapitzlist"/>
        <w:ind w:left="284"/>
        <w:contextualSpacing w:val="0"/>
        <w:rPr>
          <w:rFonts w:ascii="Calibri" w:hAnsi="Calibri" w:cs="Calibri"/>
          <w:bCs/>
          <w:szCs w:val="24"/>
        </w:rPr>
      </w:pPr>
      <w:r w:rsidRPr="00EE4AD6">
        <w:rPr>
          <w:rFonts w:ascii="Calibri" w:hAnsi="Calibri" w:cs="Calibri"/>
          <w:bCs/>
          <w:szCs w:val="24"/>
        </w:rPr>
        <w:lastRenderedPageBreak/>
        <w:t>W celu zachowania zgodności danych z opublikowanymi sprawozdaniami możliwe jest wykazanie opisanych kosztów tylko w jednej pozycji Załącznika nr 8.</w:t>
      </w:r>
    </w:p>
    <w:p w14:paraId="64910E57" w14:textId="4E728BA4"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 na etapie składnia wniosku uchwała o podniesieniu kapitału zakładowego będzie wystarczającym dokumentem?</w:t>
      </w:r>
    </w:p>
    <w:p w14:paraId="3E76AC6B" w14:textId="1965319F" w:rsidR="00301DDD" w:rsidRPr="00EE4AD6" w:rsidRDefault="00301DDD" w:rsidP="00EE4AD6">
      <w:pPr>
        <w:pStyle w:val="Akapitzlist"/>
        <w:ind w:left="284"/>
        <w:contextualSpacing w:val="0"/>
        <w:rPr>
          <w:rFonts w:ascii="Calibri" w:hAnsi="Calibri" w:cs="Calibri"/>
          <w:bCs/>
          <w:szCs w:val="24"/>
        </w:rPr>
      </w:pPr>
      <w:r w:rsidRPr="00EE4AD6">
        <w:rPr>
          <w:rFonts w:ascii="Calibri" w:hAnsi="Calibri" w:cs="Calibri"/>
          <w:bCs/>
          <w:szCs w:val="24"/>
        </w:rPr>
        <w:t>W przypadku zadeklarowania dokonania dokapitalizowania, takie dokapitalizowanie musi nastąpić przed dniem złożenia wniosku i musi zostać zarejestrowane w Krajowym Rejestrze Sądowym (KRS) przed dniem podpisania umowy o dofinasowanie (środki muszą fizycznie wpłynąć na rachunek podmiotu dokapitalizowanego). Na etapie składania wniosku przedstawienie uchwały wspólników będzie wystarczające. CPPC weryfikuje dodatkowo podwyższeniu kapitału deklarowanego w oparciu o aktualny odpis KRS w momencie zawierania umowy o wsparcie.</w:t>
      </w:r>
    </w:p>
    <w:p w14:paraId="2BDFFBC5" w14:textId="5CB13EE3"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W przypadku spółek osobowy czy istnieje jakaś alternatywa dla promesy (podniesienie kapitału jest oczywiście niemożliwe)? Uzyskanie promesy od instytucji finansowej w tak krótkim czasie może być trudne.</w:t>
      </w:r>
    </w:p>
    <w:p w14:paraId="7298FB55" w14:textId="399A97A4" w:rsidR="00301DDD" w:rsidRPr="00EE4AD6" w:rsidRDefault="00301DDD" w:rsidP="00EE4AD6">
      <w:pPr>
        <w:pStyle w:val="Akapitzlist"/>
        <w:ind w:left="284"/>
        <w:contextualSpacing w:val="0"/>
        <w:rPr>
          <w:rFonts w:ascii="Calibri" w:hAnsi="Calibri" w:cs="Calibri"/>
          <w:bCs/>
          <w:szCs w:val="24"/>
        </w:rPr>
      </w:pPr>
      <w:r w:rsidRPr="00EE4AD6">
        <w:rPr>
          <w:rFonts w:ascii="Calibri" w:hAnsi="Calibri" w:cs="Calibri"/>
          <w:bCs/>
          <w:szCs w:val="24"/>
        </w:rPr>
        <w:t>W przypadku zadeklarowania finansowania zewnętrznego wymagana będzie nieodwołalna promesa lub umowa kredytowa (umowa równoważna) ze strony banku lub instytucji finansowej nadzorowanej przez Komisję Nadzoru Finansowego (KNF). Promesa musi dotyczyć konkretnie ocenianego projektu (w promesie musi być ujęta jego nazwa, wartość oraz okres realizacji). Promesa może być warunkowa (pozytywna ocena projektu przez CPPC), jednak okres jej zawarcia musi być adekwatny do okresu realizacji projektu i jego trwałości. Promesa musi być złożona wraz z wnioskiem.</w:t>
      </w:r>
    </w:p>
    <w:p w14:paraId="20CDC905" w14:textId="7B29EDA1" w:rsidR="0055010F"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 xml:space="preserve">Chciałbym się upewnić. Chodzi mi o sytuację, w której wnioskodawca na przestrzeni ostatnich lat realizował projekty budowy sieci ze środków własnych, które nie były dofinansowane ze środków UE. Obecnie chce się ubiegać dofinasowanie. Aby wykazać doświadczenie w ramach kryterium Wnioskodawca posiada doświadczenie w zakresie </w:t>
      </w:r>
      <w:r w:rsidRPr="00EE4AD6">
        <w:rPr>
          <w:rFonts w:ascii="Calibri" w:hAnsi="Calibri" w:cs="Calibri"/>
          <w:b/>
          <w:szCs w:val="24"/>
        </w:rPr>
        <w:lastRenderedPageBreak/>
        <w:t>realizacji projektów/inwestycji dotyczących budowy sieci telekomunikacyjnych uzyskane od 1.01.2015 r. do dnia złożenia Wniosku o objęcie przedsięwzięcia wsparciem" należy przedstawić wszystkie wymienione dokumenty</w:t>
      </w:r>
      <w:r w:rsidR="00FC66FA" w:rsidRPr="00EE4AD6">
        <w:rPr>
          <w:rFonts w:ascii="Calibri" w:hAnsi="Calibri" w:cs="Calibri"/>
          <w:b/>
          <w:szCs w:val="24"/>
        </w:rPr>
        <w:t xml:space="preserve"> m.in. protokoły wydania materiałów z magazynu, protokoły zlecenia prac, protokoły odbioru prac, dokumentacja powykonawcza</w:t>
      </w:r>
      <w:r w:rsidR="008B739E" w:rsidRPr="00EE4AD6">
        <w:rPr>
          <w:rFonts w:ascii="Calibri" w:hAnsi="Calibri" w:cs="Calibri"/>
          <w:b/>
          <w:szCs w:val="24"/>
        </w:rPr>
        <w:t xml:space="preserve"> itd.</w:t>
      </w:r>
      <w:r w:rsidRPr="00EE4AD6">
        <w:rPr>
          <w:rFonts w:ascii="Calibri" w:hAnsi="Calibri" w:cs="Calibri"/>
          <w:b/>
          <w:szCs w:val="24"/>
        </w:rPr>
        <w:t>?</w:t>
      </w:r>
    </w:p>
    <w:p w14:paraId="09D3D182" w14:textId="77777777" w:rsidR="00B676EC" w:rsidRPr="00EE4AD6" w:rsidRDefault="00E37695" w:rsidP="00EE4AD6">
      <w:pPr>
        <w:ind w:left="284"/>
        <w:rPr>
          <w:rFonts w:ascii="Calibri" w:hAnsi="Calibri" w:cs="Calibri"/>
          <w:bCs/>
          <w:szCs w:val="24"/>
        </w:rPr>
      </w:pPr>
      <w:r w:rsidRPr="00EE4AD6">
        <w:rPr>
          <w:rFonts w:ascii="Calibri" w:hAnsi="Calibri" w:cs="Calibri"/>
          <w:bCs/>
          <w:szCs w:val="24"/>
        </w:rPr>
        <w:t>Na etapie składania wniosku o dofinansowanie nie należy dołączać dokumentów potwierdzających wykazane w WoD doświadczenie.</w:t>
      </w:r>
    </w:p>
    <w:p w14:paraId="3A1C44F4" w14:textId="0B95B881" w:rsidR="00E37695" w:rsidRPr="00EE4AD6" w:rsidRDefault="00B676EC" w:rsidP="00EE4AD6">
      <w:pPr>
        <w:ind w:left="284"/>
        <w:rPr>
          <w:rFonts w:ascii="Calibri" w:hAnsi="Calibri" w:cs="Calibri"/>
          <w:bCs/>
          <w:szCs w:val="24"/>
        </w:rPr>
      </w:pPr>
      <w:r w:rsidRPr="00EE4AD6">
        <w:rPr>
          <w:rFonts w:ascii="Calibri" w:hAnsi="Calibri" w:cs="Calibri"/>
          <w:bCs/>
          <w:szCs w:val="24"/>
        </w:rPr>
        <w:t>N</w:t>
      </w:r>
      <w:r w:rsidR="00E37695" w:rsidRPr="00EE4AD6">
        <w:rPr>
          <w:rFonts w:ascii="Calibri" w:hAnsi="Calibri" w:cs="Calibri"/>
          <w:bCs/>
          <w:szCs w:val="24"/>
        </w:rPr>
        <w:t>ie został określony katalog dokumentów wymaganych do potwierdzenia posiadanego doświadczenia. Wnioskodawca powinien posiadać dokumenty, na podstawie których będzie w stanie jednoznacznie wykazać wartość zrealizowanych inwestycji. Należy zwrócić uwagę, że można wykazać jako doświadczenie wyłącznie koszty inwestycyjne, bez kosztów bieżących działalności przedsiębiorstwa. Ekspert oceniający wniosek może zwrócić się do wnioskodawcy z prośbą o przesłanie dokumentacji na etapie oceny. Ekspert oceniający wniosek może zwrócić się do wnioskodawcy z prośbą o przesłanie dokumentacji na etapie oceny.</w:t>
      </w:r>
    </w:p>
    <w:p w14:paraId="52D56224" w14:textId="4D911A35" w:rsidR="00936D58" w:rsidRPr="00EE4AD6" w:rsidRDefault="00EB5245" w:rsidP="00EE4AD6">
      <w:pPr>
        <w:pStyle w:val="Akapitzlist"/>
        <w:numPr>
          <w:ilvl w:val="0"/>
          <w:numId w:val="1"/>
        </w:numPr>
        <w:ind w:left="284"/>
        <w:contextualSpacing w:val="0"/>
        <w:rPr>
          <w:rFonts w:ascii="Calibri" w:hAnsi="Calibri" w:cs="Calibri"/>
          <w:bCs/>
          <w:szCs w:val="24"/>
        </w:rPr>
      </w:pPr>
      <w:r w:rsidRPr="00EE4AD6">
        <w:rPr>
          <w:rFonts w:ascii="Calibri" w:hAnsi="Calibri" w:cs="Calibri"/>
          <w:b/>
          <w:szCs w:val="24"/>
        </w:rPr>
        <w:t>M</w:t>
      </w:r>
      <w:r w:rsidR="001A3956" w:rsidRPr="00EE4AD6">
        <w:rPr>
          <w:rFonts w:ascii="Calibri" w:hAnsi="Calibri" w:cs="Calibri"/>
          <w:b/>
          <w:szCs w:val="24"/>
        </w:rPr>
        <w:t xml:space="preserve">am pytanie dotyczące możliwości wykazania finansowania zewnętrznego przez firmy posługujące się w celach księgowych KPiR. Jak wiadomo, w przypadku konieczności wykazania finansowania zewnętrznego należy przedłożyć promesę lub umowę kredytową albo też dokapitalizować podmiot.  W przypadku firm nie będących spółkami na pełnej księgowości nie jest to możliwe, zatem logiczne wydaje się udostępnienie im innej, adekwatnej formy wykazania środków zewnętrznych (np. środki na rachunku pochodzące od właściciela(-i) lub zobowiązanie właściciela do wniesienia dodatkowych środków do firmy w wysokości wynikającej z analizy finansowej). Chciałbym zatem upewnić się, że w omawianym przypadku CPPC dopuszcza inne niż dokapitalizowanie (i promesa) formy wykazania potencjału finansowego dla JDG i/lub s.c. </w:t>
      </w:r>
    </w:p>
    <w:p w14:paraId="71C0459F" w14:textId="443F7E19" w:rsidR="004810C5" w:rsidRPr="00EE4AD6" w:rsidRDefault="0012385F" w:rsidP="00EE4AD6">
      <w:pPr>
        <w:pStyle w:val="Akapitzlist"/>
        <w:ind w:left="284"/>
        <w:contextualSpacing w:val="0"/>
        <w:rPr>
          <w:rFonts w:ascii="Calibri" w:hAnsi="Calibri" w:cs="Calibri"/>
          <w:bCs/>
          <w:szCs w:val="24"/>
        </w:rPr>
      </w:pPr>
      <w:r w:rsidRPr="00EE4AD6">
        <w:rPr>
          <w:rFonts w:ascii="Calibri" w:hAnsi="Calibri" w:cs="Calibri"/>
          <w:bCs/>
          <w:szCs w:val="24"/>
        </w:rPr>
        <w:lastRenderedPageBreak/>
        <w:t xml:space="preserve">Nie przewidujemy innej formy wykazywania finansowania zewnętrznego niż nieodwołalna promesa lub umowa kredytowa (umowa równoważna) ze strony banku lub instytucji finansowej nadzorowanej przez Komisję Nadzoru Finansowego (KNF) lub zadeklarowania dokonania dokapitalizowania, które nastąpi przed dniem złożenia wniosku o dofinansowanie i będzie zarejestrowane w Krajowym Rejestrze Sądowym (KRS) </w:t>
      </w:r>
      <w:r w:rsidR="00887205" w:rsidRPr="00EE4AD6">
        <w:rPr>
          <w:rFonts w:ascii="Calibri" w:hAnsi="Calibri" w:cs="Calibri"/>
          <w:bCs/>
          <w:szCs w:val="24"/>
        </w:rPr>
        <w:t>najpóźniej w dniu podpisania</w:t>
      </w:r>
      <w:r w:rsidRPr="00EE4AD6">
        <w:rPr>
          <w:rFonts w:ascii="Calibri" w:hAnsi="Calibri" w:cs="Calibri"/>
          <w:bCs/>
          <w:szCs w:val="24"/>
        </w:rPr>
        <w:t xml:space="preserve"> umowy o dofinansowanie (środki muszą fizycznie wpłynąć na rachunek podmiotu dokapitalizowanego).</w:t>
      </w:r>
    </w:p>
    <w:p w14:paraId="71459DD7" w14:textId="1863F949" w:rsidR="00887205" w:rsidRPr="00EE4AD6" w:rsidRDefault="0007322E"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Wnioskodawca ma zaplanowaną reorganizację przedsiębiorstw i połączenie z inną spółką (spółka powiązana osobowo poprzez ten sam skład wspólników w obu spółkach) – model połączenia nie jest przesądzony – proszę brać pod uwagę każdą możliwą formę połączenia przedsiębiorstw w tym sprzedaż aktywów i wierzytelności pomiędzy tymi podmiotami powiązanymi. Nie mamy tutaj do czynienia z grupą kapitałową, która może tworzyć sprawozdania skonsolidowane. W związku z tym proszę o potwierdzenie czy akceptują Państwo sytuację, w której dane finansowe w załączniku nr 8 będą prezentować dane „skonsolidowane” dwóch przedsiębiorstw – zarówno w zakresie danych historycznych oraz danych prognozowanych. Połączenie oczywiście będzie ze skutkiem na dzień złożenia wniosku o dofinansowanie.</w:t>
      </w:r>
    </w:p>
    <w:p w14:paraId="5C1527B9" w14:textId="7B010278" w:rsidR="00DD2E55" w:rsidRPr="00EE4AD6" w:rsidRDefault="008B0C09" w:rsidP="00EE4AD6">
      <w:pPr>
        <w:ind w:left="284"/>
        <w:rPr>
          <w:rFonts w:ascii="Calibri" w:hAnsi="Calibri" w:cs="Calibri"/>
          <w:bCs/>
          <w:szCs w:val="24"/>
        </w:rPr>
      </w:pPr>
      <w:r w:rsidRPr="00EE4AD6">
        <w:rPr>
          <w:rFonts w:ascii="Calibri" w:hAnsi="Calibri" w:cs="Calibri"/>
          <w:bCs/>
          <w:szCs w:val="24"/>
        </w:rPr>
        <w:t>D</w:t>
      </w:r>
      <w:r w:rsidR="00763925" w:rsidRPr="00EE4AD6">
        <w:rPr>
          <w:rFonts w:ascii="Calibri" w:hAnsi="Calibri" w:cs="Calibri"/>
          <w:bCs/>
          <w:szCs w:val="24"/>
        </w:rPr>
        <w:t xml:space="preserve">opuszczamy </w:t>
      </w:r>
      <w:r w:rsidR="00B07EED" w:rsidRPr="00EE4AD6">
        <w:rPr>
          <w:rFonts w:ascii="Calibri" w:hAnsi="Calibri" w:cs="Calibri"/>
          <w:bCs/>
          <w:szCs w:val="24"/>
        </w:rPr>
        <w:t xml:space="preserve">przedstawienie w załączniku nr 8 danych finansowych </w:t>
      </w:r>
      <w:r w:rsidR="008234BE" w:rsidRPr="00EE4AD6">
        <w:rPr>
          <w:rFonts w:ascii="Calibri" w:hAnsi="Calibri" w:cs="Calibri"/>
          <w:bCs/>
          <w:szCs w:val="24"/>
        </w:rPr>
        <w:t>z dwóch przedsiębiorstw</w:t>
      </w:r>
      <w:r w:rsidR="00BA4302" w:rsidRPr="00EE4AD6">
        <w:rPr>
          <w:rFonts w:ascii="Calibri" w:hAnsi="Calibri" w:cs="Calibri"/>
          <w:bCs/>
          <w:szCs w:val="24"/>
        </w:rPr>
        <w:t xml:space="preserve"> połączonych w jedno na dzień składania wniosku o dofinansowanie.</w:t>
      </w:r>
    </w:p>
    <w:p w14:paraId="1997C0CE" w14:textId="6F2E0E65" w:rsidR="00DD2E55" w:rsidRPr="00EE4AD6" w:rsidRDefault="00DD2E55" w:rsidP="00EE4AD6">
      <w:pPr>
        <w:pStyle w:val="Akapitzlist"/>
        <w:numPr>
          <w:ilvl w:val="0"/>
          <w:numId w:val="1"/>
        </w:numPr>
        <w:ind w:left="284"/>
        <w:rPr>
          <w:rFonts w:ascii="Calibri" w:hAnsi="Calibri" w:cs="Calibri"/>
          <w:b/>
          <w:bCs/>
          <w:szCs w:val="24"/>
        </w:rPr>
      </w:pPr>
      <w:r w:rsidRPr="00EE4AD6">
        <w:rPr>
          <w:rFonts w:ascii="Calibri" w:hAnsi="Calibri" w:cs="Calibri"/>
          <w:b/>
          <w:bCs/>
          <w:szCs w:val="24"/>
        </w:rPr>
        <w:t>Planujemy na obszarze inwestycji umieścić 4 węzły dostępowe w tym 1 węzeł, który będzie jednocześnie PWR. W jaki sposób należy zaraportować to w FPZiS oraz na mapach?</w:t>
      </w:r>
    </w:p>
    <w:p w14:paraId="47FFDBB6" w14:textId="77777777" w:rsidR="00DD2E55" w:rsidRPr="00EE4AD6" w:rsidRDefault="00DD2E55" w:rsidP="00EE4AD6">
      <w:pPr>
        <w:pStyle w:val="Akapitzlist"/>
        <w:ind w:left="284"/>
        <w:rPr>
          <w:rFonts w:ascii="Calibri" w:hAnsi="Calibri" w:cs="Calibri"/>
          <w:b/>
          <w:szCs w:val="24"/>
        </w:rPr>
      </w:pPr>
      <w:r w:rsidRPr="00EE4AD6">
        <w:rPr>
          <w:rFonts w:ascii="Calibri" w:hAnsi="Calibri" w:cs="Calibri"/>
          <w:b/>
          <w:szCs w:val="24"/>
        </w:rPr>
        <w:t>W Fpzis mamy wymienić 4 węzły dostępowe i osobno jeden węzeł PWR czy też 4 tylko węzły dostępowe w tym jeden wskazać jako PWR?</w:t>
      </w:r>
    </w:p>
    <w:p w14:paraId="40666DDD" w14:textId="2D474EA0" w:rsidR="00DD2E55" w:rsidRPr="00EE4AD6" w:rsidRDefault="00DD2E55" w:rsidP="00EE4AD6">
      <w:pPr>
        <w:pStyle w:val="Akapitzlist"/>
        <w:ind w:left="284"/>
        <w:rPr>
          <w:rFonts w:ascii="Calibri" w:hAnsi="Calibri" w:cs="Calibri"/>
          <w:b/>
          <w:bCs/>
          <w:szCs w:val="24"/>
        </w:rPr>
      </w:pPr>
      <w:r w:rsidRPr="00EE4AD6">
        <w:rPr>
          <w:rFonts w:ascii="Calibri" w:hAnsi="Calibri" w:cs="Calibri"/>
          <w:b/>
          <w:bCs/>
          <w:szCs w:val="24"/>
        </w:rPr>
        <w:lastRenderedPageBreak/>
        <w:t xml:space="preserve">Na mapach są dwie niezależne warstwy do stworzenia węzły oraz </w:t>
      </w:r>
      <w:r w:rsidR="00381E8E" w:rsidRPr="00EE4AD6">
        <w:rPr>
          <w:rFonts w:ascii="Calibri" w:hAnsi="Calibri" w:cs="Calibri"/>
          <w:b/>
          <w:bCs/>
          <w:szCs w:val="24"/>
        </w:rPr>
        <w:t>PWR</w:t>
      </w:r>
      <w:r w:rsidRPr="00EE4AD6">
        <w:rPr>
          <w:rFonts w:ascii="Calibri" w:hAnsi="Calibri" w:cs="Calibri"/>
          <w:b/>
          <w:bCs/>
          <w:szCs w:val="24"/>
        </w:rPr>
        <w:t>.</w:t>
      </w:r>
      <w:r w:rsidR="008D5159" w:rsidRPr="00EE4AD6">
        <w:rPr>
          <w:rFonts w:ascii="Calibri" w:hAnsi="Calibri" w:cs="Calibri"/>
          <w:b/>
          <w:bCs/>
          <w:szCs w:val="24"/>
        </w:rPr>
        <w:t xml:space="preserve"> </w:t>
      </w:r>
      <w:r w:rsidRPr="00EE4AD6">
        <w:rPr>
          <w:rFonts w:ascii="Calibri" w:hAnsi="Calibri" w:cs="Calibri"/>
          <w:b/>
          <w:bCs/>
          <w:szCs w:val="24"/>
        </w:rPr>
        <w:t>Czy na warstwie węzły mamy umieścić 4 punkty jako węzły dostępowe a na warstwie PWR jeden punkt pokrywający się lokalizacyjne z jednym z węzłów?</w:t>
      </w:r>
    </w:p>
    <w:p w14:paraId="4F9BC8BF" w14:textId="4B3AAC60" w:rsidR="00DD2E55" w:rsidRPr="00EE4AD6" w:rsidRDefault="00DD2E55" w:rsidP="00EE4AD6">
      <w:pPr>
        <w:pStyle w:val="Akapitzlist"/>
        <w:ind w:left="284"/>
        <w:rPr>
          <w:rFonts w:ascii="Calibri" w:hAnsi="Calibri" w:cs="Calibri"/>
          <w:b/>
          <w:szCs w:val="24"/>
        </w:rPr>
      </w:pPr>
      <w:r w:rsidRPr="00EE4AD6">
        <w:rPr>
          <w:rFonts w:ascii="Calibri" w:hAnsi="Calibri" w:cs="Calibri"/>
          <w:b/>
          <w:szCs w:val="24"/>
        </w:rPr>
        <w:t xml:space="preserve">W instrukcji </w:t>
      </w:r>
      <w:r w:rsidR="008D5159" w:rsidRPr="00EE4AD6">
        <w:rPr>
          <w:rFonts w:ascii="Calibri" w:hAnsi="Calibri" w:cs="Calibri"/>
          <w:b/>
          <w:szCs w:val="24"/>
        </w:rPr>
        <w:t>pisze,</w:t>
      </w:r>
      <w:r w:rsidRPr="00EE4AD6">
        <w:rPr>
          <w:rFonts w:ascii="Calibri" w:hAnsi="Calibri" w:cs="Calibri"/>
          <w:b/>
          <w:szCs w:val="24"/>
        </w:rPr>
        <w:t xml:space="preserve"> że z PWR ma być powiązana linią kablową lub bezprzewodowa a co w </w:t>
      </w:r>
      <w:r w:rsidR="008D5159" w:rsidRPr="00EE4AD6">
        <w:rPr>
          <w:rFonts w:ascii="Calibri" w:hAnsi="Calibri" w:cs="Calibri"/>
          <w:b/>
          <w:szCs w:val="24"/>
        </w:rPr>
        <w:t>przypadku,</w:t>
      </w:r>
      <w:r w:rsidRPr="00EE4AD6">
        <w:rPr>
          <w:rFonts w:ascii="Calibri" w:hAnsi="Calibri" w:cs="Calibri"/>
          <w:b/>
          <w:szCs w:val="24"/>
        </w:rPr>
        <w:t xml:space="preserve"> gdy do połączenia z PWR będziemy korzystać z transmisji danych a nie bezpośredniego połączenia kablowego?</w:t>
      </w:r>
    </w:p>
    <w:p w14:paraId="1528B996" w14:textId="1AD2FD60" w:rsidR="00BD0519" w:rsidRPr="00EE4AD6" w:rsidRDefault="00DD2E55" w:rsidP="00EE4AD6">
      <w:pPr>
        <w:pStyle w:val="Akapitzlist"/>
        <w:ind w:left="284"/>
        <w:contextualSpacing w:val="0"/>
        <w:rPr>
          <w:rFonts w:ascii="Calibri" w:hAnsi="Calibri" w:cs="Calibri"/>
          <w:b/>
          <w:szCs w:val="24"/>
        </w:rPr>
      </w:pPr>
      <w:r w:rsidRPr="00EE4AD6">
        <w:rPr>
          <w:rFonts w:ascii="Calibri" w:hAnsi="Calibri" w:cs="Calibri"/>
          <w:b/>
          <w:szCs w:val="24"/>
        </w:rPr>
        <w:t xml:space="preserve">Co oznacza ID budynku w atrybutach warstwy PWR w </w:t>
      </w:r>
      <w:r w:rsidR="008D5159" w:rsidRPr="00EE4AD6">
        <w:rPr>
          <w:rFonts w:ascii="Calibri" w:hAnsi="Calibri" w:cs="Calibri"/>
          <w:b/>
          <w:szCs w:val="24"/>
        </w:rPr>
        <w:t>przypadku,</w:t>
      </w:r>
      <w:r w:rsidRPr="00EE4AD6">
        <w:rPr>
          <w:rFonts w:ascii="Calibri" w:hAnsi="Calibri" w:cs="Calibri"/>
          <w:b/>
          <w:szCs w:val="24"/>
        </w:rPr>
        <w:t xml:space="preserve"> gdy PWR znajduje się poza obszarem inwestycji</w:t>
      </w:r>
      <w:r w:rsidR="00381E8E" w:rsidRPr="00EE4AD6">
        <w:rPr>
          <w:rFonts w:ascii="Calibri" w:hAnsi="Calibri" w:cs="Calibri"/>
          <w:b/>
          <w:szCs w:val="24"/>
        </w:rPr>
        <w:t>?</w:t>
      </w:r>
    </w:p>
    <w:p w14:paraId="7FF18C3F" w14:textId="2F463960" w:rsidR="00BD0519" w:rsidRPr="00EE4AD6" w:rsidRDefault="00BD0519" w:rsidP="00EE4AD6">
      <w:pPr>
        <w:pStyle w:val="Akapitzlist"/>
        <w:ind w:left="284"/>
        <w:contextualSpacing w:val="0"/>
        <w:rPr>
          <w:rFonts w:ascii="Calibri" w:hAnsi="Calibri" w:cs="Calibri"/>
          <w:szCs w:val="24"/>
        </w:rPr>
      </w:pPr>
      <w:r w:rsidRPr="00EE4AD6">
        <w:rPr>
          <w:rFonts w:ascii="Calibri" w:hAnsi="Calibri" w:cs="Calibri"/>
          <w:szCs w:val="24"/>
        </w:rPr>
        <w:t>W przypadku, gdy planowane jest w wykorzystanie w sieci 4 węzłów dostępowych, a w tym 1 węzła, który będzie jednocześnie pełnił rolę węzła szkieletowego PWR, w aplikacji FPZiS, w zakładce „Węzły własne” należy wpisać trzy węzły, dla których „Rodzaj węzła” zostanie określony jako „dostępowy”, a „Typ węzła” jako „WDS” i jeden węzeł</w:t>
      </w:r>
      <w:r w:rsidR="74BBC217" w:rsidRPr="00EE4AD6">
        <w:rPr>
          <w:rFonts w:ascii="Calibri" w:hAnsi="Calibri" w:cs="Calibri"/>
          <w:szCs w:val="24"/>
        </w:rPr>
        <w:t xml:space="preserve">, </w:t>
      </w:r>
      <w:r w:rsidRPr="00EE4AD6">
        <w:rPr>
          <w:rFonts w:ascii="Calibri" w:hAnsi="Calibri" w:cs="Calibri"/>
          <w:szCs w:val="24"/>
        </w:rPr>
        <w:t>dla którego „Rodzaj węzła” zostanie określony jako „dostępowy;szkieletowy”, a „Typ węzła” jako „PWR”. W opisanym powyżej przypadku na Mapie koncepcyjnej sieci należy na warstwie „Węzeł” umieścić 4 punkty jako węzły dostępowe, a na warstwie „PWR” jeden punkt pokrywający się lokalizacyjne z jednym z węzłów dostępowych jako węzeł szkieletowy PWR.</w:t>
      </w:r>
    </w:p>
    <w:p w14:paraId="4721E18A" w14:textId="7E949A66" w:rsidR="00BD0519" w:rsidRPr="00EE4AD6" w:rsidRDefault="00BD0519" w:rsidP="00EE4AD6">
      <w:pPr>
        <w:pStyle w:val="Akapitzlist"/>
        <w:ind w:left="284"/>
        <w:contextualSpacing w:val="0"/>
        <w:rPr>
          <w:rFonts w:ascii="Calibri" w:hAnsi="Calibri" w:cs="Calibri"/>
          <w:bCs/>
          <w:szCs w:val="24"/>
        </w:rPr>
      </w:pPr>
      <w:r w:rsidRPr="00EE4AD6">
        <w:rPr>
          <w:rFonts w:ascii="Calibri" w:hAnsi="Calibri" w:cs="Calibri"/>
          <w:bCs/>
          <w:szCs w:val="24"/>
        </w:rPr>
        <w:t xml:space="preserve">W przypadku, gdy planowane jest w wykorzystanie w sieci 4 węzłów dostępowych, a w tym 1 węzła, który będzie jednocześnie pełnił rolę węzła szkieletowego PWR, w aplikacji FPZiS, w zakładce „Węzły własne” należy wpisać trzy węzły, dla których „Rodzaj węzła” zostanie określony jako „dostępowy”, a „Typ węzła” jako „WDS” i jeden </w:t>
      </w:r>
      <w:r w:rsidR="008D5159" w:rsidRPr="00EE4AD6">
        <w:rPr>
          <w:rFonts w:ascii="Calibri" w:hAnsi="Calibri" w:cs="Calibri"/>
          <w:bCs/>
          <w:szCs w:val="24"/>
        </w:rPr>
        <w:t>węzeł,</w:t>
      </w:r>
      <w:r w:rsidRPr="00EE4AD6">
        <w:rPr>
          <w:rFonts w:ascii="Calibri" w:hAnsi="Calibri" w:cs="Calibri"/>
          <w:bCs/>
          <w:szCs w:val="24"/>
        </w:rPr>
        <w:t xml:space="preserve"> dla którego „Rodzaj węzła” zostanie określony jako „dostępowy;szkieletowy”, a „Typ węzła” jako „PWR”.</w:t>
      </w:r>
    </w:p>
    <w:p w14:paraId="78C119A6" w14:textId="2E43E8E2" w:rsidR="00BD0519" w:rsidRPr="00EE4AD6" w:rsidRDefault="00BD0519" w:rsidP="00EE4AD6">
      <w:pPr>
        <w:pStyle w:val="Akapitzlist"/>
        <w:ind w:left="284"/>
        <w:contextualSpacing w:val="0"/>
        <w:rPr>
          <w:rFonts w:ascii="Calibri" w:hAnsi="Calibri" w:cs="Calibri"/>
          <w:bCs/>
          <w:szCs w:val="24"/>
        </w:rPr>
      </w:pPr>
      <w:r w:rsidRPr="00EE4AD6">
        <w:rPr>
          <w:rFonts w:ascii="Calibri" w:hAnsi="Calibri" w:cs="Calibri"/>
          <w:bCs/>
          <w:szCs w:val="24"/>
        </w:rPr>
        <w:t>W opisanym powyżej przypadku na Mapie koncepcyjnej sieci należy na warstwie „Węzeł” umieścić 4 punkty jako węzły dostępowe, a na warstwie „PWR” jeden punkt pokrywający się lokalizacyjne z jednym z węzłów dostępowych jako węzeł szkieletowy PWR.</w:t>
      </w:r>
    </w:p>
    <w:p w14:paraId="464D6229" w14:textId="5428F99F" w:rsidR="00BD0519" w:rsidRPr="00EE4AD6" w:rsidRDefault="00BD0519" w:rsidP="00EE4AD6">
      <w:pPr>
        <w:pStyle w:val="Akapitzlist"/>
        <w:ind w:left="284"/>
        <w:rPr>
          <w:rFonts w:ascii="Calibri" w:hAnsi="Calibri" w:cs="Calibri"/>
          <w:szCs w:val="24"/>
        </w:rPr>
      </w:pPr>
      <w:r w:rsidRPr="00EE4AD6">
        <w:rPr>
          <w:rFonts w:ascii="Calibri" w:hAnsi="Calibri" w:cs="Calibri"/>
          <w:szCs w:val="24"/>
        </w:rPr>
        <w:t>W opisanym powyżej przypadku należy wykorzystać warstwę „Usługa transmisji danych” i prze</w:t>
      </w:r>
      <w:r w:rsidR="7281F346" w:rsidRPr="00EE4AD6">
        <w:rPr>
          <w:rFonts w:ascii="Calibri" w:hAnsi="Calibri" w:cs="Calibri"/>
          <w:szCs w:val="24"/>
        </w:rPr>
        <w:t>d</w:t>
      </w:r>
      <w:r w:rsidRPr="00EE4AD6">
        <w:rPr>
          <w:rFonts w:ascii="Calibri" w:hAnsi="Calibri" w:cs="Calibri"/>
          <w:szCs w:val="24"/>
        </w:rPr>
        <w:t xml:space="preserve">stawić na niej usługę transmisji danych opisaną atrybutami zgodnie z tabelą </w:t>
      </w:r>
      <w:r w:rsidRPr="00EE4AD6">
        <w:rPr>
          <w:rFonts w:ascii="Calibri" w:hAnsi="Calibri" w:cs="Calibri"/>
          <w:szCs w:val="24"/>
        </w:rPr>
        <w:lastRenderedPageBreak/>
        <w:t>minimalnych wymagań w zakresie warstw i atrybutów dla Mapy koncepcyjnej sieci, zawartą w Instrukcji wypełniania wniosku o objęcie przedsięwzięcia wsparciem.</w:t>
      </w:r>
    </w:p>
    <w:p w14:paraId="3C066DD2" w14:textId="26C6F701" w:rsidR="00381E8E" w:rsidRPr="00EE4AD6" w:rsidRDefault="00BD0519" w:rsidP="00EE4AD6">
      <w:pPr>
        <w:pStyle w:val="Akapitzlist"/>
        <w:ind w:left="284"/>
        <w:contextualSpacing w:val="0"/>
        <w:rPr>
          <w:rFonts w:ascii="Calibri" w:hAnsi="Calibri" w:cs="Calibri"/>
          <w:bCs/>
          <w:szCs w:val="24"/>
        </w:rPr>
      </w:pPr>
      <w:r w:rsidRPr="00EE4AD6">
        <w:rPr>
          <w:rFonts w:ascii="Calibri" w:hAnsi="Calibri" w:cs="Calibri"/>
          <w:bCs/>
          <w:szCs w:val="24"/>
        </w:rPr>
        <w:t>We wskazanym polu id_budynku należy wprowadzić identyfikator węzła PWR zgodny z Formularzem planowania zasięgów i sieci NGA dla KPO i FERC.</w:t>
      </w:r>
    </w:p>
    <w:p w14:paraId="70C440A3" w14:textId="4F7D6674" w:rsidR="00381E8E" w:rsidRPr="00EE4AD6" w:rsidRDefault="00381E8E"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 w ramach uzupełnienia wniosku o dofinansowanie i załącznika nr 8 (załącznik finansowy) konieczne jest przedstawienie dokładnej analityki prognozowanych wydatków (dokładny budżet i plan finansowy)</w:t>
      </w:r>
      <w:r w:rsidR="001748C7" w:rsidRPr="00EE4AD6">
        <w:rPr>
          <w:rFonts w:ascii="Calibri" w:hAnsi="Calibri" w:cs="Calibri"/>
          <w:b/>
          <w:szCs w:val="24"/>
        </w:rPr>
        <w:t>,</w:t>
      </w:r>
      <w:r w:rsidRPr="00EE4AD6">
        <w:rPr>
          <w:rFonts w:ascii="Calibri" w:hAnsi="Calibri" w:cs="Calibri"/>
          <w:b/>
          <w:szCs w:val="24"/>
        </w:rPr>
        <w:t xml:space="preserve"> który stanowi podstawę wypełnienia załącznika nr 8 lub czy o taką analitykę będą wzywani wnioskodawcy, a jeśli tak w jakich okolicznościach i na jakim etapie oceny wniosku?</w:t>
      </w:r>
    </w:p>
    <w:p w14:paraId="223EC9E5" w14:textId="77777777" w:rsidR="00381E8E" w:rsidRPr="00EE4AD6" w:rsidRDefault="00381E8E" w:rsidP="00EE4AD6">
      <w:pPr>
        <w:ind w:left="284"/>
        <w:rPr>
          <w:rFonts w:ascii="Calibri" w:hAnsi="Calibri" w:cs="Calibri"/>
          <w:bCs/>
          <w:szCs w:val="24"/>
        </w:rPr>
      </w:pPr>
      <w:r w:rsidRPr="00EE4AD6">
        <w:rPr>
          <w:rFonts w:ascii="Calibri" w:hAnsi="Calibri" w:cs="Calibri"/>
          <w:bCs/>
          <w:szCs w:val="24"/>
        </w:rPr>
        <w:t xml:space="preserve">Załącznik nr 8 do WoD wypełnia się w oparciu o zatwierdzone sprawozdania finansowe. Na dzień złożenia wniosku o dofinansowanie nie jest wymagane dołączanie dokumentów stanowiących podstawę wypełnienia załącznika nr 8. </w:t>
      </w:r>
    </w:p>
    <w:p w14:paraId="6B8CB19E" w14:textId="5DD42CE2" w:rsidR="00381E8E" w:rsidRPr="00EE4AD6" w:rsidRDefault="00381E8E" w:rsidP="00EE4AD6">
      <w:pPr>
        <w:ind w:left="284"/>
        <w:rPr>
          <w:rFonts w:ascii="Calibri" w:hAnsi="Calibri" w:cs="Calibri"/>
          <w:bCs/>
          <w:szCs w:val="24"/>
        </w:rPr>
      </w:pPr>
      <w:r w:rsidRPr="00EE4AD6">
        <w:rPr>
          <w:rFonts w:ascii="Calibri" w:hAnsi="Calibri" w:cs="Calibri"/>
          <w:bCs/>
          <w:szCs w:val="24"/>
        </w:rPr>
        <w:t>Należy jednak pamiętać, że ekspert oceniający wniosek może zwrócić się do wnioskodawcy z prośbą o przesłanie dodatkowych wyjaśnień na etapie oceny.</w:t>
      </w:r>
    </w:p>
    <w:p w14:paraId="175F284F" w14:textId="4CC9AEB8" w:rsidR="000A00E1" w:rsidRPr="00EE4AD6" w:rsidRDefault="000A00E1" w:rsidP="00EE4AD6">
      <w:pPr>
        <w:pStyle w:val="Akapitzlist"/>
        <w:numPr>
          <w:ilvl w:val="0"/>
          <w:numId w:val="1"/>
        </w:numPr>
        <w:ind w:left="284"/>
        <w:contextualSpacing w:val="0"/>
        <w:rPr>
          <w:rFonts w:ascii="Calibri" w:hAnsi="Calibri" w:cs="Calibri"/>
          <w:b/>
          <w:bCs/>
          <w:szCs w:val="24"/>
        </w:rPr>
      </w:pPr>
      <w:r w:rsidRPr="00EE4AD6">
        <w:rPr>
          <w:rFonts w:ascii="Calibri" w:hAnsi="Calibri" w:cs="Calibri"/>
          <w:b/>
          <w:bCs/>
          <w:szCs w:val="24"/>
        </w:rPr>
        <w:t>W bazie punktów adresowych brakuje kilku z terenu mojej wsi oraz gminy; czy mam je Państwu podać, aby lista została zaktualizowana?</w:t>
      </w:r>
    </w:p>
    <w:p w14:paraId="24F1B617" w14:textId="7485CDFC" w:rsidR="000A00E1" w:rsidRPr="00EE4AD6" w:rsidRDefault="000A00E1" w:rsidP="00EE4AD6">
      <w:pPr>
        <w:pStyle w:val="Akapitzlist"/>
        <w:ind w:left="284"/>
        <w:contextualSpacing w:val="0"/>
        <w:rPr>
          <w:rFonts w:ascii="Calibri" w:hAnsi="Calibri" w:cs="Calibri"/>
          <w:szCs w:val="24"/>
        </w:rPr>
      </w:pPr>
      <w:r w:rsidRPr="00EE4AD6">
        <w:rPr>
          <w:rFonts w:ascii="Calibri" w:hAnsi="Calibri" w:cs="Calibri"/>
          <w:szCs w:val="24"/>
        </w:rPr>
        <w:t xml:space="preserve">W tym momencie nie ma już możliwości zmiany listy punktów adresowych wyznaczonych do objęcia zasięgiem sieci na terenie danego obszaru. Punkty zostały wyznaczone w oparciu o przeprowadzone przez Ministerstwo Cyfryzacji konsultacje społeczne w dniach 11 marca - 10 kwietnia 2024 r. </w:t>
      </w:r>
      <w:r w:rsidR="2EF79211" w:rsidRPr="00EE4AD6">
        <w:rPr>
          <w:rFonts w:ascii="Calibri" w:eastAsiaTheme="minorEastAsia" w:hAnsi="Calibri" w:cs="Calibri"/>
          <w:szCs w:val="24"/>
        </w:rPr>
        <w:t>Zbieranie danych było realizowane poprzez system SIDUSIS</w:t>
      </w:r>
      <w:r w:rsidR="2EF79211" w:rsidRPr="00EE4AD6">
        <w:rPr>
          <w:rFonts w:ascii="Calibri" w:eastAsia="Aptos" w:hAnsi="Calibri" w:cs="Calibri"/>
          <w:szCs w:val="24"/>
        </w:rPr>
        <w:t>.</w:t>
      </w:r>
      <w:r w:rsidR="2EF79211" w:rsidRPr="00EE4AD6">
        <w:rPr>
          <w:rFonts w:ascii="Calibri" w:hAnsi="Calibri" w:cs="Calibri"/>
          <w:szCs w:val="24"/>
        </w:rPr>
        <w:t xml:space="preserve"> </w:t>
      </w:r>
      <w:r w:rsidRPr="00EE4AD6">
        <w:rPr>
          <w:rFonts w:ascii="Calibri" w:hAnsi="Calibri" w:cs="Calibri"/>
          <w:szCs w:val="24"/>
        </w:rPr>
        <w:t>Baza punktów została następnie pomniejszona m.in. o:</w:t>
      </w:r>
    </w:p>
    <w:p w14:paraId="6DCC5FF2" w14:textId="77777777" w:rsidR="000A00E1" w:rsidRPr="00EE4AD6" w:rsidRDefault="000A00E1" w:rsidP="00EE4AD6">
      <w:pPr>
        <w:pStyle w:val="Akapitzlist"/>
        <w:ind w:left="284"/>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 xml:space="preserve">punkty adresowe znajdujące się w zasięgu sieci światłowodowej lub innego medium kablowego umożliwiającego świadczenie usług o przepustowości co najmniej 100 Mb/s, z </w:t>
      </w:r>
      <w:r w:rsidRPr="00EE4AD6">
        <w:rPr>
          <w:rFonts w:ascii="Calibri" w:hAnsi="Calibri" w:cs="Calibri"/>
          <w:bCs/>
          <w:szCs w:val="24"/>
        </w:rPr>
        <w:lastRenderedPageBreak/>
        <w:t>wyłączeniem medium radiowego, przekazane do systemu SIDUSIS według stanu na 10 kwietnia 2024 r., przez przedsiębiorców telekomunikacyjnych;</w:t>
      </w:r>
    </w:p>
    <w:p w14:paraId="14AB342F" w14:textId="77777777" w:rsidR="000A00E1" w:rsidRPr="00EE4AD6" w:rsidRDefault="000A00E1" w:rsidP="00EE4AD6">
      <w:pPr>
        <w:pStyle w:val="Akapitzlist"/>
        <w:ind w:left="284"/>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punkty adresowe dla których zgłoszono trzyletnie plany inwestycyjne w medium światłowodowym lub innym medium kablowym umożliwiającym świadczenie usług o przepustowości co najmniej 100 Mb/s, z wyłączeniem usług radiowych;</w:t>
      </w:r>
    </w:p>
    <w:p w14:paraId="06FDA63A" w14:textId="77777777" w:rsidR="000A00E1" w:rsidRPr="00EE4AD6" w:rsidRDefault="000A00E1" w:rsidP="00EE4AD6">
      <w:pPr>
        <w:pStyle w:val="Akapitzlist"/>
        <w:ind w:left="284"/>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punkty adresowe wskazane do realizacji i zrealizowane w ramach Programu Operacyjnego Polska Cyfrowa i zaraportowane do systemu SIMBA.</w:t>
      </w:r>
    </w:p>
    <w:p w14:paraId="65BD4837" w14:textId="3C5AB713" w:rsidR="000A00E1" w:rsidRPr="00EE4AD6" w:rsidRDefault="000A00E1" w:rsidP="00EE4AD6">
      <w:pPr>
        <w:pStyle w:val="Akapitzlist"/>
        <w:ind w:left="284"/>
        <w:contextualSpacing w:val="0"/>
        <w:rPr>
          <w:rFonts w:ascii="Calibri" w:hAnsi="Calibri" w:cs="Calibri"/>
          <w:szCs w:val="24"/>
        </w:rPr>
      </w:pPr>
      <w:r w:rsidRPr="00EE4AD6">
        <w:rPr>
          <w:rFonts w:ascii="Calibri" w:hAnsi="Calibri" w:cs="Calibri"/>
          <w:szCs w:val="24"/>
        </w:rPr>
        <w:t>Ponadto z uwagi na ograniczoną dostępność środków finansowych baza adresowa została pomniejszona również o punkty adresowe, których szacowany koszt objęcia zasięgiem przekraczałby 16 500 zł.</w:t>
      </w:r>
    </w:p>
    <w:p w14:paraId="0BEF6D2B" w14:textId="072990AC" w:rsidR="000A00E1" w:rsidRPr="00EE4AD6" w:rsidRDefault="003D337E"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Chciałbym poprosić o wyjaśnienia dotyczące poprawnego ujęcia dotacji (już otrzymanych) w załączniku nr 8. Otóż w zakładce „Scenariusz bazowy Bilans i RZiS” w wierszu 63 jest pozycja „Dotacje”. Zgodnie z moją wiedzą dotacja powinna być w RZiS ujęta w relacji do amortyzacji. Natomiast w zakładce „Scenariusz bazowy RPP” w wierszu 30 „Dotacje” powinny zostać ujęte rzeczywiste wpływy z dotacji. Tymczasem arkusz automatycznie importuje do RPP dane z zakładki „Scenariusz bazowy Bilans i RZiS” wiersz 63.</w:t>
      </w:r>
    </w:p>
    <w:p w14:paraId="70BD0506" w14:textId="6BC259EE" w:rsidR="003D337E" w:rsidRPr="00EE4AD6" w:rsidRDefault="003D337E" w:rsidP="00EE4AD6">
      <w:pPr>
        <w:ind w:left="284"/>
        <w:contextualSpacing/>
        <w:rPr>
          <w:rFonts w:ascii="Calibri" w:hAnsi="Calibri" w:cs="Calibri"/>
          <w:szCs w:val="24"/>
        </w:rPr>
      </w:pPr>
      <w:r w:rsidRPr="00EE4AD6">
        <w:rPr>
          <w:rFonts w:ascii="Calibri" w:hAnsi="Calibri" w:cs="Calibri"/>
          <w:szCs w:val="24"/>
        </w:rPr>
        <w:t>Wypełniając załącznik nr 8 należy kierować się załączoną</w:t>
      </w:r>
      <w:r w:rsidR="1241A535" w:rsidRPr="00EE4AD6">
        <w:rPr>
          <w:rFonts w:ascii="Calibri" w:hAnsi="Calibri" w:cs="Calibri"/>
          <w:szCs w:val="24"/>
        </w:rPr>
        <w:t xml:space="preserve"> do niego</w:t>
      </w:r>
      <w:r w:rsidRPr="00EE4AD6">
        <w:rPr>
          <w:rFonts w:ascii="Calibri" w:hAnsi="Calibri" w:cs="Calibri"/>
          <w:szCs w:val="24"/>
        </w:rPr>
        <w:t xml:space="preserve"> instrukcją.</w:t>
      </w:r>
    </w:p>
    <w:p w14:paraId="1E76A746" w14:textId="77777777" w:rsidR="003D337E" w:rsidRPr="00EE4AD6" w:rsidRDefault="003D337E" w:rsidP="00EE4AD6">
      <w:pPr>
        <w:ind w:left="284"/>
        <w:contextualSpacing/>
        <w:rPr>
          <w:rFonts w:ascii="Calibri" w:hAnsi="Calibri" w:cs="Calibri"/>
          <w:bCs/>
          <w:szCs w:val="24"/>
        </w:rPr>
      </w:pPr>
      <w:r w:rsidRPr="00EE4AD6">
        <w:rPr>
          <w:rFonts w:ascii="Calibri" w:hAnsi="Calibri" w:cs="Calibri"/>
          <w:bCs/>
          <w:szCs w:val="24"/>
        </w:rPr>
        <w:t>W arkuszu Scenariusz bazowy RPP należy szczegółowo opisać dotychczas otrzymane dotacje ze środków publicznych oraz uzasadnić przyjęte założenia będące bazą prognozy.</w:t>
      </w:r>
    </w:p>
    <w:p w14:paraId="0568F455" w14:textId="002A9289" w:rsidR="003D337E" w:rsidRPr="00EE4AD6" w:rsidRDefault="003D337E" w:rsidP="00EE4AD6">
      <w:pPr>
        <w:ind w:left="284"/>
        <w:contextualSpacing/>
        <w:rPr>
          <w:rFonts w:ascii="Calibri" w:hAnsi="Calibri" w:cs="Calibri"/>
          <w:bCs/>
          <w:szCs w:val="24"/>
        </w:rPr>
      </w:pPr>
      <w:r w:rsidRPr="00EE4AD6">
        <w:rPr>
          <w:rFonts w:ascii="Calibri" w:hAnsi="Calibri" w:cs="Calibri"/>
          <w:bCs/>
          <w:szCs w:val="24"/>
        </w:rPr>
        <w:t xml:space="preserve">Zgodnie z zasadami księgowymi Dotacja jest przychodem i należy ją zaksięgować w pozostałych przychodach operacyjnych, natomiast amortyzacja może być odliczana od środka trwałego zakupionego z dotacji. </w:t>
      </w:r>
    </w:p>
    <w:p w14:paraId="7F33935E" w14:textId="77777777" w:rsidR="003D337E" w:rsidRPr="00EE4AD6" w:rsidRDefault="003D337E" w:rsidP="00EE4AD6">
      <w:pPr>
        <w:ind w:left="284"/>
        <w:contextualSpacing/>
        <w:rPr>
          <w:rFonts w:ascii="Calibri" w:hAnsi="Calibri" w:cs="Calibri"/>
          <w:bCs/>
          <w:szCs w:val="24"/>
        </w:rPr>
      </w:pPr>
      <w:r w:rsidRPr="00EE4AD6">
        <w:rPr>
          <w:rFonts w:ascii="Calibri" w:hAnsi="Calibri" w:cs="Calibri"/>
          <w:bCs/>
          <w:szCs w:val="24"/>
        </w:rPr>
        <w:t xml:space="preserve">Wszystkie dane historyczne za okres n-2 i n-1 podawane są za zamknięte i przyjęte okresy sprawozdawcze, dlatego w zakładce „Scenariusz bazowy RPP” w wierszu 30 „Dotacje” dane importują się z zakładki „Scenariusz bazowy Bilans i RZiS”. </w:t>
      </w:r>
    </w:p>
    <w:p w14:paraId="16D74ABB" w14:textId="355D5B76" w:rsidR="008E792F" w:rsidRPr="00EE4AD6" w:rsidRDefault="003D337E" w:rsidP="00EE4AD6">
      <w:pPr>
        <w:ind w:left="284"/>
        <w:contextualSpacing/>
        <w:rPr>
          <w:rFonts w:ascii="Calibri" w:hAnsi="Calibri" w:cs="Calibri"/>
          <w:szCs w:val="24"/>
        </w:rPr>
      </w:pPr>
      <w:r w:rsidRPr="00EE4AD6">
        <w:rPr>
          <w:rFonts w:ascii="Calibri" w:hAnsi="Calibri" w:cs="Calibri"/>
          <w:szCs w:val="24"/>
        </w:rPr>
        <w:lastRenderedPageBreak/>
        <w:t>Jeżeli chodzi o arkusz „RPP projektu podlegającego ocenie” pod rachunkiem przepływów pieniężnych RPP należy szczegółowo opisać i uzasadnić sposób ujęcia dotacji w kalkulacji przepływów rocznych. Dotację należy wykazać przy użyciu metody przychodowej, w następujący sposób: koszty będące przedmiotem dotacji (w tym amortyzacja) należy wykazać w Rachunku zysków i strat, dotację należy wykazać w Rachunku zysków i strat sukcesywnie do zaistnienia ujęcia kosztów w księgach, dotację ujętą w pozostałych przychodach operacyjnych należy rozliczać odpowiednio z biernymi rozliczeniami międzyokresowymi</w:t>
      </w:r>
      <w:r w:rsidR="0082451D" w:rsidRPr="00EE4AD6">
        <w:rPr>
          <w:rFonts w:ascii="Calibri" w:hAnsi="Calibri" w:cs="Calibri"/>
          <w:szCs w:val="24"/>
        </w:rPr>
        <w:t>,</w:t>
      </w:r>
      <w:r w:rsidRPr="00EE4AD6">
        <w:rPr>
          <w:rFonts w:ascii="Calibri" w:hAnsi="Calibri" w:cs="Calibri"/>
          <w:szCs w:val="24"/>
        </w:rPr>
        <w:t xml:space="preserve"> co należy także uwidocznić w Rachunku przepływów pieniężnych w pozycji inne korekty, rzeczywisty wpływ środków z dotacji należy wykazać w Rachunku przepływów pieniężnych we wpływach z działalności finansowej.</w:t>
      </w:r>
    </w:p>
    <w:p w14:paraId="7A358670" w14:textId="202981F0" w:rsidR="00FC0957" w:rsidRPr="00EE4AD6" w:rsidRDefault="00DC1BEA" w:rsidP="00EE4AD6">
      <w:pPr>
        <w:pStyle w:val="Akapitzlist"/>
        <w:numPr>
          <w:ilvl w:val="0"/>
          <w:numId w:val="1"/>
        </w:numPr>
        <w:ind w:left="284"/>
        <w:rPr>
          <w:rFonts w:ascii="Calibri" w:hAnsi="Calibri" w:cs="Calibri"/>
          <w:b/>
          <w:szCs w:val="24"/>
        </w:rPr>
      </w:pPr>
      <w:r w:rsidRPr="00EE4AD6">
        <w:rPr>
          <w:rFonts w:ascii="Calibri" w:hAnsi="Calibri" w:cs="Calibri"/>
          <w:b/>
          <w:szCs w:val="24"/>
        </w:rPr>
        <w:t>Z</w:t>
      </w:r>
      <w:r w:rsidR="00FC0957" w:rsidRPr="00EE4AD6">
        <w:rPr>
          <w:rFonts w:ascii="Calibri" w:hAnsi="Calibri" w:cs="Calibri"/>
          <w:b/>
          <w:szCs w:val="24"/>
        </w:rPr>
        <w:t>wracam się z następującymi pytaniami dot. Załącznika nr 8 (Załącznika finansowego):</w:t>
      </w:r>
    </w:p>
    <w:p w14:paraId="7C89F23E" w14:textId="4F7AEEDD" w:rsidR="003D337E" w:rsidRPr="00EE4AD6" w:rsidRDefault="003D337E" w:rsidP="00EE4AD6">
      <w:pPr>
        <w:pStyle w:val="Akapitzlist"/>
        <w:numPr>
          <w:ilvl w:val="1"/>
          <w:numId w:val="3"/>
        </w:numPr>
        <w:ind w:left="284"/>
        <w:rPr>
          <w:rFonts w:ascii="Calibri" w:hAnsi="Calibri" w:cs="Calibri"/>
          <w:b/>
          <w:szCs w:val="24"/>
        </w:rPr>
      </w:pPr>
      <w:r w:rsidRPr="00EE4AD6">
        <w:rPr>
          <w:rFonts w:ascii="Calibri" w:hAnsi="Calibri" w:cs="Calibri"/>
          <w:b/>
          <w:szCs w:val="24"/>
        </w:rPr>
        <w:t>W arkuszu stanowiącym Załącznik finansowy są m.in.: dwie zakładki pn.: „Oceniany projekt Bilans i RZiS” oraz „Oceniany projekt RPP”. Czy Bilans i RZiS oraz RPP w tych zakładkach ma być sporządzony na podstawie danych finansowych (przepływów) tylko ocenianego projektu czy też na podstawie danych wspólnych: projektu wraz danymi przedsiębiorstwa?</w:t>
      </w:r>
    </w:p>
    <w:p w14:paraId="655DBC76" w14:textId="53F2E9FC" w:rsidR="003D337E" w:rsidRPr="00EE4AD6" w:rsidRDefault="003D337E" w:rsidP="00EE4AD6">
      <w:pPr>
        <w:pStyle w:val="Akapitzlist"/>
        <w:numPr>
          <w:ilvl w:val="0"/>
          <w:numId w:val="3"/>
        </w:numPr>
        <w:ind w:left="284"/>
        <w:rPr>
          <w:rFonts w:ascii="Calibri" w:hAnsi="Calibri" w:cs="Calibri"/>
          <w:b/>
          <w:szCs w:val="24"/>
        </w:rPr>
      </w:pPr>
      <w:r w:rsidRPr="00EE4AD6">
        <w:rPr>
          <w:rFonts w:ascii="Calibri" w:hAnsi="Calibri" w:cs="Calibri"/>
          <w:b/>
          <w:szCs w:val="24"/>
        </w:rPr>
        <w:t>W zakładce „Oceniany projekt RPP” są następujące dwa pola: „Wartość projektu” oraz „Wartość kosztów kwalifikowalnych”. Czy Wartość projektu, którą należy wpisać równa jest Wartości ogółem bez uwzględnienia współczynnika obniżenia czy też równa jest Wartości wydatków ogółem po uwzględnieniu współczynnika obniżenia? Jednocześnie, czy Wartość kosztów kwalifikowalnych, którą należy wpisać równa jest Wartości wydatków kwalifikowalnych bez uwzględnienia współczynnika obniżenia czy też równa jest Wartości wydatków kwalifikowalnych po uwzględnieniu współczynnika obniżenia?</w:t>
      </w:r>
    </w:p>
    <w:p w14:paraId="23D975AE" w14:textId="5813E304" w:rsidR="003D337E" w:rsidRPr="00EE4AD6" w:rsidRDefault="003D337E" w:rsidP="00EE4AD6">
      <w:pPr>
        <w:ind w:left="284"/>
        <w:rPr>
          <w:rFonts w:ascii="Calibri" w:hAnsi="Calibri" w:cs="Calibri"/>
          <w:b/>
          <w:szCs w:val="24"/>
        </w:rPr>
      </w:pPr>
      <w:r w:rsidRPr="00EE4AD6">
        <w:rPr>
          <w:rFonts w:ascii="Calibri" w:hAnsi="Calibri" w:cs="Calibri"/>
          <w:b/>
          <w:szCs w:val="24"/>
        </w:rPr>
        <w:t>Powyższe pytanie o doprecyzowanie wartości jakie należy wpisać we wskazanych polach jest podyktowane różnicami w nazewnictwie ww. grup wydatków/kosztów pomiędzy Załącznikiem finansowym, a Montażem finansowym Formularza wniosku.</w:t>
      </w:r>
    </w:p>
    <w:p w14:paraId="6C52A75A" w14:textId="77777777" w:rsidR="00A360BD" w:rsidRPr="00EE4AD6" w:rsidRDefault="00A360BD" w:rsidP="00EE4AD6">
      <w:pPr>
        <w:ind w:left="284"/>
        <w:rPr>
          <w:rFonts w:ascii="Calibri" w:hAnsi="Calibri" w:cs="Calibri"/>
          <w:bCs/>
          <w:szCs w:val="24"/>
        </w:rPr>
      </w:pPr>
      <w:r w:rsidRPr="00EE4AD6">
        <w:rPr>
          <w:rFonts w:ascii="Calibri" w:hAnsi="Calibri" w:cs="Calibri"/>
          <w:bCs/>
          <w:szCs w:val="24"/>
        </w:rPr>
        <w:lastRenderedPageBreak/>
        <w:t>Ad 1. Model oceny wymaga przygotowania przez Wnioskodawcę:</w:t>
      </w:r>
    </w:p>
    <w:p w14:paraId="39EB1E4F" w14:textId="77777777" w:rsidR="00A360BD" w:rsidRPr="00EE4AD6" w:rsidRDefault="00A360BD" w:rsidP="00EE4AD6">
      <w:pPr>
        <w:pStyle w:val="Akapitzlist"/>
        <w:numPr>
          <w:ilvl w:val="0"/>
          <w:numId w:val="4"/>
        </w:numPr>
        <w:ind w:left="284"/>
        <w:rPr>
          <w:rFonts w:ascii="Calibri" w:hAnsi="Calibri" w:cs="Calibri"/>
          <w:bCs/>
          <w:szCs w:val="24"/>
        </w:rPr>
      </w:pPr>
      <w:r w:rsidRPr="00EE4AD6">
        <w:rPr>
          <w:rFonts w:ascii="Calibri" w:hAnsi="Calibri" w:cs="Calibri"/>
          <w:bCs/>
          <w:szCs w:val="24"/>
        </w:rPr>
        <w:t>Scenariusza bazowego 0 (zero) - Bilans i RZiS oraz RPP scenariusz bazowy bez projektu podlegającego ocenie (SBBP)</w:t>
      </w:r>
    </w:p>
    <w:p w14:paraId="0BF684DC" w14:textId="77777777" w:rsidR="00A360BD" w:rsidRPr="00EE4AD6" w:rsidRDefault="00A360BD" w:rsidP="00EE4AD6">
      <w:pPr>
        <w:pStyle w:val="Akapitzlist"/>
        <w:numPr>
          <w:ilvl w:val="0"/>
          <w:numId w:val="4"/>
        </w:numPr>
        <w:ind w:left="284"/>
        <w:rPr>
          <w:rFonts w:ascii="Calibri" w:hAnsi="Calibri" w:cs="Calibri"/>
          <w:bCs/>
          <w:szCs w:val="24"/>
        </w:rPr>
      </w:pPr>
      <w:r w:rsidRPr="00EE4AD6">
        <w:rPr>
          <w:rFonts w:ascii="Calibri" w:hAnsi="Calibri" w:cs="Calibri"/>
          <w:bCs/>
          <w:szCs w:val="24"/>
        </w:rPr>
        <w:t>Scenariusza referencyjnego 1,2 itd. (jeden lub kolejny) - Bilans i RZiS oraz RPP projektu podlegającego ocenie (SOP)</w:t>
      </w:r>
    </w:p>
    <w:p w14:paraId="5489C132" w14:textId="3D61BA5E" w:rsidR="00A360BD" w:rsidRPr="00EE4AD6" w:rsidRDefault="00A360BD" w:rsidP="00EE4AD6">
      <w:pPr>
        <w:ind w:left="284"/>
        <w:rPr>
          <w:rFonts w:ascii="Calibri" w:hAnsi="Calibri" w:cs="Calibri"/>
          <w:szCs w:val="24"/>
        </w:rPr>
      </w:pPr>
      <w:r w:rsidRPr="00EE4AD6">
        <w:rPr>
          <w:rFonts w:ascii="Calibri" w:hAnsi="Calibri" w:cs="Calibri"/>
          <w:szCs w:val="24"/>
        </w:rPr>
        <w:t>W przypadku przedkładania kolejnych projektów, poprzednio oceniany staje się częścią scenariusza bazowego (SBBP), zaś obecnie oceniany otrzymuje kolejną numerację. W kolejnych przedkładanych projektach Wnioskodawca uzupełnia dane dla kolejnego z projektów uwzględnionych w Scenariuszu bazowym, który wcześniej podlegał ocenie. Przykładowo w pliku dla drugiego projektu wybiera się w arkuszu Scenariusz bazowy Bilans i RZiS kolejną liczbę 1 (bo w bazowych danych są dane pierwszego projektu). Następuje wówczas automatyczne uzupełnienie w arkuszu Scenariusz bazowy RPP wartością "1</w:t>
      </w:r>
      <w:r w:rsidR="06A97C0F" w:rsidRPr="00EE4AD6">
        <w:rPr>
          <w:rFonts w:ascii="Calibri" w:hAnsi="Calibri" w:cs="Calibri"/>
          <w:szCs w:val="24"/>
        </w:rPr>
        <w:t>"</w:t>
      </w:r>
      <w:r w:rsidRPr="00EE4AD6">
        <w:rPr>
          <w:rFonts w:ascii="Calibri" w:hAnsi="Calibri" w:cs="Calibri"/>
          <w:szCs w:val="24"/>
        </w:rPr>
        <w:t xml:space="preserve"> oraz w kolejnych arkuszach wartością "2" (czyli wartość bazowa +1). Przedkładając kolejny projekt Wnioskodawca sumuje poprzednio oceniany projekt (oceniane projekty) z wartościami uznanymi poprzednio za bazowe. Każdy kolejny oceniony projekt ma oddzielnie projektowany Bilans, RZiS oraz RPP, zaś wartości bazowe narastają o wartości projektów wcześniej przedkładanych (podlegających) cenie.</w:t>
      </w:r>
    </w:p>
    <w:p w14:paraId="029E9A44" w14:textId="1CACDA3E" w:rsidR="00A360BD" w:rsidRPr="00EE4AD6" w:rsidRDefault="00A360BD" w:rsidP="00EE4AD6">
      <w:pPr>
        <w:ind w:left="284"/>
        <w:rPr>
          <w:rFonts w:ascii="Calibri" w:hAnsi="Calibri" w:cs="Calibri"/>
          <w:bCs/>
          <w:szCs w:val="24"/>
        </w:rPr>
      </w:pPr>
      <w:r w:rsidRPr="00EE4AD6">
        <w:rPr>
          <w:rFonts w:ascii="Calibri" w:hAnsi="Calibri" w:cs="Calibri"/>
          <w:bCs/>
          <w:szCs w:val="24"/>
        </w:rPr>
        <w:t xml:space="preserve"> Ad 2. Należy podać wartości z uwzględnieniem współczynnika obniżenia.</w:t>
      </w:r>
    </w:p>
    <w:p w14:paraId="4462E374" w14:textId="1E40A60B" w:rsidR="00A360BD" w:rsidRPr="00EE4AD6" w:rsidRDefault="00A360BD" w:rsidP="00EE4AD6">
      <w:pPr>
        <w:pStyle w:val="Akapitzlist"/>
        <w:numPr>
          <w:ilvl w:val="0"/>
          <w:numId w:val="1"/>
        </w:numPr>
        <w:ind w:left="284"/>
        <w:rPr>
          <w:rFonts w:ascii="Calibri" w:hAnsi="Calibri" w:cs="Calibri"/>
          <w:b/>
          <w:szCs w:val="24"/>
        </w:rPr>
      </w:pPr>
      <w:r w:rsidRPr="00EE4AD6">
        <w:rPr>
          <w:rFonts w:ascii="Calibri" w:hAnsi="Calibri" w:cs="Calibri"/>
          <w:b/>
          <w:szCs w:val="24"/>
        </w:rPr>
        <w:t>Mam pytanie, czy punkty adresowe które są na liście obszarów konkursowych, ale według strony internet.gov.pl, są w zasięgu lub mają zasięg hurtowy mogą być uwzględnione we wniosku o dotację? Czy takie punkty najlepiej nie brać pod uwagę? Jeszcze jedno pytanie, czy PA pod którymi znajdują się firmy lub kompleksy firmowe wliczać też?</w:t>
      </w:r>
    </w:p>
    <w:p w14:paraId="2C1915D8" w14:textId="1BF0076C" w:rsidR="00A360BD" w:rsidRPr="00EE4AD6" w:rsidRDefault="00A360BD" w:rsidP="00EE4AD6">
      <w:pPr>
        <w:ind w:left="284"/>
        <w:rPr>
          <w:rFonts w:ascii="Calibri" w:hAnsi="Calibri" w:cs="Calibri"/>
          <w:bCs/>
          <w:szCs w:val="24"/>
        </w:rPr>
      </w:pPr>
      <w:r w:rsidRPr="00EE4AD6">
        <w:rPr>
          <w:rFonts w:ascii="Calibri" w:hAnsi="Calibri" w:cs="Calibri"/>
          <w:bCs/>
          <w:szCs w:val="24"/>
        </w:rPr>
        <w:t>Wszystkie punkty adresowe podane na listach obszarów konkursowych publikowanych na stronie naboru mogą zostać włączone do realizacji przedsięwzięcia.</w:t>
      </w:r>
    </w:p>
    <w:p w14:paraId="74DB8E58" w14:textId="52DE17AB" w:rsidR="00A360BD" w:rsidRPr="00EE4AD6" w:rsidRDefault="00A360BD" w:rsidP="00EE4AD6">
      <w:pPr>
        <w:pStyle w:val="Akapitzlist"/>
        <w:numPr>
          <w:ilvl w:val="0"/>
          <w:numId w:val="1"/>
        </w:numPr>
        <w:ind w:left="284"/>
        <w:rPr>
          <w:rFonts w:ascii="Calibri" w:hAnsi="Calibri" w:cs="Calibri"/>
          <w:b/>
          <w:bCs/>
          <w:szCs w:val="24"/>
        </w:rPr>
      </w:pPr>
      <w:r w:rsidRPr="00EE4AD6">
        <w:rPr>
          <w:rFonts w:ascii="Calibri" w:hAnsi="Calibri" w:cs="Calibri"/>
          <w:b/>
          <w:bCs/>
          <w:szCs w:val="24"/>
        </w:rPr>
        <w:lastRenderedPageBreak/>
        <w:t>Proszę o informację zwrotn</w:t>
      </w:r>
      <w:r w:rsidR="1934F5DF" w:rsidRPr="00EE4AD6">
        <w:rPr>
          <w:rFonts w:ascii="Calibri" w:hAnsi="Calibri" w:cs="Calibri"/>
          <w:b/>
          <w:bCs/>
          <w:szCs w:val="24"/>
        </w:rPr>
        <w:t>ą</w:t>
      </w:r>
      <w:r w:rsidRPr="00EE4AD6">
        <w:rPr>
          <w:rFonts w:ascii="Calibri" w:hAnsi="Calibri" w:cs="Calibri"/>
          <w:b/>
          <w:bCs/>
          <w:szCs w:val="24"/>
        </w:rPr>
        <w:t xml:space="preserve"> na jakim etapie jest wyłonienie wykonawcy na instalacje Internetu światłowodowego na terenie gminy Łysomice. Kiedy możemy się spodziewać realizacji projektu z konkursu. Proszę również o informację kontaktowe po wyłonieniu wykonawcy na terenie gminy Łysomice.</w:t>
      </w:r>
    </w:p>
    <w:p w14:paraId="52B60310" w14:textId="380F5D1B" w:rsidR="00A360BD" w:rsidRPr="00EE4AD6" w:rsidRDefault="00A360BD" w:rsidP="00EE4AD6">
      <w:pPr>
        <w:ind w:left="284"/>
        <w:contextualSpacing/>
        <w:rPr>
          <w:rFonts w:ascii="Calibri" w:hAnsi="Calibri" w:cs="Calibri"/>
          <w:szCs w:val="24"/>
        </w:rPr>
      </w:pPr>
      <w:r w:rsidRPr="00EE4AD6">
        <w:rPr>
          <w:rFonts w:ascii="Calibri" w:hAnsi="Calibri" w:cs="Calibri"/>
          <w:szCs w:val="24"/>
        </w:rPr>
        <w:t xml:space="preserve">W ramach ogłoszonego konkursu dotyczącego Inwestycji C 1.1.1 Zapewnienie dostępu do bardzo szybkiego internetu na obszarach białych plam nabór wniosków będzie trwał od 6 czerwca 2024 roku do 6 sierpnia 2024 roku do godz. 16:59. </w:t>
      </w:r>
    </w:p>
    <w:p w14:paraId="2BA05E5F" w14:textId="77777777" w:rsidR="00A360BD" w:rsidRPr="00EE4AD6" w:rsidRDefault="00A360BD" w:rsidP="00EE4AD6">
      <w:pPr>
        <w:ind w:left="284"/>
        <w:contextualSpacing/>
        <w:rPr>
          <w:rFonts w:ascii="Calibri" w:hAnsi="Calibri" w:cs="Calibri"/>
          <w:szCs w:val="24"/>
        </w:rPr>
      </w:pPr>
      <w:r w:rsidRPr="00EE4AD6">
        <w:rPr>
          <w:rFonts w:ascii="Calibri" w:hAnsi="Calibri" w:cs="Calibri"/>
          <w:szCs w:val="24"/>
        </w:rPr>
        <w:t xml:space="preserve">Informacje dotyczące rozstrzygnięcia naboru na obszarze konkursowym nr 6.04.15.1 - gm. Łysomce, zostaną umieszczone na stronie internetowej CPPC oraz na Portalu Funduszy Europejskich niezwłocznie po rozstrzygnięciu naboru. </w:t>
      </w:r>
    </w:p>
    <w:p w14:paraId="42512905" w14:textId="77777777" w:rsidR="00A360BD" w:rsidRPr="00EE4AD6" w:rsidRDefault="00A360BD" w:rsidP="00EE4AD6">
      <w:pPr>
        <w:ind w:left="284"/>
        <w:contextualSpacing/>
        <w:rPr>
          <w:rFonts w:ascii="Calibri" w:hAnsi="Calibri" w:cs="Calibri"/>
          <w:szCs w:val="24"/>
        </w:rPr>
      </w:pPr>
      <w:r w:rsidRPr="00EE4AD6">
        <w:rPr>
          <w:rFonts w:ascii="Calibri" w:hAnsi="Calibri" w:cs="Calibri"/>
          <w:szCs w:val="24"/>
        </w:rPr>
        <w:t>Realizacja Przedsięwzięć musi zakończyć się do dnia 31 sierpnia 2026 roku.</w:t>
      </w:r>
    </w:p>
    <w:p w14:paraId="787F6C9A" w14:textId="3E9F7BBC" w:rsidR="00A360BD" w:rsidRPr="00EE4AD6" w:rsidRDefault="00A360BD" w:rsidP="00EE4AD6">
      <w:pPr>
        <w:ind w:left="284"/>
        <w:contextualSpacing/>
        <w:rPr>
          <w:rFonts w:ascii="Calibri" w:hAnsi="Calibri" w:cs="Calibri"/>
          <w:szCs w:val="24"/>
        </w:rPr>
      </w:pPr>
      <w:r w:rsidRPr="00EE4AD6">
        <w:rPr>
          <w:rFonts w:ascii="Calibri" w:hAnsi="Calibri" w:cs="Calibri"/>
          <w:szCs w:val="24"/>
        </w:rPr>
        <w:t>Nabór prowadzony jest jawnie, z zapewnieniem publicznego dostępu do informacji o zasadach jego prowadzenia oraz do Listy rankingowej. Zachęcam do śledzenia naszej strony i zapoznania się z zasadami obecnego naboru.</w:t>
      </w:r>
    </w:p>
    <w:p w14:paraId="3713BFFB" w14:textId="0F6F184A" w:rsidR="00A360BD" w:rsidRPr="00EE4AD6" w:rsidRDefault="00DF3876" w:rsidP="00EE4AD6">
      <w:pPr>
        <w:pStyle w:val="Akapitzlist"/>
        <w:numPr>
          <w:ilvl w:val="0"/>
          <w:numId w:val="1"/>
        </w:numPr>
        <w:ind w:left="284"/>
        <w:rPr>
          <w:rFonts w:ascii="Calibri" w:hAnsi="Calibri" w:cs="Calibri"/>
          <w:b/>
          <w:bCs/>
          <w:szCs w:val="24"/>
        </w:rPr>
      </w:pPr>
      <w:r w:rsidRPr="00EE4AD6">
        <w:rPr>
          <w:rFonts w:ascii="Calibri" w:hAnsi="Calibri" w:cs="Calibri"/>
          <w:b/>
          <w:bCs/>
          <w:szCs w:val="24"/>
        </w:rPr>
        <w:t>Jeśli</w:t>
      </w:r>
      <w:r w:rsidR="00A360BD" w:rsidRPr="00EE4AD6">
        <w:rPr>
          <w:rFonts w:ascii="Calibri" w:hAnsi="Calibri" w:cs="Calibri"/>
          <w:b/>
          <w:bCs/>
          <w:szCs w:val="24"/>
        </w:rPr>
        <w:t xml:space="preserve"> Spółka posiada już umowę kredytową z bankami nadzorowanymi przez KNF, zawartą dla celów szeroko pojętej realizacji inwestycji w rozwój (w tym budowę) infrastruktury telekomunikacyjnej</w:t>
      </w:r>
      <w:r w:rsidRPr="00EE4AD6">
        <w:rPr>
          <w:rFonts w:ascii="Calibri" w:hAnsi="Calibri" w:cs="Calibri"/>
          <w:b/>
          <w:bCs/>
          <w:szCs w:val="24"/>
        </w:rPr>
        <w:t xml:space="preserve"> </w:t>
      </w:r>
      <w:r w:rsidR="00A360BD" w:rsidRPr="00EE4AD6">
        <w:rPr>
          <w:rFonts w:ascii="Calibri" w:hAnsi="Calibri" w:cs="Calibri"/>
          <w:b/>
          <w:bCs/>
          <w:szCs w:val="24"/>
        </w:rPr>
        <w:t>i będzie chciała wykorzystać tę umowę kredytową również na potrzeby realizacji wybranych projektów KPO3, nie ma konieczności jej „dedykowania” pod te określone projekty</w:t>
      </w:r>
      <w:r w:rsidRPr="00EE4AD6">
        <w:rPr>
          <w:rFonts w:ascii="Calibri" w:hAnsi="Calibri" w:cs="Calibri"/>
          <w:b/>
          <w:bCs/>
          <w:szCs w:val="24"/>
        </w:rPr>
        <w:t>?</w:t>
      </w:r>
      <w:r w:rsidR="00A360BD" w:rsidRPr="00EE4AD6">
        <w:rPr>
          <w:rFonts w:ascii="Calibri" w:hAnsi="Calibri" w:cs="Calibri"/>
          <w:b/>
          <w:bCs/>
          <w:szCs w:val="24"/>
        </w:rPr>
        <w:t xml:space="preserve"> Jak rozumiemy, wymóg przypisania konkretnie ocenianego projektu dotyczy tylko promesy</w:t>
      </w:r>
      <w:r w:rsidRPr="00EE4AD6">
        <w:rPr>
          <w:rFonts w:ascii="Calibri" w:hAnsi="Calibri" w:cs="Calibri"/>
          <w:b/>
          <w:bCs/>
          <w:szCs w:val="24"/>
        </w:rPr>
        <w:t>?</w:t>
      </w:r>
    </w:p>
    <w:p w14:paraId="7E6FCDA2" w14:textId="77777777" w:rsidR="00A360BD" w:rsidRPr="00EE4AD6" w:rsidRDefault="00A360BD" w:rsidP="00EE4AD6">
      <w:pPr>
        <w:pStyle w:val="Akapitzlist"/>
        <w:ind w:left="284"/>
        <w:rPr>
          <w:rFonts w:ascii="Calibri" w:hAnsi="Calibri" w:cs="Calibri"/>
          <w:b/>
          <w:bCs/>
          <w:szCs w:val="24"/>
        </w:rPr>
      </w:pPr>
      <w:r w:rsidRPr="00EE4AD6">
        <w:rPr>
          <w:rFonts w:ascii="Calibri" w:hAnsi="Calibri" w:cs="Calibri"/>
          <w:b/>
          <w:bCs/>
          <w:szCs w:val="24"/>
        </w:rPr>
        <w:t>W odniesieniu do zawartej wcześniej przez Spółkę i obowiązującej już umowy kredytowej, która również będzie służyć finansowaniu wybranych projektów KPO3, Spółka jest zobowiązana do przedłożenia tej umowy wraz ze złożeniem wniosku.</w:t>
      </w:r>
    </w:p>
    <w:p w14:paraId="2230B02C" w14:textId="494FBAFC" w:rsidR="00A360BD" w:rsidRPr="00EE4AD6" w:rsidRDefault="00A360BD" w:rsidP="00EE4AD6">
      <w:pPr>
        <w:pStyle w:val="Akapitzlist"/>
        <w:ind w:left="284"/>
        <w:rPr>
          <w:rFonts w:ascii="Calibri" w:hAnsi="Calibri" w:cs="Calibri"/>
          <w:b/>
          <w:bCs/>
          <w:szCs w:val="24"/>
        </w:rPr>
      </w:pPr>
      <w:r w:rsidRPr="00EE4AD6">
        <w:rPr>
          <w:rFonts w:ascii="Calibri" w:hAnsi="Calibri" w:cs="Calibri"/>
          <w:b/>
          <w:bCs/>
          <w:szCs w:val="24"/>
        </w:rPr>
        <w:t>Uprzejma prośba o informację, czy będzie możliwe przedstawienie jedynie wyciągu z tej umowy i jeśli tak, jakiego rodzaju zapisy umowy kredytowej należałoby uwzględnić w takim wyciągu</w:t>
      </w:r>
      <w:r w:rsidR="00DF3876" w:rsidRPr="00EE4AD6">
        <w:rPr>
          <w:rFonts w:ascii="Calibri" w:hAnsi="Calibri" w:cs="Calibri"/>
          <w:b/>
          <w:bCs/>
          <w:szCs w:val="24"/>
        </w:rPr>
        <w:t>?</w:t>
      </w:r>
    </w:p>
    <w:p w14:paraId="747478B6" w14:textId="7E4FC8D3" w:rsidR="00DF3876" w:rsidRPr="00EE4AD6" w:rsidRDefault="00A360BD" w:rsidP="00EE4AD6">
      <w:pPr>
        <w:pStyle w:val="Akapitzlist"/>
        <w:ind w:left="284"/>
        <w:contextualSpacing w:val="0"/>
        <w:rPr>
          <w:rFonts w:ascii="Calibri" w:hAnsi="Calibri" w:cs="Calibri"/>
          <w:b/>
          <w:bCs/>
          <w:szCs w:val="24"/>
        </w:rPr>
      </w:pPr>
      <w:r w:rsidRPr="00EE4AD6">
        <w:rPr>
          <w:rFonts w:ascii="Calibri" w:hAnsi="Calibri" w:cs="Calibri"/>
          <w:b/>
          <w:bCs/>
          <w:szCs w:val="24"/>
        </w:rPr>
        <w:lastRenderedPageBreak/>
        <w:t>Pełna dokumentacja kredytowa Spółki jest niezwykle obszerna i sporządzona w języku angielskim.</w:t>
      </w:r>
    </w:p>
    <w:p w14:paraId="28ED41DE" w14:textId="77777777" w:rsidR="00DF3876" w:rsidRPr="00EE4AD6" w:rsidRDefault="00DF3876" w:rsidP="00EE4AD6">
      <w:pPr>
        <w:pStyle w:val="Akapitzlist"/>
        <w:ind w:left="284"/>
        <w:contextualSpacing w:val="0"/>
        <w:rPr>
          <w:rFonts w:ascii="Calibri" w:hAnsi="Calibri" w:cs="Calibri"/>
          <w:szCs w:val="24"/>
        </w:rPr>
      </w:pPr>
      <w:r w:rsidRPr="00EE4AD6">
        <w:rPr>
          <w:rFonts w:ascii="Calibri" w:hAnsi="Calibri" w:cs="Calibri"/>
          <w:szCs w:val="24"/>
        </w:rPr>
        <w:t xml:space="preserve">Umowa kredytowa (umowa równoważna) ze strony banku lub instytucji nadzorowanej przez KNF nie musi dotyczyć konkretnie ocenianego projektu. Umowa kredytowa lub równoważna musi zostać załączona wraz z wnioskiem. </w:t>
      </w:r>
    </w:p>
    <w:p w14:paraId="06F9B1E1" w14:textId="16874DC5" w:rsidR="00DF3876" w:rsidRPr="00EE4AD6" w:rsidRDefault="00DF3876" w:rsidP="00EE4AD6">
      <w:pPr>
        <w:pStyle w:val="Akapitzlist"/>
        <w:ind w:left="284"/>
        <w:contextualSpacing w:val="0"/>
        <w:rPr>
          <w:rFonts w:ascii="Calibri" w:hAnsi="Calibri" w:cs="Calibri"/>
          <w:szCs w:val="24"/>
        </w:rPr>
      </w:pPr>
      <w:r w:rsidRPr="00EE4AD6">
        <w:rPr>
          <w:rFonts w:ascii="Calibri" w:hAnsi="Calibri" w:cs="Calibri"/>
          <w:szCs w:val="24"/>
        </w:rPr>
        <w:t>Należy pamiętać, że dokumenty w formie załączników do Wniosku sporządzone w języku obcym muszą zostać przetłumaczone na język polski przez tłumacza przysięgłego.</w:t>
      </w:r>
    </w:p>
    <w:p w14:paraId="7A82647A" w14:textId="339A33B4" w:rsidR="00DF3876" w:rsidRPr="00EE4AD6" w:rsidRDefault="00DF3876" w:rsidP="00EE4AD6">
      <w:pPr>
        <w:pStyle w:val="Akapitzlist"/>
        <w:numPr>
          <w:ilvl w:val="0"/>
          <w:numId w:val="1"/>
        </w:numPr>
        <w:ind w:left="284"/>
        <w:contextualSpacing w:val="0"/>
        <w:rPr>
          <w:rFonts w:ascii="Calibri" w:hAnsi="Calibri" w:cs="Calibri"/>
          <w:b/>
          <w:bCs/>
          <w:szCs w:val="24"/>
        </w:rPr>
      </w:pPr>
      <w:r w:rsidRPr="00EE4AD6">
        <w:rPr>
          <w:rFonts w:ascii="Calibri" w:hAnsi="Calibri" w:cs="Calibri"/>
          <w:b/>
          <w:bCs/>
          <w:szCs w:val="24"/>
        </w:rPr>
        <w:t xml:space="preserve">Czy kryterium merytoryczne nr 12 - Wnioskodawca posiada doświadczenie w zakresie realizacji projektów/inwestycji dotyczących budowy sieci telekomunikacyjnych uzyskane od 1.01.2015 r. do dnia złożenia Wniosku o objęcie przedsięwzięcia wsparciem, zostanie uznane za </w:t>
      </w:r>
      <w:r w:rsidR="008D5159" w:rsidRPr="00EE4AD6">
        <w:rPr>
          <w:rFonts w:ascii="Calibri" w:hAnsi="Calibri" w:cs="Calibri"/>
          <w:b/>
          <w:bCs/>
          <w:szCs w:val="24"/>
        </w:rPr>
        <w:t>spełnione,</w:t>
      </w:r>
      <w:r w:rsidRPr="00EE4AD6">
        <w:rPr>
          <w:rFonts w:ascii="Calibri" w:hAnsi="Calibri" w:cs="Calibri"/>
          <w:b/>
          <w:bCs/>
          <w:szCs w:val="24"/>
        </w:rPr>
        <w:t xml:space="preserve"> jeśli Wnioskodawca wykaże, że był wykonawcą budowy sieci telekomunikacyjnych dla podmiotów zewnętrznych? Czy w ramach tego kryterium liczą się tylko inwestycje budowy sieci, w ramach których Wnioskodawca był zarówno inwestorem, jak i wykonawcą?</w:t>
      </w:r>
    </w:p>
    <w:p w14:paraId="4F344172" w14:textId="1587CD2A" w:rsidR="00DF3876" w:rsidRPr="00EE4AD6" w:rsidRDefault="00DF3876" w:rsidP="00EE4AD6">
      <w:pPr>
        <w:pStyle w:val="Akapitzlist"/>
        <w:ind w:left="284"/>
        <w:contextualSpacing w:val="0"/>
        <w:rPr>
          <w:rFonts w:ascii="Calibri" w:hAnsi="Calibri" w:cs="Calibri"/>
          <w:szCs w:val="24"/>
        </w:rPr>
      </w:pPr>
      <w:r w:rsidRPr="00EE4AD6">
        <w:rPr>
          <w:rFonts w:ascii="Calibri" w:hAnsi="Calibri" w:cs="Calibri"/>
          <w:szCs w:val="24"/>
        </w:rPr>
        <w:t>Jako doświadczenie mogą zostać wykazane inwestycje, które Wnioskodawca zrealizował jako podmiot realizujący inwestycje, czyli podmiot, który w okresie od 1 stycznia 2015 roku do dnia złożenia Wniosku o objęcie przedsięwzięcia wsparciem, zrealizował inwestycje z zakresu budowy, rozbudowy lub przebudowy sieci telekomunikacyjnych. Podmiot realizujący odpowiada za całość procesu inwestycyjnego, w tym planowanie, finansowanie, realizację oraz zarządzanie projektem. Dotyczy to również przypadków, kiedy część usług lub dostaw była realizowana przez zewnętrznych podwykonawców.</w:t>
      </w:r>
    </w:p>
    <w:p w14:paraId="4FAF2D58" w14:textId="40DF84E5" w:rsidR="00DF3876" w:rsidRPr="00EE4AD6" w:rsidRDefault="00DF3876" w:rsidP="00EE4AD6">
      <w:pPr>
        <w:pStyle w:val="Akapitzlist"/>
        <w:numPr>
          <w:ilvl w:val="0"/>
          <w:numId w:val="1"/>
        </w:numPr>
        <w:ind w:left="284"/>
        <w:rPr>
          <w:rFonts w:ascii="Calibri" w:hAnsi="Calibri" w:cs="Calibri"/>
          <w:b/>
          <w:bCs/>
          <w:szCs w:val="24"/>
        </w:rPr>
      </w:pPr>
      <w:r w:rsidRPr="00EE4AD6">
        <w:rPr>
          <w:rFonts w:ascii="Calibri" w:hAnsi="Calibri" w:cs="Calibri"/>
          <w:b/>
          <w:bCs/>
          <w:szCs w:val="24"/>
        </w:rPr>
        <w:t>W roku 2013 realizowałem projekt z POPC działanie 8.4 w ramach tego budowałem sieć, ale z tego co widzę jest ten okres wyłączony z oceny doświadczenia, z jakiego powodu czyjeś doświadczenie zdobyte w 2013 jest gorsze od tego z 2015 roku?</w:t>
      </w:r>
    </w:p>
    <w:p w14:paraId="771A2D67" w14:textId="306A27C8" w:rsidR="00DF3876" w:rsidRPr="00EE4AD6" w:rsidRDefault="00DF3876" w:rsidP="00EE4AD6">
      <w:pPr>
        <w:pStyle w:val="Akapitzlist"/>
        <w:ind w:left="284"/>
        <w:rPr>
          <w:rFonts w:ascii="Calibri" w:hAnsi="Calibri" w:cs="Calibri"/>
          <w:b/>
          <w:bCs/>
          <w:szCs w:val="24"/>
        </w:rPr>
      </w:pPr>
      <w:r w:rsidRPr="00EE4AD6">
        <w:rPr>
          <w:rFonts w:ascii="Calibri" w:hAnsi="Calibri" w:cs="Calibri"/>
          <w:b/>
          <w:bCs/>
          <w:szCs w:val="24"/>
        </w:rPr>
        <w:lastRenderedPageBreak/>
        <w:t>Jeśli jednak opieramy się na okresie 2015-2024 to proszę o informację czy mogę przedstawić kosztorys inwestorski np. w programie Zuzia zbudowania sieci ftth w jednej lub kilku miejscowościach i do oceny doświadczenia przedstawić wartość tego kosztorysu? Sieć budowałem ze środków własnych, opierając się na pracy własnej i pracowników firmy, nie mam usług zewnętrznych, brak akceptacji takiej formy udowodni</w:t>
      </w:r>
      <w:r w:rsidR="00B121F3" w:rsidRPr="00EE4AD6">
        <w:rPr>
          <w:rFonts w:ascii="Calibri" w:hAnsi="Calibri" w:cs="Calibri"/>
          <w:b/>
          <w:bCs/>
          <w:szCs w:val="24"/>
        </w:rPr>
        <w:t>eni</w:t>
      </w:r>
      <w:r w:rsidRPr="00EE4AD6">
        <w:rPr>
          <w:rFonts w:ascii="Calibri" w:hAnsi="Calibri" w:cs="Calibri"/>
          <w:b/>
          <w:bCs/>
          <w:szCs w:val="24"/>
        </w:rPr>
        <w:t>a doświadczenie spowoduje, że premiowani będą tylko operatorzy</w:t>
      </w:r>
      <w:r w:rsidR="00525966" w:rsidRPr="00EE4AD6">
        <w:rPr>
          <w:rFonts w:ascii="Calibri" w:hAnsi="Calibri" w:cs="Calibri"/>
          <w:b/>
          <w:bCs/>
          <w:szCs w:val="24"/>
        </w:rPr>
        <w:t>,</w:t>
      </w:r>
      <w:r w:rsidRPr="00EE4AD6">
        <w:rPr>
          <w:rFonts w:ascii="Calibri" w:hAnsi="Calibri" w:cs="Calibri"/>
          <w:b/>
          <w:bCs/>
          <w:szCs w:val="24"/>
        </w:rPr>
        <w:t xml:space="preserve"> którzy budowali sieci ze środków zewnętrznych opierając się na podwykonawcach.</w:t>
      </w:r>
    </w:p>
    <w:p w14:paraId="5324E88E" w14:textId="4A32D791" w:rsidR="00DF3876" w:rsidRPr="00EE4AD6" w:rsidRDefault="00DF3876" w:rsidP="00EE4AD6">
      <w:pPr>
        <w:pStyle w:val="Akapitzlist"/>
        <w:ind w:left="284"/>
        <w:contextualSpacing w:val="0"/>
        <w:rPr>
          <w:rFonts w:ascii="Calibri" w:hAnsi="Calibri" w:cs="Calibri"/>
          <w:b/>
          <w:bCs/>
          <w:szCs w:val="24"/>
        </w:rPr>
      </w:pPr>
      <w:r w:rsidRPr="00EE4AD6">
        <w:rPr>
          <w:rFonts w:ascii="Calibri" w:hAnsi="Calibri" w:cs="Calibri"/>
          <w:b/>
          <w:bCs/>
          <w:szCs w:val="24"/>
        </w:rPr>
        <w:t xml:space="preserve">Co do doświadczenia co rok składamy też raporty do UKE i tam </w:t>
      </w:r>
      <w:r w:rsidR="00172A20" w:rsidRPr="00EE4AD6">
        <w:rPr>
          <w:rFonts w:ascii="Calibri" w:hAnsi="Calibri" w:cs="Calibri"/>
          <w:b/>
          <w:bCs/>
          <w:szCs w:val="24"/>
        </w:rPr>
        <w:t>widać,</w:t>
      </w:r>
      <w:r w:rsidRPr="00EE4AD6">
        <w:rPr>
          <w:rFonts w:ascii="Calibri" w:hAnsi="Calibri" w:cs="Calibri"/>
          <w:b/>
          <w:bCs/>
          <w:szCs w:val="24"/>
        </w:rPr>
        <w:t xml:space="preserve"> ile kilometrów sieci zbudowaliśmy i ile gospodarstw objęliśmy zasięgiem w okresie 2015-2024. Czy te dane mogę być formą udowodnienia doświadczenia?</w:t>
      </w:r>
    </w:p>
    <w:p w14:paraId="1F30C075" w14:textId="77777777" w:rsidR="00DF3876" w:rsidRPr="00EE4AD6" w:rsidRDefault="00DF3876" w:rsidP="00EE4AD6">
      <w:pPr>
        <w:pStyle w:val="Akapitzlist"/>
        <w:ind w:left="284"/>
        <w:contextualSpacing w:val="0"/>
        <w:rPr>
          <w:rFonts w:ascii="Calibri" w:hAnsi="Calibri" w:cs="Calibri"/>
          <w:szCs w:val="24"/>
        </w:rPr>
      </w:pPr>
      <w:r w:rsidRPr="00EE4AD6">
        <w:rPr>
          <w:rFonts w:ascii="Calibri" w:hAnsi="Calibri" w:cs="Calibri"/>
          <w:szCs w:val="24"/>
        </w:rPr>
        <w:t xml:space="preserve">W ramach ogłoszonego konkursu dana inwestycja może zostać wykazana w ramach doświadczenia, jeżeli została zakończona pomiędzy 1.01.2015 r. a dniem złożenia Wniosku w naborze. </w:t>
      </w:r>
    </w:p>
    <w:p w14:paraId="2ECB28C7" w14:textId="77777777" w:rsidR="00DF3876" w:rsidRPr="00EE4AD6" w:rsidRDefault="00DF3876" w:rsidP="00EE4AD6">
      <w:pPr>
        <w:pStyle w:val="Akapitzlist"/>
        <w:ind w:left="284"/>
        <w:rPr>
          <w:rFonts w:ascii="Calibri" w:hAnsi="Calibri" w:cs="Calibri"/>
          <w:szCs w:val="24"/>
        </w:rPr>
      </w:pPr>
      <w:r w:rsidRPr="00EE4AD6">
        <w:rPr>
          <w:rFonts w:ascii="Calibri" w:hAnsi="Calibri" w:cs="Calibri"/>
          <w:szCs w:val="24"/>
        </w:rPr>
        <w:t>Zgodnie z „Zasadami oceny Przedsięwzięć w Inwestycji C1.1.1. Krajowego Planu Odbudowy i Zwiększania Odporności” stanowiących załącznik nr 5 do „Regulaminu wyboru” dla krajowych inwestycji prywatnych, komercyjnych, zrealizowanie inwestycji rozumiane jest jako odebranie prac i podpisanie końcowego protokołu odbioru w okresie od 1.01.2015 r. do dnia złożenia Wniosku o objęcie przedsięwzięcia wsparciem w naborze (inwestycje krajowe rozumie się inwestycje realizowane na terenie Rzeczpospolitej Polskiej).</w:t>
      </w:r>
    </w:p>
    <w:p w14:paraId="73095452" w14:textId="61D52789" w:rsidR="00DF3876" w:rsidRPr="00EE4AD6" w:rsidRDefault="00DF3876" w:rsidP="00EE4AD6">
      <w:pPr>
        <w:pStyle w:val="Akapitzlist"/>
        <w:ind w:left="284"/>
        <w:contextualSpacing w:val="0"/>
        <w:rPr>
          <w:rFonts w:ascii="Calibri" w:hAnsi="Calibri" w:cs="Calibri"/>
          <w:szCs w:val="24"/>
        </w:rPr>
      </w:pPr>
      <w:r w:rsidRPr="00EE4AD6">
        <w:rPr>
          <w:rFonts w:ascii="Calibri" w:hAnsi="Calibri" w:cs="Calibri"/>
          <w:szCs w:val="24"/>
        </w:rPr>
        <w:t>Jako doświadczenie mogą zostać wykazane inwestycje, które Wnioskodawca zrealizował jako podmiot realizujący inwestycje, czyli podmiot, który w okresie od 1 stycznia 2015 roku do dnia złożenia Wniosku o objęcie przedsięwzięcia wsparciem, zrealizował inwestycje z zakresu budowy, rozbudowy lub przebudowy sieci telekomunikacyjnych. Podmiot realizujący odpowiada za całość procesu inwestycyjnego, w tym planowanie, finansowanie, realizację oraz zarządzanie projektem. Dotyczy to również przypadków, kiedy część usług lub dostaw była realizowana przez zewnętrznych podwykonawców.</w:t>
      </w:r>
    </w:p>
    <w:p w14:paraId="43C585CA" w14:textId="77777777" w:rsidR="00C54B54" w:rsidRPr="00EE4AD6" w:rsidRDefault="00C54B54" w:rsidP="00EE4AD6">
      <w:pPr>
        <w:pStyle w:val="Akapitzlist"/>
        <w:numPr>
          <w:ilvl w:val="0"/>
          <w:numId w:val="1"/>
        </w:numPr>
        <w:ind w:left="284"/>
        <w:contextualSpacing w:val="0"/>
        <w:rPr>
          <w:rFonts w:ascii="Calibri" w:hAnsi="Calibri" w:cs="Calibri"/>
          <w:b/>
          <w:bCs/>
          <w:szCs w:val="24"/>
        </w:rPr>
      </w:pPr>
      <w:r w:rsidRPr="00EE4AD6">
        <w:rPr>
          <w:rFonts w:ascii="Calibri" w:hAnsi="Calibri" w:cs="Calibri"/>
          <w:b/>
          <w:bCs/>
          <w:szCs w:val="24"/>
        </w:rPr>
        <w:lastRenderedPageBreak/>
        <w:t xml:space="preserve">Mamy zamiar ubiegać się o dofinansowanie w ramach 3 naboru KPO. Jesteśmy spółką, która działa na rynku od 2004 r. Do grudnia 2023 r. działaliśmy w formie spółki jawnej, a w grudniu doszło do przekształcenia podmiotu w spółkę z o.o. Spółka z o.o. stała się pełnym następcą prawnym spółki jawnej, działając również pod tym samym numerem NIP. Czy wobec powyższego w ramach załączników nr 2 i 3, gdzie należy wskazać odpowiednio datę rejestracji podmiotu oraz długość (w miesiącach) działania przedsiębiorstwa, powinniśmy wskazywać datę z roku 2004 (utworzenie spółki jawnej) czy datę rejestracji spółki z o.o. 2023 r.). </w:t>
      </w:r>
    </w:p>
    <w:p w14:paraId="0738D709" w14:textId="6D22615F" w:rsidR="00C54B54" w:rsidRPr="00EE4AD6" w:rsidRDefault="00C54B54" w:rsidP="00EE4AD6">
      <w:pPr>
        <w:pStyle w:val="Akapitzlist"/>
        <w:ind w:left="284"/>
        <w:contextualSpacing w:val="0"/>
        <w:rPr>
          <w:rFonts w:ascii="Calibri" w:hAnsi="Calibri" w:cs="Calibri"/>
          <w:b/>
          <w:bCs/>
          <w:szCs w:val="24"/>
        </w:rPr>
      </w:pPr>
      <w:r w:rsidRPr="00EE4AD6">
        <w:rPr>
          <w:rFonts w:ascii="Calibri" w:hAnsi="Calibri" w:cs="Calibri"/>
          <w:b/>
          <w:bCs/>
          <w:szCs w:val="24"/>
        </w:rPr>
        <w:t>Powyższe implikować będzie również wypełnianie danymi finansowymi w/w załączników, jak również załącznika nr 8 do wniosku.</w:t>
      </w:r>
    </w:p>
    <w:p w14:paraId="46C5CD2F" w14:textId="55FA65FE" w:rsidR="00D53CD7" w:rsidRPr="00EE4AD6" w:rsidRDefault="00071714" w:rsidP="00EE4AD6">
      <w:pPr>
        <w:pStyle w:val="Akapitzlist"/>
        <w:ind w:left="284"/>
        <w:contextualSpacing w:val="0"/>
        <w:rPr>
          <w:rFonts w:ascii="Calibri" w:hAnsi="Calibri" w:cs="Calibri"/>
          <w:szCs w:val="24"/>
        </w:rPr>
      </w:pPr>
      <w:r w:rsidRPr="00EE4AD6">
        <w:rPr>
          <w:rFonts w:ascii="Calibri" w:hAnsi="Calibri" w:cs="Calibri"/>
          <w:szCs w:val="24"/>
        </w:rPr>
        <w:t>W załączniku nr 2 - „Formularz oceny sytuacji ekonomicznej…”, wnioskodawca powinien wpisać okres funkcjonowania przedsiębiorstwa, liczony od daty rejestracji spółki jawnej w KRS (2004 r.)</w:t>
      </w:r>
      <w:r w:rsidR="00521A09" w:rsidRPr="00EE4AD6">
        <w:rPr>
          <w:rFonts w:ascii="Calibri" w:hAnsi="Calibri" w:cs="Calibri"/>
          <w:szCs w:val="24"/>
        </w:rPr>
        <w:t>.</w:t>
      </w:r>
      <w:r w:rsidRPr="00EE4AD6">
        <w:rPr>
          <w:rFonts w:ascii="Calibri" w:hAnsi="Calibri" w:cs="Calibri"/>
          <w:szCs w:val="24"/>
        </w:rPr>
        <w:t xml:space="preserve"> </w:t>
      </w:r>
    </w:p>
    <w:p w14:paraId="51C48E4D" w14:textId="77777777" w:rsidR="00D53CD7" w:rsidRPr="00EE4AD6" w:rsidRDefault="00071714" w:rsidP="00EE4AD6">
      <w:pPr>
        <w:pStyle w:val="Akapitzlist"/>
        <w:ind w:left="284"/>
        <w:rPr>
          <w:rFonts w:ascii="Calibri" w:hAnsi="Calibri" w:cs="Calibri"/>
          <w:szCs w:val="24"/>
        </w:rPr>
      </w:pPr>
      <w:r w:rsidRPr="00EE4AD6">
        <w:rPr>
          <w:rFonts w:ascii="Calibri" w:hAnsi="Calibri" w:cs="Calibri"/>
          <w:szCs w:val="24"/>
        </w:rPr>
        <w:t xml:space="preserve">W załączniku nr 3, w polu dot. daty rozpoczęcia działalności wnioskodawcy, wnioskodawca powinien wpisać datę rozpoczęcia działalności przez spółkę jawną. </w:t>
      </w:r>
    </w:p>
    <w:p w14:paraId="25E891D8" w14:textId="546899D2" w:rsidR="00C54B54" w:rsidRPr="00EE4AD6" w:rsidRDefault="00071714" w:rsidP="00EE4AD6">
      <w:pPr>
        <w:pStyle w:val="Akapitzlist"/>
        <w:ind w:left="284"/>
        <w:contextualSpacing w:val="0"/>
        <w:rPr>
          <w:rFonts w:ascii="Calibri" w:hAnsi="Calibri" w:cs="Calibri"/>
          <w:szCs w:val="24"/>
        </w:rPr>
      </w:pPr>
      <w:r w:rsidRPr="00EE4AD6">
        <w:rPr>
          <w:rFonts w:ascii="Calibri" w:hAnsi="Calibri" w:cs="Calibri"/>
          <w:szCs w:val="24"/>
        </w:rPr>
        <w:t>W załącznikach nr 2, nr 3 i nr 8 wnioskodawca powinien umieścić aktualne dane finansowe spółki z o.o. (zgodne z dokumentacją finansową/księgową prowadzoną przez sp. z o.o.), zakładając przy tym, że spółka z o.o. kontynuuje działalność spółki jawnej.</w:t>
      </w:r>
    </w:p>
    <w:p w14:paraId="4E7728FE" w14:textId="362B0A6E" w:rsidR="00D53CD7" w:rsidRPr="00EE4AD6" w:rsidRDefault="00C54B54" w:rsidP="00EE4AD6">
      <w:pPr>
        <w:pStyle w:val="Akapitzlist"/>
        <w:numPr>
          <w:ilvl w:val="0"/>
          <w:numId w:val="1"/>
        </w:numPr>
        <w:ind w:left="284"/>
        <w:contextualSpacing w:val="0"/>
        <w:rPr>
          <w:rFonts w:ascii="Calibri" w:eastAsia="Calibri" w:hAnsi="Calibri" w:cs="Calibri"/>
          <w:bCs/>
          <w:szCs w:val="24"/>
        </w:rPr>
      </w:pPr>
      <w:r w:rsidRPr="00EE4AD6">
        <w:rPr>
          <w:rFonts w:ascii="Calibri" w:hAnsi="Calibri" w:cs="Calibri"/>
          <w:b/>
          <w:szCs w:val="24"/>
        </w:rPr>
        <w:t xml:space="preserve">Wnioskodawca ma przygotować dwa scenariusze: Scenariusz bazowy zakładający prognozy bez projektu/ów podlegającego ocenie oraz scenariusz referencyjny dla projektu podlegającego ocenie.  Następnie, oba te scenariusze zostają sumowane w dwóch ostatnich zakładkach Załącznika nr 8 (arkusze Końcowy Bilans i RZiS oraz Narzędzie oceny kryterium). W naszym przypadku finansowanie przedsięwzięcia odbędzie się z środków własnych, dostępnych aktualnie w spółce - nie będą zaciągane dodatkowe zobowiązania ani nie będzie podnoszony kapitał własny (dopłaty właścicieli) na ten cel. W związku z tym czy dla scenariusza bazowego powinniśmy odjąć kapitały </w:t>
      </w:r>
      <w:r w:rsidRPr="00EE4AD6">
        <w:rPr>
          <w:rFonts w:ascii="Calibri" w:hAnsi="Calibri" w:cs="Calibri"/>
          <w:b/>
          <w:szCs w:val="24"/>
        </w:rPr>
        <w:lastRenderedPageBreak/>
        <w:t>własne z pasywów i gotówkę z aktywów i założyć, że one będą tworzyć scenariusz referencyjny, tak aby finalnie suma scenariuszy się zgodziła? Czy to jest poprawne podejście?</w:t>
      </w:r>
    </w:p>
    <w:p w14:paraId="7EEFFAE1" w14:textId="67455379" w:rsidR="00D53CD7" w:rsidRPr="00EE4AD6" w:rsidRDefault="2BAE9707" w:rsidP="00EE4AD6">
      <w:pPr>
        <w:pStyle w:val="Akapitzlist"/>
        <w:ind w:left="284"/>
        <w:rPr>
          <w:rFonts w:ascii="Calibri" w:eastAsia="Aptos" w:hAnsi="Calibri" w:cs="Calibri"/>
          <w:szCs w:val="24"/>
        </w:rPr>
      </w:pPr>
      <w:r w:rsidRPr="00EE4AD6">
        <w:rPr>
          <w:rFonts w:ascii="Calibri" w:eastAsia="Calibri" w:hAnsi="Calibri" w:cs="Calibri"/>
          <w:bCs/>
          <w:szCs w:val="24"/>
        </w:rPr>
        <w:t xml:space="preserve">Scenariusz bazowy wypełnia się na podstawie danych, które pochodzą z przyjętych i zatwierdzonych sprawozdań finansowych Wnioskodawcy. </w:t>
      </w:r>
    </w:p>
    <w:p w14:paraId="3B56AD39" w14:textId="6243857D" w:rsidR="00C54B54" w:rsidRPr="00EE4AD6" w:rsidRDefault="2BAE9707" w:rsidP="00EE4AD6">
      <w:pPr>
        <w:pStyle w:val="Akapitzlist"/>
        <w:ind w:left="284"/>
        <w:contextualSpacing w:val="0"/>
        <w:rPr>
          <w:rFonts w:ascii="Calibri" w:eastAsia="Aptos" w:hAnsi="Calibri" w:cs="Calibri"/>
          <w:szCs w:val="24"/>
        </w:rPr>
      </w:pPr>
      <w:r w:rsidRPr="00EE4AD6">
        <w:rPr>
          <w:rFonts w:ascii="Calibri" w:eastAsia="Aptos" w:hAnsi="Calibri" w:cs="Calibri"/>
          <w:szCs w:val="24"/>
        </w:rPr>
        <w:t xml:space="preserve">Okres referencyjny natomiast powinien zostać wypełniony o rzetelną prognozę finansową – nie należy więc odejmować kapitałów własnych z pasywów i gotówki z aktywów lat </w:t>
      </w:r>
      <w:r w:rsidR="008D5159" w:rsidRPr="00EE4AD6">
        <w:rPr>
          <w:rFonts w:ascii="Calibri" w:eastAsia="Aptos" w:hAnsi="Calibri" w:cs="Calibri"/>
          <w:szCs w:val="24"/>
        </w:rPr>
        <w:t>ubiegłych,</w:t>
      </w:r>
      <w:r w:rsidRPr="00EE4AD6">
        <w:rPr>
          <w:rFonts w:ascii="Calibri" w:eastAsia="Aptos" w:hAnsi="Calibri" w:cs="Calibri"/>
          <w:szCs w:val="24"/>
        </w:rPr>
        <w:t xml:space="preserve"> aby tworzyły one scenariusz referencyjny. </w:t>
      </w:r>
    </w:p>
    <w:p w14:paraId="219ACF2B" w14:textId="77777777" w:rsidR="00C54B54" w:rsidRPr="00EE4AD6" w:rsidRDefault="00C54B54" w:rsidP="00EE4AD6">
      <w:pPr>
        <w:pStyle w:val="Akapitzlist"/>
        <w:numPr>
          <w:ilvl w:val="0"/>
          <w:numId w:val="1"/>
        </w:numPr>
        <w:ind w:left="284"/>
        <w:contextualSpacing w:val="0"/>
        <w:rPr>
          <w:rFonts w:ascii="Calibri" w:hAnsi="Calibri" w:cs="Calibri"/>
          <w:b/>
          <w:bCs/>
          <w:szCs w:val="24"/>
        </w:rPr>
      </w:pPr>
      <w:r w:rsidRPr="00EE4AD6">
        <w:rPr>
          <w:rFonts w:ascii="Calibri" w:hAnsi="Calibri" w:cs="Calibri"/>
          <w:b/>
          <w:bCs/>
          <w:szCs w:val="24"/>
        </w:rPr>
        <w:t>Przy uzupełnieniu formularza zasięgów FPZIS zaciąga się lista 100% PA. W ramach projektu mamy zrealizować maks. 85% zasięgów. Rozumiem, że w ramach 15% PA, których wnioskodawca nie realizuje, kolumna pn. Realizacja pozostaje pusta – nie wpisujemy żadnych 0 ani innych wpisów świadczących o tym, że tych PA wnioskodawca nie realizuje.</w:t>
      </w:r>
    </w:p>
    <w:p w14:paraId="0CFB6404" w14:textId="03931C66" w:rsidR="003A6C1D" w:rsidRPr="00EE4AD6" w:rsidRDefault="003A6C1D" w:rsidP="00EE4AD6">
      <w:pPr>
        <w:ind w:left="284"/>
        <w:rPr>
          <w:rFonts w:ascii="Calibri" w:hAnsi="Calibri" w:cs="Calibri"/>
          <w:szCs w:val="24"/>
        </w:rPr>
      </w:pPr>
      <w:r w:rsidRPr="00EE4AD6">
        <w:rPr>
          <w:rFonts w:ascii="Calibri" w:hAnsi="Calibri" w:cs="Calibri"/>
          <w:szCs w:val="24"/>
        </w:rPr>
        <w:t>Tak</w:t>
      </w:r>
      <w:r w:rsidR="003E4165" w:rsidRPr="00EE4AD6">
        <w:rPr>
          <w:rFonts w:ascii="Calibri" w:hAnsi="Calibri" w:cs="Calibri"/>
          <w:szCs w:val="24"/>
        </w:rPr>
        <w:t>,</w:t>
      </w:r>
      <w:r w:rsidR="00D53CD7" w:rsidRPr="00EE4AD6">
        <w:rPr>
          <w:rFonts w:ascii="Calibri" w:hAnsi="Calibri" w:cs="Calibri"/>
          <w:szCs w:val="24"/>
        </w:rPr>
        <w:t xml:space="preserve"> </w:t>
      </w:r>
      <w:r w:rsidR="00BA087F" w:rsidRPr="00EE4AD6">
        <w:rPr>
          <w:rFonts w:ascii="Calibri" w:hAnsi="Calibri" w:cs="Calibri"/>
          <w:szCs w:val="24"/>
        </w:rPr>
        <w:t xml:space="preserve">dla punktów, których Wnioskodawca nie zamierza </w:t>
      </w:r>
      <w:r w:rsidR="0029000C" w:rsidRPr="00EE4AD6">
        <w:rPr>
          <w:rFonts w:ascii="Calibri" w:hAnsi="Calibri" w:cs="Calibri"/>
          <w:szCs w:val="24"/>
        </w:rPr>
        <w:t>obejmować</w:t>
      </w:r>
      <w:r w:rsidR="000B467D" w:rsidRPr="00EE4AD6">
        <w:rPr>
          <w:rFonts w:ascii="Calibri" w:hAnsi="Calibri" w:cs="Calibri"/>
          <w:szCs w:val="24"/>
        </w:rPr>
        <w:t xml:space="preserve"> zasięgiem sieci, kolumna Realizacja powinna pozostać niewypełniona.</w:t>
      </w:r>
    </w:p>
    <w:p w14:paraId="4C5D9021" w14:textId="77777777" w:rsidR="00C54B54" w:rsidRPr="00EE4AD6" w:rsidRDefault="00C54B54" w:rsidP="00EE4AD6">
      <w:pPr>
        <w:pStyle w:val="Akapitzlist"/>
        <w:numPr>
          <w:ilvl w:val="0"/>
          <w:numId w:val="1"/>
        </w:numPr>
        <w:ind w:left="284"/>
        <w:rPr>
          <w:rFonts w:ascii="Calibri" w:hAnsi="Calibri" w:cs="Calibri"/>
          <w:b/>
          <w:bCs/>
          <w:szCs w:val="24"/>
        </w:rPr>
      </w:pPr>
      <w:r w:rsidRPr="00EE4AD6">
        <w:rPr>
          <w:rFonts w:ascii="Calibri" w:hAnsi="Calibri" w:cs="Calibri"/>
          <w:b/>
          <w:bCs/>
          <w:szCs w:val="24"/>
        </w:rPr>
        <w:t>Zwracam się z pytaniami jak niżej:</w:t>
      </w:r>
    </w:p>
    <w:p w14:paraId="23EFB3EC" w14:textId="31EF8211" w:rsidR="00C54B54" w:rsidRPr="00EE4AD6" w:rsidRDefault="00C54B54" w:rsidP="00EE4AD6">
      <w:pPr>
        <w:pStyle w:val="Akapitzlist"/>
        <w:numPr>
          <w:ilvl w:val="0"/>
          <w:numId w:val="5"/>
        </w:numPr>
        <w:ind w:left="284"/>
        <w:rPr>
          <w:rFonts w:ascii="Calibri" w:hAnsi="Calibri" w:cs="Calibri"/>
          <w:b/>
          <w:bCs/>
          <w:szCs w:val="24"/>
        </w:rPr>
      </w:pPr>
      <w:r w:rsidRPr="00EE4AD6">
        <w:rPr>
          <w:rFonts w:ascii="Calibri" w:hAnsi="Calibri" w:cs="Calibri"/>
          <w:b/>
          <w:bCs/>
          <w:szCs w:val="24"/>
        </w:rPr>
        <w:t xml:space="preserve">Czy, w kontekście oświadczeń do analizy sytuacji ekonomicznej, spółkę wraz ze spółkami powiązanymi (w tym spółką celową) należy traktować jako tworzącą z innymi podmiotami jednostkę gospodarczą? </w:t>
      </w:r>
    </w:p>
    <w:p w14:paraId="3DD627A5" w14:textId="674CBB81" w:rsidR="00C54B54" w:rsidRPr="00EE4AD6" w:rsidRDefault="00C54B54" w:rsidP="00EE4AD6">
      <w:pPr>
        <w:pStyle w:val="Akapitzlist"/>
        <w:numPr>
          <w:ilvl w:val="0"/>
          <w:numId w:val="5"/>
        </w:numPr>
        <w:ind w:left="284"/>
        <w:rPr>
          <w:rFonts w:ascii="Calibri" w:hAnsi="Calibri" w:cs="Calibri"/>
          <w:b/>
          <w:bCs/>
          <w:szCs w:val="24"/>
        </w:rPr>
      </w:pPr>
      <w:r w:rsidRPr="00EE4AD6">
        <w:rPr>
          <w:rFonts w:ascii="Calibri" w:hAnsi="Calibri" w:cs="Calibri"/>
          <w:b/>
          <w:bCs/>
          <w:szCs w:val="24"/>
        </w:rPr>
        <w:t>Czy, deklarując dodatkowe PA ponad wymagane 75%, należy na etapie WoD wskazać konkretne PA (w załączonej koncepcji), czy zadeklarować jedynie określoną wielkość?</w:t>
      </w:r>
    </w:p>
    <w:p w14:paraId="5BBBC6A6" w14:textId="58FC208F" w:rsidR="00C54B54" w:rsidRPr="00EE4AD6" w:rsidRDefault="00C54B54" w:rsidP="00EE4AD6">
      <w:pPr>
        <w:pStyle w:val="Akapitzlist"/>
        <w:numPr>
          <w:ilvl w:val="0"/>
          <w:numId w:val="5"/>
        </w:numPr>
        <w:ind w:left="284"/>
        <w:rPr>
          <w:rFonts w:ascii="Calibri" w:hAnsi="Calibri" w:cs="Calibri"/>
          <w:b/>
          <w:bCs/>
          <w:szCs w:val="24"/>
        </w:rPr>
      </w:pPr>
      <w:r w:rsidRPr="00EE4AD6">
        <w:rPr>
          <w:rFonts w:ascii="Calibri" w:hAnsi="Calibri" w:cs="Calibri"/>
          <w:b/>
          <w:bCs/>
          <w:szCs w:val="24"/>
        </w:rPr>
        <w:t xml:space="preserve">Proszę o </w:t>
      </w:r>
      <w:r w:rsidR="008D5159" w:rsidRPr="00EE4AD6">
        <w:rPr>
          <w:rFonts w:ascii="Calibri" w:hAnsi="Calibri" w:cs="Calibri"/>
          <w:b/>
          <w:bCs/>
          <w:szCs w:val="24"/>
        </w:rPr>
        <w:t>potwierdzenie</w:t>
      </w:r>
      <w:r w:rsidRPr="00EE4AD6">
        <w:rPr>
          <w:rFonts w:ascii="Calibri" w:hAnsi="Calibri" w:cs="Calibri"/>
          <w:b/>
          <w:bCs/>
          <w:szCs w:val="24"/>
        </w:rPr>
        <w:t xml:space="preserve"> czy rok n-1 (załącznik finansowy) odnosi się do roku 2023.</w:t>
      </w:r>
    </w:p>
    <w:p w14:paraId="0542C021" w14:textId="055E69A7" w:rsidR="00BC2306" w:rsidRPr="00EE4AD6" w:rsidRDefault="00C54B54" w:rsidP="00EE4AD6">
      <w:pPr>
        <w:pStyle w:val="Akapitzlist"/>
        <w:numPr>
          <w:ilvl w:val="0"/>
          <w:numId w:val="5"/>
        </w:numPr>
        <w:ind w:left="284"/>
        <w:contextualSpacing w:val="0"/>
        <w:rPr>
          <w:rFonts w:ascii="Calibri" w:hAnsi="Calibri" w:cs="Calibri"/>
          <w:b/>
          <w:bCs/>
          <w:szCs w:val="24"/>
        </w:rPr>
      </w:pPr>
      <w:r w:rsidRPr="00EE4AD6">
        <w:rPr>
          <w:rFonts w:ascii="Calibri" w:hAnsi="Calibri" w:cs="Calibri"/>
          <w:b/>
          <w:bCs/>
          <w:szCs w:val="24"/>
        </w:rPr>
        <w:t xml:space="preserve">Zgodnie z pkt 12 Zasad oceny Przedsięwzięć, „Wartość zrealizowanych inwestycji będzie oceniana w stosunku do wartości wnioskowanego dofinansowania przez Wnioskodawcę na wszystkich obszarach konkursowych, na które złożył Wnioski o objęcie przedsięwzięcia </w:t>
      </w:r>
      <w:r w:rsidRPr="00EE4AD6">
        <w:rPr>
          <w:rFonts w:ascii="Calibri" w:hAnsi="Calibri" w:cs="Calibri"/>
          <w:b/>
          <w:bCs/>
          <w:szCs w:val="24"/>
        </w:rPr>
        <w:lastRenderedPageBreak/>
        <w:t>wsparciem”. Czy dotyczy to wszystkich naborów KPO (1,2 i 3) oraz FERC, czy tylko naboru trzeciego?</w:t>
      </w:r>
    </w:p>
    <w:p w14:paraId="11CBA44F" w14:textId="77E336AC" w:rsidR="00A201BF" w:rsidRPr="00EE4AD6" w:rsidRDefault="00BC2306" w:rsidP="00EE4AD6">
      <w:pPr>
        <w:pStyle w:val="Akapitzlist"/>
        <w:ind w:left="284"/>
        <w:contextualSpacing w:val="0"/>
        <w:rPr>
          <w:rFonts w:ascii="Calibri" w:hAnsi="Calibri" w:cs="Calibri"/>
          <w:szCs w:val="24"/>
        </w:rPr>
      </w:pPr>
      <w:r w:rsidRPr="00EE4AD6">
        <w:rPr>
          <w:rFonts w:ascii="Calibri" w:hAnsi="Calibri" w:cs="Calibri"/>
          <w:szCs w:val="24"/>
        </w:rPr>
        <w:t>Ad 1</w:t>
      </w:r>
      <w:r w:rsidR="1905AE7A" w:rsidRPr="00EE4AD6">
        <w:rPr>
          <w:rFonts w:ascii="Calibri" w:hAnsi="Calibri" w:cs="Calibri"/>
          <w:szCs w:val="24"/>
        </w:rPr>
        <w:t xml:space="preserve"> </w:t>
      </w:r>
      <w:r w:rsidR="2A75D095" w:rsidRPr="00EE4AD6">
        <w:rPr>
          <w:rFonts w:ascii="Calibri" w:hAnsi="Calibri" w:cs="Calibri"/>
          <w:szCs w:val="24"/>
        </w:rPr>
        <w:t>T</w:t>
      </w:r>
      <w:r w:rsidR="1905AE7A" w:rsidRPr="00EE4AD6">
        <w:rPr>
          <w:rFonts w:ascii="Calibri" w:hAnsi="Calibri" w:cs="Calibri"/>
          <w:szCs w:val="24"/>
        </w:rPr>
        <w:t>ak, należy je traktować jako jednostkę gos</w:t>
      </w:r>
      <w:r w:rsidR="05D2448F" w:rsidRPr="00EE4AD6">
        <w:rPr>
          <w:rFonts w:ascii="Calibri" w:hAnsi="Calibri" w:cs="Calibri"/>
          <w:szCs w:val="24"/>
        </w:rPr>
        <w:t xml:space="preserve">podarczą. </w:t>
      </w:r>
    </w:p>
    <w:p w14:paraId="25688266" w14:textId="78953405" w:rsidR="00DB5A6F" w:rsidRPr="00EE4AD6" w:rsidRDefault="008679C0" w:rsidP="00EE4AD6">
      <w:pPr>
        <w:pStyle w:val="Akapitzlist"/>
        <w:ind w:left="284"/>
        <w:contextualSpacing w:val="0"/>
        <w:rPr>
          <w:rFonts w:ascii="Calibri" w:hAnsi="Calibri" w:cs="Calibri"/>
          <w:szCs w:val="24"/>
        </w:rPr>
      </w:pPr>
      <w:r w:rsidRPr="00EE4AD6">
        <w:rPr>
          <w:rFonts w:ascii="Calibri" w:hAnsi="Calibri" w:cs="Calibri"/>
          <w:szCs w:val="24"/>
        </w:rPr>
        <w:t>A</w:t>
      </w:r>
      <w:r w:rsidR="00BC2306" w:rsidRPr="00EE4AD6">
        <w:rPr>
          <w:rFonts w:ascii="Calibri" w:hAnsi="Calibri" w:cs="Calibri"/>
          <w:szCs w:val="24"/>
        </w:rPr>
        <w:t>d</w:t>
      </w:r>
      <w:r w:rsidRPr="00EE4AD6">
        <w:rPr>
          <w:rFonts w:ascii="Calibri" w:hAnsi="Calibri" w:cs="Calibri"/>
          <w:szCs w:val="24"/>
        </w:rPr>
        <w:t xml:space="preserve"> 2 Tak, </w:t>
      </w:r>
      <w:r w:rsidR="007B6DD0" w:rsidRPr="00EE4AD6">
        <w:rPr>
          <w:rFonts w:ascii="Calibri" w:hAnsi="Calibri" w:cs="Calibri"/>
          <w:szCs w:val="24"/>
        </w:rPr>
        <w:t xml:space="preserve">należy wskazać wszystkie PA wybrane przez Wnioskodawcę. Na etapie realizacji przedsięwzięcia </w:t>
      </w:r>
      <w:r w:rsidR="00AF5398" w:rsidRPr="00EE4AD6">
        <w:rPr>
          <w:rFonts w:ascii="Calibri" w:hAnsi="Calibri" w:cs="Calibri"/>
          <w:szCs w:val="24"/>
        </w:rPr>
        <w:t>będzie istniała</w:t>
      </w:r>
      <w:r w:rsidR="007B6DD0" w:rsidRPr="00EE4AD6">
        <w:rPr>
          <w:rFonts w:ascii="Calibri" w:hAnsi="Calibri" w:cs="Calibri"/>
          <w:szCs w:val="24"/>
        </w:rPr>
        <w:t xml:space="preserve"> </w:t>
      </w:r>
      <w:r w:rsidR="00AF5398" w:rsidRPr="00EE4AD6">
        <w:rPr>
          <w:rFonts w:ascii="Calibri" w:hAnsi="Calibri" w:cs="Calibri"/>
          <w:szCs w:val="24"/>
        </w:rPr>
        <w:t>możliwość wymiany punktów adresowych wybranych do objęcia zasięgiem sieci na inne punkty, które na etapie składania Wniosku nie zostały wybrane.</w:t>
      </w:r>
    </w:p>
    <w:p w14:paraId="7D37E380" w14:textId="5BEC6B52" w:rsidR="00DB5A6F" w:rsidRPr="00EE4AD6" w:rsidRDefault="00BC2306" w:rsidP="00EE4AD6">
      <w:pPr>
        <w:pStyle w:val="Akapitzlist"/>
        <w:ind w:left="284"/>
        <w:contextualSpacing w:val="0"/>
        <w:rPr>
          <w:rFonts w:ascii="Calibri" w:hAnsi="Calibri" w:cs="Calibri"/>
          <w:szCs w:val="24"/>
        </w:rPr>
      </w:pPr>
      <w:r w:rsidRPr="00EE4AD6">
        <w:rPr>
          <w:rFonts w:ascii="Calibri" w:hAnsi="Calibri" w:cs="Calibri"/>
          <w:szCs w:val="24"/>
        </w:rPr>
        <w:t xml:space="preserve">Ad </w:t>
      </w:r>
      <w:r w:rsidR="00DB5A6F" w:rsidRPr="00EE4AD6">
        <w:rPr>
          <w:rFonts w:ascii="Calibri" w:hAnsi="Calibri" w:cs="Calibri"/>
          <w:szCs w:val="24"/>
        </w:rPr>
        <w:t>3 Rok n-1</w:t>
      </w:r>
      <w:r w:rsidR="00833943" w:rsidRPr="00EE4AD6">
        <w:rPr>
          <w:rFonts w:ascii="Calibri" w:hAnsi="Calibri" w:cs="Calibri"/>
          <w:szCs w:val="24"/>
        </w:rPr>
        <w:t xml:space="preserve"> </w:t>
      </w:r>
      <w:r w:rsidR="00D448A8" w:rsidRPr="00EE4AD6">
        <w:rPr>
          <w:rFonts w:ascii="Calibri" w:hAnsi="Calibri" w:cs="Calibri"/>
          <w:szCs w:val="24"/>
        </w:rPr>
        <w:t xml:space="preserve">jest rokiem poprzedzającym rok rozpoczęcia realizacji przedsięwzięcia. Jeżeli rozpoczęcie realizacji przedsięwzięcia planowane jest na 2024 r., to rokiem n-1 będzie 2023 r. </w:t>
      </w:r>
      <w:r w:rsidR="00755EB0" w:rsidRPr="00EE4AD6">
        <w:rPr>
          <w:rFonts w:ascii="Calibri" w:hAnsi="Calibri" w:cs="Calibri"/>
          <w:szCs w:val="24"/>
        </w:rPr>
        <w:t xml:space="preserve">Dane dla roku n-1 powinny </w:t>
      </w:r>
      <w:r w:rsidR="007B3746" w:rsidRPr="00EE4AD6">
        <w:rPr>
          <w:rFonts w:ascii="Calibri" w:hAnsi="Calibri" w:cs="Calibri"/>
          <w:szCs w:val="24"/>
        </w:rPr>
        <w:t>pochodzić z przyjętych i zatwierdzonych sprawozdań finansowych.</w:t>
      </w:r>
    </w:p>
    <w:p w14:paraId="1666364F" w14:textId="1841803C" w:rsidR="00C54B54" w:rsidRPr="00EE4AD6" w:rsidRDefault="00BC2306" w:rsidP="00EE4AD6">
      <w:pPr>
        <w:pStyle w:val="Akapitzlist"/>
        <w:ind w:left="284"/>
        <w:contextualSpacing w:val="0"/>
        <w:rPr>
          <w:rFonts w:ascii="Calibri" w:hAnsi="Calibri" w:cs="Calibri"/>
          <w:szCs w:val="24"/>
        </w:rPr>
      </w:pPr>
      <w:r w:rsidRPr="00EE4AD6">
        <w:rPr>
          <w:rFonts w:ascii="Calibri" w:hAnsi="Calibri" w:cs="Calibri"/>
          <w:szCs w:val="24"/>
        </w:rPr>
        <w:t>Ad 4</w:t>
      </w:r>
      <w:r w:rsidR="00AC66A9" w:rsidRPr="00EE4AD6">
        <w:rPr>
          <w:rFonts w:ascii="Calibri" w:hAnsi="Calibri" w:cs="Calibri"/>
          <w:szCs w:val="24"/>
        </w:rPr>
        <w:t xml:space="preserve"> W ramach kryterium 12 wa</w:t>
      </w:r>
      <w:r w:rsidR="003643CD" w:rsidRPr="00EE4AD6">
        <w:rPr>
          <w:rFonts w:ascii="Calibri" w:hAnsi="Calibri" w:cs="Calibri"/>
          <w:szCs w:val="24"/>
        </w:rPr>
        <w:t>rtość zrealizowanych inwestycji będzie rozpatrywana w odniesieniu do wniosków złożonych w ramach bieżącego naboru KPO.</w:t>
      </w:r>
    </w:p>
    <w:p w14:paraId="040993D3" w14:textId="3F4496DE" w:rsidR="00C54B54" w:rsidRPr="00EE4AD6" w:rsidRDefault="00C54B54" w:rsidP="00EE4AD6">
      <w:pPr>
        <w:pStyle w:val="Akapitzlist"/>
        <w:numPr>
          <w:ilvl w:val="0"/>
          <w:numId w:val="1"/>
        </w:numPr>
        <w:ind w:left="284"/>
        <w:contextualSpacing w:val="0"/>
        <w:rPr>
          <w:rFonts w:ascii="Calibri" w:hAnsi="Calibri" w:cs="Calibri"/>
          <w:b/>
          <w:bCs/>
          <w:szCs w:val="24"/>
        </w:rPr>
      </w:pPr>
      <w:r w:rsidRPr="00EE4AD6">
        <w:rPr>
          <w:rFonts w:ascii="Calibri" w:hAnsi="Calibri" w:cs="Calibri"/>
          <w:b/>
          <w:bCs/>
          <w:szCs w:val="24"/>
        </w:rPr>
        <w:t>Zwracam się z prośbą o odpowiedź na poniższe pytania:</w:t>
      </w:r>
    </w:p>
    <w:p w14:paraId="4B0A7A0A" w14:textId="05002F91" w:rsidR="00C54B54" w:rsidRPr="00EE4AD6" w:rsidRDefault="00C54B54" w:rsidP="00EE4AD6">
      <w:pPr>
        <w:pStyle w:val="Akapitzlist"/>
        <w:numPr>
          <w:ilvl w:val="0"/>
          <w:numId w:val="6"/>
        </w:numPr>
        <w:ind w:left="284"/>
        <w:rPr>
          <w:rFonts w:ascii="Calibri" w:hAnsi="Calibri" w:cs="Calibri"/>
          <w:b/>
          <w:bCs/>
          <w:szCs w:val="24"/>
        </w:rPr>
      </w:pPr>
      <w:r w:rsidRPr="00EE4AD6">
        <w:rPr>
          <w:rFonts w:ascii="Calibri" w:hAnsi="Calibri" w:cs="Calibri"/>
          <w:b/>
          <w:bCs/>
          <w:szCs w:val="24"/>
        </w:rPr>
        <w:t xml:space="preserve">Czy w </w:t>
      </w:r>
      <w:r w:rsidR="008D5159" w:rsidRPr="00EE4AD6">
        <w:rPr>
          <w:rFonts w:ascii="Calibri" w:hAnsi="Calibri" w:cs="Calibri"/>
          <w:b/>
          <w:bCs/>
          <w:szCs w:val="24"/>
        </w:rPr>
        <w:t>sytuacji,</w:t>
      </w:r>
      <w:r w:rsidRPr="00EE4AD6">
        <w:rPr>
          <w:rFonts w:ascii="Calibri" w:hAnsi="Calibri" w:cs="Calibri"/>
          <w:b/>
          <w:bCs/>
          <w:szCs w:val="24"/>
        </w:rPr>
        <w:t xml:space="preserve"> kiedy część udziałów Wnioskodawcy posiada podmiot, który ma doświadczenie w ramach kryterium 12 oceny merytorycznej, można je uznać za doświadczenie Wnioskodawcy? Przy czym należy nadmienić, że Podmiot realizujący (Wnioskodawca) odpowiada za całość procesu inwestycyjnego, w tym planowanie, finansowanie, realizację oraz zarządzanie projektem przy wykorzystaniu potencjału osobowego, narzędzi oraz zaplecza technicznego podmiotu, który wniósł przedmiotowe doświadczenie do zasobów własnych Wnioskodawcy. Ponadto zasoby te zostaną w pełni wykorzystane w projekcie, którego dotyczy wniosek. </w:t>
      </w:r>
    </w:p>
    <w:p w14:paraId="2FA2805D" w14:textId="37EC1EB8" w:rsidR="00C54B54" w:rsidRPr="00EE4AD6" w:rsidRDefault="00C54B54" w:rsidP="00EE4AD6">
      <w:pPr>
        <w:pStyle w:val="Akapitzlist"/>
        <w:numPr>
          <w:ilvl w:val="0"/>
          <w:numId w:val="6"/>
        </w:numPr>
        <w:ind w:left="284"/>
        <w:rPr>
          <w:rFonts w:ascii="Calibri" w:hAnsi="Calibri" w:cs="Calibri"/>
          <w:b/>
          <w:bCs/>
          <w:szCs w:val="24"/>
        </w:rPr>
      </w:pPr>
      <w:r w:rsidRPr="00EE4AD6">
        <w:rPr>
          <w:rFonts w:ascii="Calibri" w:hAnsi="Calibri" w:cs="Calibri"/>
          <w:b/>
          <w:bCs/>
          <w:szCs w:val="24"/>
        </w:rPr>
        <w:t>Czy ilość udziałów przedsiębiorcy, który posiada doświadczenie w ramach kryterium 12 oceny merytorycznej, w spółce Wnioskodawcy ma znaczenie?</w:t>
      </w:r>
    </w:p>
    <w:p w14:paraId="40B28AB7" w14:textId="48EC9D6A" w:rsidR="00C54B54" w:rsidRPr="00EE4AD6" w:rsidRDefault="00C54B54" w:rsidP="00EE4AD6">
      <w:pPr>
        <w:pStyle w:val="Akapitzlist"/>
        <w:numPr>
          <w:ilvl w:val="0"/>
          <w:numId w:val="6"/>
        </w:numPr>
        <w:ind w:left="284"/>
        <w:rPr>
          <w:rFonts w:ascii="Calibri" w:hAnsi="Calibri" w:cs="Calibri"/>
          <w:b/>
          <w:bCs/>
          <w:szCs w:val="24"/>
        </w:rPr>
      </w:pPr>
      <w:r w:rsidRPr="00EE4AD6">
        <w:rPr>
          <w:rFonts w:ascii="Calibri" w:hAnsi="Calibri" w:cs="Calibri"/>
          <w:b/>
          <w:bCs/>
          <w:szCs w:val="24"/>
        </w:rPr>
        <w:lastRenderedPageBreak/>
        <w:t>Ponadto, czy Wnioskodawcą mogą być przedsiębiorcy telekomunikacyjni, którzy zawarli Umowę konsorcjum w celu realizacji projektu?</w:t>
      </w:r>
    </w:p>
    <w:p w14:paraId="33ABD02D" w14:textId="77777777" w:rsidR="00DD1D87" w:rsidRPr="00EE4AD6" w:rsidRDefault="00DD1D87" w:rsidP="00EE4AD6">
      <w:pPr>
        <w:pStyle w:val="Akapitzlist"/>
        <w:numPr>
          <w:ilvl w:val="0"/>
          <w:numId w:val="6"/>
        </w:numPr>
        <w:ind w:left="284"/>
        <w:rPr>
          <w:rFonts w:ascii="Calibri" w:hAnsi="Calibri" w:cs="Calibri"/>
          <w:b/>
          <w:bCs/>
          <w:szCs w:val="24"/>
        </w:rPr>
      </w:pPr>
      <w:r w:rsidRPr="00EE4AD6">
        <w:rPr>
          <w:rFonts w:ascii="Calibri" w:hAnsi="Calibri" w:cs="Calibri"/>
          <w:b/>
          <w:bCs/>
          <w:szCs w:val="24"/>
        </w:rPr>
        <w:t>Czy wnioskodawcą może zostać spółka celowa utworzona na potrzeby realizacji przedmiotowego projektu, której wspólnikami są przedsiębiorcy telekomunikacyjni? Czy w takiej sytuacji doświadczenie jednego ze wspólników w ramach kryterium 12 oceny merytorycznej zostanie uznane za doświadczenie spółki celowej (mając na uwadze, że zdobyte doświadczenie oraz zgromadzony potencjał zostanie wniesiony w całości do realizacji projektu?</w:t>
      </w:r>
    </w:p>
    <w:p w14:paraId="23BB6D3C" w14:textId="6E0AC899" w:rsidR="00C54B54" w:rsidRPr="00EE4AD6" w:rsidRDefault="00BC2306" w:rsidP="00EE4AD6">
      <w:pPr>
        <w:ind w:left="284"/>
        <w:rPr>
          <w:rFonts w:ascii="Calibri" w:hAnsi="Calibri" w:cs="Calibri"/>
          <w:szCs w:val="24"/>
        </w:rPr>
      </w:pPr>
      <w:r w:rsidRPr="00EE4AD6">
        <w:rPr>
          <w:rFonts w:ascii="Calibri" w:hAnsi="Calibri" w:cs="Calibri"/>
          <w:szCs w:val="24"/>
        </w:rPr>
        <w:t>Ad 1</w:t>
      </w:r>
      <w:r w:rsidR="005F110B" w:rsidRPr="00EE4AD6">
        <w:rPr>
          <w:rFonts w:ascii="Calibri" w:hAnsi="Calibri" w:cs="Calibri"/>
          <w:szCs w:val="24"/>
        </w:rPr>
        <w:t xml:space="preserve"> Wnioskodawca może wykazywać wyłącznie własne doświadczenie</w:t>
      </w:r>
      <w:r w:rsidR="00AA64C4" w:rsidRPr="00EE4AD6">
        <w:rPr>
          <w:rFonts w:ascii="Calibri" w:hAnsi="Calibri" w:cs="Calibri"/>
          <w:szCs w:val="24"/>
        </w:rPr>
        <w:t>, nie podmiotów posiadających udziały</w:t>
      </w:r>
      <w:r w:rsidR="00D95F0D" w:rsidRPr="00EE4AD6">
        <w:rPr>
          <w:rFonts w:ascii="Calibri" w:hAnsi="Calibri" w:cs="Calibri"/>
          <w:szCs w:val="24"/>
        </w:rPr>
        <w:t xml:space="preserve"> w spółce</w:t>
      </w:r>
      <w:r w:rsidR="0063563E" w:rsidRPr="00EE4AD6">
        <w:rPr>
          <w:rFonts w:ascii="Calibri" w:hAnsi="Calibri" w:cs="Calibri"/>
          <w:szCs w:val="24"/>
        </w:rPr>
        <w:t>.</w:t>
      </w:r>
    </w:p>
    <w:p w14:paraId="1F51499B" w14:textId="2E77ABD8" w:rsidR="00AA64C4" w:rsidRPr="00EE4AD6" w:rsidRDefault="00BC2306" w:rsidP="00EE4AD6">
      <w:pPr>
        <w:ind w:left="284"/>
        <w:rPr>
          <w:rFonts w:ascii="Calibri" w:hAnsi="Calibri" w:cs="Calibri"/>
          <w:szCs w:val="24"/>
        </w:rPr>
      </w:pPr>
      <w:r w:rsidRPr="00EE4AD6">
        <w:rPr>
          <w:rFonts w:ascii="Calibri" w:hAnsi="Calibri" w:cs="Calibri"/>
          <w:szCs w:val="24"/>
        </w:rPr>
        <w:t xml:space="preserve">Ad 2 </w:t>
      </w:r>
      <w:r w:rsidR="00AA64C4" w:rsidRPr="00EE4AD6">
        <w:rPr>
          <w:rFonts w:ascii="Calibri" w:hAnsi="Calibri" w:cs="Calibri"/>
          <w:szCs w:val="24"/>
        </w:rPr>
        <w:t>Nie ma znaczenia.</w:t>
      </w:r>
    </w:p>
    <w:p w14:paraId="03FC7C43" w14:textId="1A804995" w:rsidR="0063563E" w:rsidRPr="00EE4AD6" w:rsidRDefault="00BC2306" w:rsidP="00EE4AD6">
      <w:pPr>
        <w:ind w:left="284"/>
        <w:rPr>
          <w:rFonts w:ascii="Calibri" w:hAnsi="Calibri" w:cs="Calibri"/>
          <w:szCs w:val="24"/>
        </w:rPr>
      </w:pPr>
      <w:r w:rsidRPr="00EE4AD6">
        <w:rPr>
          <w:rFonts w:ascii="Calibri" w:hAnsi="Calibri" w:cs="Calibri"/>
          <w:szCs w:val="24"/>
        </w:rPr>
        <w:t xml:space="preserve">Ad 3 </w:t>
      </w:r>
      <w:r w:rsidR="0063563E" w:rsidRPr="00EE4AD6">
        <w:rPr>
          <w:rFonts w:ascii="Calibri" w:hAnsi="Calibri" w:cs="Calibri"/>
          <w:szCs w:val="24"/>
        </w:rPr>
        <w:t>Konsorcja nie mogą składać wniosków w naborze.</w:t>
      </w:r>
    </w:p>
    <w:p w14:paraId="19CD633E" w14:textId="265A9E6A" w:rsidR="00C54B54" w:rsidRPr="00EE4AD6" w:rsidRDefault="00BC2306" w:rsidP="00EE4AD6">
      <w:pPr>
        <w:ind w:left="284"/>
        <w:rPr>
          <w:rStyle w:val="ui-provider"/>
          <w:rFonts w:ascii="Calibri" w:hAnsi="Calibri" w:cs="Calibri"/>
          <w:szCs w:val="24"/>
        </w:rPr>
      </w:pPr>
      <w:r w:rsidRPr="00EE4AD6">
        <w:rPr>
          <w:rFonts w:ascii="Calibri" w:hAnsi="Calibri" w:cs="Calibri"/>
          <w:szCs w:val="24"/>
        </w:rPr>
        <w:t xml:space="preserve">Ad 4 </w:t>
      </w:r>
      <w:r w:rsidR="007227A0" w:rsidRPr="00EE4AD6">
        <w:rPr>
          <w:rStyle w:val="ui-provider"/>
          <w:rFonts w:ascii="Calibri" w:hAnsi="Calibri" w:cs="Calibri"/>
          <w:szCs w:val="24"/>
        </w:rPr>
        <w:t>Wnioskodawcą może być spółka celowa, ale doświadczenie wspólników nie zostanie uznane.</w:t>
      </w:r>
    </w:p>
    <w:p w14:paraId="24C143AC" w14:textId="588D6BF6" w:rsidR="00C54B54" w:rsidRPr="00EE4AD6" w:rsidRDefault="00A90D8D" w:rsidP="00E51FB3">
      <w:pPr>
        <w:pStyle w:val="Akapitzlist"/>
        <w:numPr>
          <w:ilvl w:val="0"/>
          <w:numId w:val="1"/>
        </w:numPr>
        <w:ind w:left="284"/>
        <w:contextualSpacing w:val="0"/>
        <w:rPr>
          <w:rFonts w:ascii="Calibri" w:hAnsi="Calibri" w:cs="Calibri"/>
          <w:b/>
          <w:bCs/>
          <w:szCs w:val="24"/>
        </w:rPr>
      </w:pPr>
      <w:r w:rsidRPr="00EE4AD6">
        <w:rPr>
          <w:rFonts w:ascii="Calibri" w:hAnsi="Calibri" w:cs="Calibri"/>
          <w:b/>
          <w:bCs/>
          <w:szCs w:val="24"/>
        </w:rPr>
        <w:t xml:space="preserve">Czy w ramach kryterium merytorycznego nr 12 dotyczącego doświadczenia Wnioskodawcy, będzie zaliczone doświadczenie Wnioskodawcy jako wykonawcy budowy sieci telekomunikacyjnych dla podmiotów zewnętrznych? Wnioskodawca nie był inwestorem (nie finansował inwestycji, nie planował jej), a jedynie </w:t>
      </w:r>
      <w:r w:rsidR="008D5159" w:rsidRPr="00EE4AD6">
        <w:rPr>
          <w:rFonts w:ascii="Calibri" w:hAnsi="Calibri" w:cs="Calibri"/>
          <w:b/>
          <w:bCs/>
          <w:szCs w:val="24"/>
        </w:rPr>
        <w:t>był wykonawcą</w:t>
      </w:r>
      <w:r w:rsidRPr="00EE4AD6">
        <w:rPr>
          <w:rFonts w:ascii="Calibri" w:hAnsi="Calibri" w:cs="Calibri"/>
          <w:b/>
          <w:bCs/>
          <w:szCs w:val="24"/>
        </w:rPr>
        <w:t xml:space="preserve"> odpowiedzialnym za budowę sieci i odbiory.</w:t>
      </w:r>
      <w:r w:rsidR="00172A20" w:rsidRPr="00EE4AD6">
        <w:rPr>
          <w:rFonts w:ascii="Calibri" w:hAnsi="Calibri" w:cs="Calibri"/>
          <w:b/>
          <w:bCs/>
          <w:szCs w:val="24"/>
        </w:rPr>
        <w:t xml:space="preserve"> </w:t>
      </w:r>
      <w:r w:rsidRPr="00EE4AD6">
        <w:rPr>
          <w:rFonts w:ascii="Calibri" w:hAnsi="Calibri" w:cs="Calibri"/>
          <w:b/>
          <w:bCs/>
          <w:szCs w:val="24"/>
        </w:rPr>
        <w:t>Czy jeśli w ww. przypadku wystarczającymi dokumentami załączonymi do wniosku będzie umowa na wykonanie sieci i protokoły odbioru?</w:t>
      </w:r>
    </w:p>
    <w:p w14:paraId="6BF8AE2B" w14:textId="77777777" w:rsidR="00A90D8D" w:rsidRPr="00EE4AD6" w:rsidRDefault="00C51AB7" w:rsidP="00E51FB3">
      <w:pPr>
        <w:pStyle w:val="Akapitzlist"/>
        <w:ind w:left="284"/>
        <w:contextualSpacing w:val="0"/>
        <w:rPr>
          <w:rFonts w:ascii="Calibri" w:hAnsi="Calibri" w:cs="Calibri"/>
          <w:szCs w:val="24"/>
        </w:rPr>
      </w:pPr>
      <w:r w:rsidRPr="00EE4AD6">
        <w:rPr>
          <w:rFonts w:ascii="Calibri" w:hAnsi="Calibri" w:cs="Calibri"/>
          <w:szCs w:val="24"/>
        </w:rPr>
        <w:t xml:space="preserve">Nie. </w:t>
      </w:r>
      <w:r w:rsidR="00A90D8D" w:rsidRPr="00EE4AD6">
        <w:rPr>
          <w:rFonts w:ascii="Calibri" w:hAnsi="Calibri" w:cs="Calibri"/>
          <w:szCs w:val="24"/>
        </w:rPr>
        <w:t xml:space="preserve">Jako doświadczenie mogą zostać wykazane </w:t>
      </w:r>
      <w:r w:rsidRPr="00EE4AD6">
        <w:rPr>
          <w:rFonts w:ascii="Calibri" w:hAnsi="Calibri" w:cs="Calibri"/>
          <w:szCs w:val="24"/>
        </w:rPr>
        <w:t xml:space="preserve">wyłącznie </w:t>
      </w:r>
      <w:r w:rsidR="00A90D8D" w:rsidRPr="00EE4AD6">
        <w:rPr>
          <w:rFonts w:ascii="Calibri" w:hAnsi="Calibri" w:cs="Calibri"/>
          <w:szCs w:val="24"/>
        </w:rPr>
        <w:t xml:space="preserve">inwestycje, które Wnioskodawca zrealizował jako podmiot realizujący inwestycje, czyli podmiot, który w okresie od 1 stycznia 2015 roku do dnia złożenia Wniosku o objęcie przedsięwzięcia wsparciem, </w:t>
      </w:r>
      <w:r w:rsidR="00A90D8D" w:rsidRPr="00EE4AD6">
        <w:rPr>
          <w:rFonts w:ascii="Calibri" w:hAnsi="Calibri" w:cs="Calibri"/>
          <w:szCs w:val="24"/>
        </w:rPr>
        <w:lastRenderedPageBreak/>
        <w:t>zrealizował inwestycje z zakresu budowy, rozbudowy lub przebudowy sieci telekomunikacyjnych. Podmiot realizujący odpowiada za całość procesu inwestycyjnego, w tym planowanie, finansowanie, realizację oraz zarządzanie projektem. Dotyczy to również przypadków, kiedy część usług lub dostaw była realizowana przez zewnętrznych podwykonawców.</w:t>
      </w:r>
    </w:p>
    <w:p w14:paraId="1644168B" w14:textId="77777777" w:rsidR="00A90D8D" w:rsidRPr="00EE4AD6" w:rsidRDefault="00A90D8D" w:rsidP="00EE4AD6">
      <w:pPr>
        <w:pStyle w:val="Akapitzlist"/>
        <w:ind w:left="284"/>
        <w:rPr>
          <w:rFonts w:ascii="Calibri" w:hAnsi="Calibri" w:cs="Calibri"/>
          <w:szCs w:val="24"/>
        </w:rPr>
      </w:pPr>
      <w:r w:rsidRPr="00EE4AD6">
        <w:rPr>
          <w:rFonts w:ascii="Calibri" w:hAnsi="Calibri" w:cs="Calibri"/>
          <w:szCs w:val="24"/>
        </w:rPr>
        <w:t>Doświadczenie Wnioskodawcy jako wykonawcy budowy sieci telekomunikacyjnych dla podmiotów zewnętrznych nie zostanie uznane jako spełniające kryterium merytoryczne nr 12.</w:t>
      </w:r>
    </w:p>
    <w:p w14:paraId="1D4DCE67" w14:textId="77777777" w:rsidR="00A90D8D" w:rsidRPr="00EE4AD6" w:rsidRDefault="00A90D8D" w:rsidP="00E51FB3">
      <w:pPr>
        <w:pStyle w:val="Akapitzlist"/>
        <w:ind w:left="284"/>
        <w:contextualSpacing w:val="0"/>
        <w:rPr>
          <w:rFonts w:ascii="Calibri" w:hAnsi="Calibri" w:cs="Calibri"/>
          <w:szCs w:val="24"/>
        </w:rPr>
      </w:pPr>
      <w:r w:rsidRPr="00EE4AD6">
        <w:rPr>
          <w:rFonts w:ascii="Calibri" w:hAnsi="Calibri" w:cs="Calibri"/>
          <w:szCs w:val="24"/>
        </w:rPr>
        <w:t>Do wniosku nie należy dołączać dokumentacji potwierdzającej wykazane doświadczenie, natomiast ekspert oceniający wniosek może zwrócić się do wnioskodawcy z prośbą o jej przesłanie na etapie oceny.</w:t>
      </w:r>
    </w:p>
    <w:p w14:paraId="5796593C" w14:textId="49635B0D" w:rsidR="00A90D8D" w:rsidRPr="00EE4AD6" w:rsidRDefault="00A90D8D" w:rsidP="00E51FB3">
      <w:pPr>
        <w:pStyle w:val="Akapitzlist"/>
        <w:ind w:left="284"/>
        <w:contextualSpacing w:val="0"/>
        <w:rPr>
          <w:rFonts w:ascii="Calibri" w:hAnsi="Calibri" w:cs="Calibri"/>
          <w:szCs w:val="24"/>
        </w:rPr>
      </w:pPr>
      <w:r w:rsidRPr="00EE4AD6">
        <w:rPr>
          <w:rFonts w:ascii="Calibri" w:hAnsi="Calibri" w:cs="Calibri"/>
          <w:szCs w:val="24"/>
        </w:rPr>
        <w:t>Informujemy również, że nie został określony katalog dokumentów wymaganych do potwierdzenia posiadanego doświadczenia. Wnioskodawca powinien posiadać dokumenty, na podstawie których będzie w stanie jednoznacznie wykazać wartość zrealizowanych inwestycji. Należy zwrócić uwagę, że można wykazać jako doświadczenie wyłącznie koszty inwestycyjne, bez kosztów bieżących działalności przedsiębiorstwa.</w:t>
      </w:r>
    </w:p>
    <w:p w14:paraId="653832F1" w14:textId="333D9C27" w:rsidR="00516D6C" w:rsidRPr="00EE4AD6" w:rsidRDefault="009B5890" w:rsidP="00E51FB3">
      <w:pPr>
        <w:pStyle w:val="Akapitzlist"/>
        <w:numPr>
          <w:ilvl w:val="0"/>
          <w:numId w:val="1"/>
        </w:numPr>
        <w:ind w:left="284"/>
        <w:contextualSpacing w:val="0"/>
        <w:rPr>
          <w:rFonts w:ascii="Calibri" w:hAnsi="Calibri" w:cs="Calibri"/>
          <w:szCs w:val="24"/>
        </w:rPr>
      </w:pPr>
      <w:r w:rsidRPr="00EE4AD6">
        <w:rPr>
          <w:rFonts w:ascii="Calibri" w:hAnsi="Calibri" w:cs="Calibri"/>
          <w:b/>
          <w:bCs/>
          <w:szCs w:val="24"/>
        </w:rPr>
        <w:t xml:space="preserve">Czy w </w:t>
      </w:r>
      <w:r w:rsidR="00172A20" w:rsidRPr="00EE4AD6">
        <w:rPr>
          <w:rFonts w:ascii="Calibri" w:hAnsi="Calibri" w:cs="Calibri"/>
          <w:b/>
          <w:bCs/>
          <w:szCs w:val="24"/>
        </w:rPr>
        <w:t>przypadku,</w:t>
      </w:r>
      <w:r w:rsidRPr="00EE4AD6">
        <w:rPr>
          <w:rFonts w:ascii="Calibri" w:hAnsi="Calibri" w:cs="Calibri"/>
          <w:b/>
          <w:bCs/>
          <w:szCs w:val="24"/>
        </w:rPr>
        <w:t xml:space="preserve"> gdy na etapie realizacji Projektu - w trakcie projektowania sieci, okaże się, że deklarowane do objęcia zasięgiem PA na Obszarze Konkursowym nie są możliwe do objęcia zasięgiem (np. z powodu zbyt krótkiego czasu, albo z innych </w:t>
      </w:r>
      <w:r w:rsidR="00172A20" w:rsidRPr="00EE4AD6">
        <w:rPr>
          <w:rFonts w:ascii="Calibri" w:hAnsi="Calibri" w:cs="Calibri"/>
          <w:b/>
          <w:bCs/>
          <w:szCs w:val="24"/>
        </w:rPr>
        <w:t>przyczyn,</w:t>
      </w:r>
      <w:r w:rsidRPr="00EE4AD6">
        <w:rPr>
          <w:rFonts w:ascii="Calibri" w:hAnsi="Calibri" w:cs="Calibri"/>
          <w:b/>
          <w:bCs/>
          <w:szCs w:val="24"/>
        </w:rPr>
        <w:t xml:space="preserve"> które określane były barierami inwestycyjnymi w konkursie KPO 1), beneficjent może uzyskać wyłączenie takich PA z Projektu (i odpowiednio pomniejszyć swoje dofinansowanie)? Problem sprowadza się do tego, że Beneficjent zamierza zadeklarować 85% PA na Obszarze Konkursowym, a 15% które pozostaną to PA trwale nierentowne i fatalnie wycenione, znalezienie PA na zamianę byłoby bardzo trudne.</w:t>
      </w:r>
    </w:p>
    <w:p w14:paraId="641A581C" w14:textId="21C6BFBC" w:rsidR="009B5890" w:rsidRPr="00EE4AD6" w:rsidRDefault="009B5890" w:rsidP="00E51FB3">
      <w:pPr>
        <w:pStyle w:val="Akapitzlist"/>
        <w:ind w:left="284"/>
        <w:contextualSpacing w:val="0"/>
        <w:rPr>
          <w:rFonts w:ascii="Calibri" w:hAnsi="Calibri" w:cs="Calibri"/>
          <w:szCs w:val="24"/>
        </w:rPr>
      </w:pPr>
      <w:r w:rsidRPr="00EE4AD6">
        <w:rPr>
          <w:rFonts w:ascii="Calibri" w:hAnsi="Calibri" w:cs="Calibri"/>
          <w:szCs w:val="24"/>
        </w:rPr>
        <w:lastRenderedPageBreak/>
        <w:t>W ramach aktualnego naboru Wnioskodawców obowiązuje objęcie zasięgiem minimum 75%</w:t>
      </w:r>
      <w:r w:rsidR="008B7AFB" w:rsidRPr="00EE4AD6">
        <w:rPr>
          <w:rFonts w:ascii="Calibri" w:hAnsi="Calibri" w:cs="Calibri"/>
          <w:szCs w:val="24"/>
        </w:rPr>
        <w:t>,</w:t>
      </w:r>
      <w:r w:rsidRPr="00EE4AD6">
        <w:rPr>
          <w:rFonts w:ascii="Calibri" w:hAnsi="Calibri" w:cs="Calibri"/>
          <w:szCs w:val="24"/>
        </w:rPr>
        <w:t xml:space="preserve"> lecz nie więcej niż 85% punktów adresowych na danym obszarze bez możliwości zgłaszania barier inwestycyjnych. </w:t>
      </w:r>
    </w:p>
    <w:p w14:paraId="2C06D4C1" w14:textId="64502051" w:rsidR="009B5890" w:rsidRPr="00EE4AD6" w:rsidRDefault="009B5890" w:rsidP="00E51FB3">
      <w:pPr>
        <w:pStyle w:val="Akapitzlist"/>
        <w:ind w:left="284"/>
        <w:contextualSpacing w:val="0"/>
        <w:rPr>
          <w:rFonts w:ascii="Calibri" w:hAnsi="Calibri" w:cs="Calibri"/>
          <w:szCs w:val="24"/>
        </w:rPr>
      </w:pPr>
      <w:r w:rsidRPr="00EE4AD6">
        <w:rPr>
          <w:rFonts w:ascii="Calibri" w:hAnsi="Calibri" w:cs="Calibri"/>
          <w:szCs w:val="24"/>
        </w:rPr>
        <w:t>Zgodnie z zapisami wzoru umowy</w:t>
      </w:r>
      <w:r w:rsidR="00AC172C" w:rsidRPr="00EE4AD6">
        <w:rPr>
          <w:rFonts w:ascii="Calibri" w:hAnsi="Calibri" w:cs="Calibri"/>
          <w:szCs w:val="24"/>
        </w:rPr>
        <w:t>:</w:t>
      </w:r>
      <w:r w:rsidRPr="00EE4AD6">
        <w:rPr>
          <w:rFonts w:ascii="Calibri" w:hAnsi="Calibri" w:cs="Calibri"/>
          <w:szCs w:val="24"/>
        </w:rPr>
        <w:t xml:space="preserve"> „Ostateczny odbiorca wsparcia na etapie realizacji Przedsięwzięcia ma możliwość wymiany punktów adresowych wybranych przez siebie do objęcia zasięgiem sieci na inne punkty, które na etapie składania Wniosku nie zostały wybrane – o ile osiągnie procentowy poziom liczby punktów adresowych wskazany w sekcji 14. Zakres finansowy Wniosku”</w:t>
      </w:r>
      <w:r w:rsidR="00AC172C" w:rsidRPr="00EE4AD6">
        <w:rPr>
          <w:rFonts w:ascii="Calibri" w:hAnsi="Calibri" w:cs="Calibri"/>
          <w:szCs w:val="24"/>
        </w:rPr>
        <w:t>.</w:t>
      </w:r>
      <w:r w:rsidRPr="00EE4AD6">
        <w:rPr>
          <w:rFonts w:ascii="Calibri" w:hAnsi="Calibri" w:cs="Calibri"/>
          <w:szCs w:val="24"/>
        </w:rPr>
        <w:t xml:space="preserve"> </w:t>
      </w:r>
    </w:p>
    <w:p w14:paraId="058D2003" w14:textId="72855DF1" w:rsidR="00516D6C" w:rsidRPr="00EE4AD6" w:rsidRDefault="009B5890" w:rsidP="00E51FB3">
      <w:pPr>
        <w:pStyle w:val="Akapitzlist"/>
        <w:ind w:left="284"/>
        <w:contextualSpacing w:val="0"/>
        <w:rPr>
          <w:rFonts w:ascii="Calibri" w:hAnsi="Calibri" w:cs="Calibri"/>
          <w:szCs w:val="24"/>
        </w:rPr>
      </w:pPr>
      <w:r w:rsidRPr="00EE4AD6">
        <w:rPr>
          <w:rFonts w:ascii="Calibri" w:hAnsi="Calibri" w:cs="Calibri"/>
          <w:szCs w:val="24"/>
        </w:rPr>
        <w:t>Należy jednak pamiętać, że zgodnie z umową: "Wymiana nie może prowadzić do zmniejszenia lub zwiększenia liczby punktów adresowych, których objęcie zasięgiem Ostateczny odbiorca wsparcia zadeklarował we Wniosku, ani do zwiększenia kwoty dofinansowania lub wydatków kwalifikowanych Przedsięwzięcia”.</w:t>
      </w:r>
    </w:p>
    <w:p w14:paraId="30892195" w14:textId="7D1FCD81" w:rsidR="00B032D1" w:rsidRPr="00EE4AD6" w:rsidRDefault="00B032D1" w:rsidP="00E51FB3">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hAnsi="Calibri" w:cs="Calibri"/>
          <w:b/>
          <w:bCs/>
          <w:szCs w:val="24"/>
        </w:rPr>
        <w:t>Proszę o informację czy w trakcie naboru do Inwestycja C 1.1.1 Zapewnienie dostępu do bardzo szybkiego internetu na obszarach białych plam (trzeci nabór) będą jeszcze weryfikowane obszary objęte tym dofinansowaniem?</w:t>
      </w:r>
      <w:r w:rsidR="00172A20" w:rsidRPr="00EE4AD6">
        <w:rPr>
          <w:rFonts w:ascii="Calibri" w:hAnsi="Calibri" w:cs="Calibri"/>
          <w:b/>
          <w:bCs/>
          <w:szCs w:val="24"/>
        </w:rPr>
        <w:t xml:space="preserve"> </w:t>
      </w:r>
      <w:r w:rsidRPr="00EE4AD6">
        <w:rPr>
          <w:rFonts w:ascii="Calibri" w:hAnsi="Calibri" w:cs="Calibri"/>
          <w:b/>
          <w:bCs/>
          <w:szCs w:val="24"/>
        </w:rPr>
        <w:t xml:space="preserve">Chodzi o to, że aktualnie planujemy rozbudowę sieci z prywatnych środków finansowych na obszarach objętych ww. inwestycją i czy możemy jeszcze w trakcie trwania tego naboru zgłosić, że na danym obszarze będzie dostęp do bardzo szybkiego internetu na obszarach białych plam i czy wtedy ten obszar zostanie usunięty z naboru na dofinansowanie? Nie </w:t>
      </w:r>
      <w:r w:rsidR="00172A20" w:rsidRPr="00EE4AD6">
        <w:rPr>
          <w:rFonts w:ascii="Calibri" w:hAnsi="Calibri" w:cs="Calibri"/>
          <w:b/>
          <w:bCs/>
          <w:szCs w:val="24"/>
        </w:rPr>
        <w:t>wiemy,</w:t>
      </w:r>
      <w:r w:rsidRPr="00EE4AD6">
        <w:rPr>
          <w:rFonts w:ascii="Calibri" w:hAnsi="Calibri" w:cs="Calibri"/>
          <w:b/>
          <w:bCs/>
          <w:szCs w:val="24"/>
        </w:rPr>
        <w:t xml:space="preserve"> czy warto budować aktualnie czy po prostu już obszar objęty naborem zostanie bezsprzecznie dofinansowany Inwestycją C 1.1.1?</w:t>
      </w:r>
    </w:p>
    <w:p w14:paraId="4D76CB9F" w14:textId="77777777" w:rsidR="00B032D1" w:rsidRPr="00EE4AD6" w:rsidRDefault="00B032D1"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W tym momencie nie ma już możliwości ingerencji w listy punktów adresowych wyznaczonych do objęcia zasięgiem sieci na terenie danego obszaru.</w:t>
      </w:r>
    </w:p>
    <w:p w14:paraId="3405F368" w14:textId="3D890AF9" w:rsidR="00B032D1" w:rsidRPr="00EE4AD6" w:rsidRDefault="00B032D1"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lastRenderedPageBreak/>
        <w:t>Punkty zostały wyznaczone w oparciu o przeprowadzone przez Ministerstwo Cyfryzacji konsultacje społeczne w dniach 11 marca - 10 kwietnia 2024 r. Baza punktów została następnie pomniejszona m.in. o:</w:t>
      </w:r>
    </w:p>
    <w:p w14:paraId="6357BD23" w14:textId="05C5183A" w:rsidR="00B032D1" w:rsidRPr="00EE4AD6" w:rsidRDefault="00B032D1" w:rsidP="00E51FB3">
      <w:pPr>
        <w:pStyle w:val="Akapitzlist"/>
        <w:numPr>
          <w:ilvl w:val="0"/>
          <w:numId w:val="7"/>
        </w:numPr>
        <w:ind w:left="1208" w:hanging="357"/>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punkty adresowe znajdujące się w zasięgu sieci światłowodowej lub innego medium kablowego umożliwiającego świadczenie usług o przepustowości co najmniej 100 Mb/s, z wyłączeniem medium radiowego, przekazane do systemu SIDUSIS według stanu na 10 kwietnia 2024 r., przez przedsiębiorców telekomunikacyjnych;</w:t>
      </w:r>
    </w:p>
    <w:p w14:paraId="37FFD82F" w14:textId="117635B0" w:rsidR="00B032D1" w:rsidRPr="00EE4AD6" w:rsidRDefault="00B032D1" w:rsidP="00E51FB3">
      <w:pPr>
        <w:pStyle w:val="Akapitzlist"/>
        <w:numPr>
          <w:ilvl w:val="0"/>
          <w:numId w:val="7"/>
        </w:numPr>
        <w:ind w:left="1208" w:hanging="357"/>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punkty adresowe dla których zgłoszono trzyletnie plany inwestycyjne w medium światłowodowym lub innym medium kablowym umożliwiającym świadczenie usług o przepustowości co najmniej 100 Mb/s, z wyłączeniem usług radiowych;</w:t>
      </w:r>
    </w:p>
    <w:p w14:paraId="30FFF076" w14:textId="4EA90ECB" w:rsidR="00B032D1" w:rsidRPr="00EE4AD6" w:rsidRDefault="00B032D1" w:rsidP="00E51FB3">
      <w:pPr>
        <w:pStyle w:val="Akapitzlist"/>
        <w:numPr>
          <w:ilvl w:val="0"/>
          <w:numId w:val="7"/>
        </w:numPr>
        <w:ind w:left="1208" w:hanging="357"/>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punkty adresowe wskazane do realizacji i zrealizowane w ramach Programu Operacyjnego Polska Cyfrowa i zaraportowane do systemu SIMBA.</w:t>
      </w:r>
    </w:p>
    <w:p w14:paraId="598266EF" w14:textId="3CB96FB9" w:rsidR="00B032D1" w:rsidRPr="00EE4AD6" w:rsidRDefault="00B032D1" w:rsidP="00E51FB3">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Ponadto z uwagi na ograniczoną dostępność środków finansowych baza adresowa została pomniejszona również o punkty adresowe, których szacowany koszt objęcia zasięgiem przekraczałby 16 500 zł.</w:t>
      </w:r>
    </w:p>
    <w:p w14:paraId="7416EC3E" w14:textId="675F008E" w:rsidR="00B032D1" w:rsidRPr="00EE4AD6" w:rsidRDefault="00B032D1" w:rsidP="00E51FB3">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Inaczej niż w konkursie KPO 1, tym razem w plikach z obszarami konkursowymi brakuje informacji przy Punktach Adresowych (PA) o tym czy dany PA jest przedsiębiorstwem czy zwykłym gospodarstwem domowym.</w:t>
      </w:r>
      <w:r w:rsidRPr="00EE4AD6">
        <w:rPr>
          <w:rFonts w:ascii="Calibri" w:hAnsi="Calibri" w:cs="Calibri"/>
          <w:szCs w:val="24"/>
        </w:rPr>
        <w:t xml:space="preserve"> </w:t>
      </w:r>
      <w:r w:rsidRPr="00EE4AD6">
        <w:rPr>
          <w:rFonts w:ascii="Calibri" w:eastAsiaTheme="minorHAnsi" w:hAnsi="Calibri" w:cs="Calibri"/>
          <w:b/>
          <w:bCs/>
          <w:kern w:val="2"/>
          <w:szCs w:val="24"/>
          <w:lang w:eastAsia="en-US"/>
          <w14:ligatures w14:val="standardContextual"/>
        </w:rPr>
        <w:t>Proszę o potwierdzenie czy uwzględnione przy wyznaczaniu obszarów PA, mają różny status, tzn. mogą być zarówno gospodarstwami domowymi, jak i przedsiębiorstwami. Innymi słowy rozumiem, że PA należące do przedsiębiorstw nie zostały wykluczone przy wyznaczaniu obszarów konkursowych?</w:t>
      </w:r>
    </w:p>
    <w:p w14:paraId="5E66BFEE" w14:textId="02507405" w:rsidR="00B032D1" w:rsidRPr="00EE4AD6" w:rsidRDefault="00B032D1" w:rsidP="00EE4AD6">
      <w:pPr>
        <w:ind w:left="284"/>
        <w:contextualSpacing/>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W obecnym naborze nie monitorujemy wskaźnika odnośnie przedsiębiorstw, dlatego Lista obszarów konkursowych nie zawiera oddzielnej kolumny dotyczącej przedsiębiorstw. W Liście obszarów konkursowych kolumny:</w:t>
      </w:r>
    </w:p>
    <w:p w14:paraId="26DE0918" w14:textId="77777777" w:rsidR="00B032D1" w:rsidRPr="00EE4AD6" w:rsidRDefault="00B032D1" w:rsidP="00E51FB3">
      <w:pPr>
        <w:pStyle w:val="Akapitzlist"/>
        <w:numPr>
          <w:ilvl w:val="0"/>
          <w:numId w:val="8"/>
        </w:numPr>
        <w:ind w:left="851"/>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lastRenderedPageBreak/>
        <w:t xml:space="preserve">Liczba punktów adresowych – mogą występować zarówno gospodarstwa domowe jak i przedsiębiorstwa. </w:t>
      </w:r>
    </w:p>
    <w:p w14:paraId="1EFE3899" w14:textId="2F0FAC52" w:rsidR="00B032D1" w:rsidRPr="00EE4AD6" w:rsidRDefault="00B032D1" w:rsidP="00E51FB3">
      <w:pPr>
        <w:pStyle w:val="Akapitzlist"/>
        <w:numPr>
          <w:ilvl w:val="0"/>
          <w:numId w:val="8"/>
        </w:numPr>
        <w:ind w:left="851" w:hanging="357"/>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Liczba gospodarstw domowych – to punkty adresowe zawierające tylko gospodarstwa domowe.</w:t>
      </w:r>
    </w:p>
    <w:p w14:paraId="63BFF703" w14:textId="042777FF" w:rsidR="00B032D1" w:rsidRPr="00EE4AD6" w:rsidRDefault="00B032D1" w:rsidP="00E51FB3">
      <w:pPr>
        <w:pStyle w:val="Akapitzlist"/>
        <w:numPr>
          <w:ilvl w:val="0"/>
          <w:numId w:val="1"/>
        </w:numPr>
        <w:ind w:left="283" w:hanging="357"/>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Zgodnie z instrukcją opracowania załącznika do wniosku o dofinansowanie w ramach 3 naboru KPO – mapa koncepcyjna sieci – pliki mają być sporządzone w formatach ja</w:t>
      </w:r>
      <w:r w:rsidR="001F1965" w:rsidRPr="00EE4AD6">
        <w:rPr>
          <w:rFonts w:ascii="Calibri" w:eastAsiaTheme="minorHAnsi" w:hAnsi="Calibri" w:cs="Calibri"/>
          <w:b/>
          <w:bCs/>
          <w:kern w:val="2"/>
          <w:szCs w:val="24"/>
          <w:lang w:eastAsia="en-US"/>
          <w14:ligatures w14:val="standardContextual"/>
        </w:rPr>
        <w:t xml:space="preserve">k niżej: „Mapa z koncepcyjnym projektem sieci powinna składać się ze spozycjonowanych geograficznie plików .shp stanowiących poszczególne warstwy wektorowe. Do plików .shp powinny być dołączone odpowiadające im pliki z rozszerzeniem .cpg .dbf .prj .qpj .shx. (…)”. </w:t>
      </w:r>
      <w:r w:rsidRPr="00EE4AD6">
        <w:rPr>
          <w:rFonts w:ascii="Calibri" w:eastAsiaTheme="minorHAnsi" w:hAnsi="Calibri" w:cs="Calibri"/>
          <w:b/>
          <w:bCs/>
          <w:kern w:val="2"/>
          <w:szCs w:val="24"/>
          <w:lang w:eastAsia="en-US"/>
          <w14:ligatures w14:val="standardContextual"/>
        </w:rPr>
        <w:t xml:space="preserve">Według projektanta, pliki </w:t>
      </w:r>
      <w:r w:rsidR="00172A20" w:rsidRPr="00EE4AD6">
        <w:rPr>
          <w:rFonts w:ascii="Calibri" w:eastAsiaTheme="minorHAnsi" w:hAnsi="Calibri" w:cs="Calibri"/>
          <w:b/>
          <w:bCs/>
          <w:kern w:val="2"/>
          <w:szCs w:val="24"/>
          <w:lang w:eastAsia="en-US"/>
          <w14:ligatures w14:val="standardContextual"/>
        </w:rPr>
        <w:t>QPJ stanowią</w:t>
      </w:r>
      <w:r w:rsidRPr="00EE4AD6">
        <w:rPr>
          <w:rFonts w:ascii="Calibri" w:eastAsiaTheme="minorHAnsi" w:hAnsi="Calibri" w:cs="Calibri"/>
          <w:b/>
          <w:bCs/>
          <w:kern w:val="2"/>
          <w:szCs w:val="24"/>
          <w:lang w:eastAsia="en-US"/>
          <w14:ligatures w14:val="standardContextual"/>
        </w:rPr>
        <w:t xml:space="preserve"> rozszerzenie alternatywne dla rozszerzenia PRJ – czy w związku z tym załączenie plików SHP i plikami w formacie CPG, DBF, PRJ i SHX jest wystarczające?</w:t>
      </w:r>
    </w:p>
    <w:p w14:paraId="59099A22" w14:textId="5198445B" w:rsidR="001F1965" w:rsidRPr="00EE4AD6" w:rsidRDefault="00971FBD" w:rsidP="00E51FB3">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Załączenie pliku SHP z plikami w formacie CPG, DBF, PRJ i SHX jest wystarczające.</w:t>
      </w:r>
      <w:r w:rsidR="00DE2F82" w:rsidRPr="00EE4AD6">
        <w:rPr>
          <w:rFonts w:ascii="Calibri" w:eastAsiaTheme="minorHAnsi" w:hAnsi="Calibri" w:cs="Calibri"/>
          <w:kern w:val="2"/>
          <w:szCs w:val="24"/>
          <w:lang w:eastAsia="en-US"/>
          <w14:ligatures w14:val="standardContextual"/>
        </w:rPr>
        <w:t xml:space="preserve"> </w:t>
      </w:r>
      <w:r w:rsidRPr="00EE4AD6">
        <w:rPr>
          <w:rFonts w:ascii="Calibri" w:eastAsiaTheme="minorHAnsi" w:hAnsi="Calibri" w:cs="Calibri"/>
          <w:kern w:val="2"/>
          <w:szCs w:val="24"/>
          <w:lang w:eastAsia="en-US"/>
          <w14:ligatures w14:val="standardContextual"/>
        </w:rPr>
        <w:t>W przypadku pliku o rozszerzeniu .qpj, jest to opcjonalny plik, który zawiera informację o odwzorowaniu kartograficznym (odpowiednik *.prj). Pliki wskazane jako odpowiedniki w instrukcji wypełniania wniosku o objęcie wsparciem stosujemy zamiennie.</w:t>
      </w:r>
    </w:p>
    <w:p w14:paraId="37B03F3A" w14:textId="77777777" w:rsidR="00971FBD" w:rsidRPr="00EE4AD6" w:rsidRDefault="00971FBD" w:rsidP="00E51FB3">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N</w:t>
      </w:r>
      <w:r w:rsidR="00B032D1" w:rsidRPr="00EE4AD6">
        <w:rPr>
          <w:rFonts w:ascii="Calibri" w:eastAsiaTheme="minorHAnsi" w:hAnsi="Calibri" w:cs="Calibri"/>
          <w:b/>
          <w:bCs/>
          <w:kern w:val="2"/>
          <w:szCs w:val="24"/>
          <w:lang w:eastAsia="en-US"/>
          <w14:ligatures w14:val="standardContextual"/>
        </w:rPr>
        <w:t>a stronie 30 instrukcji w atrybutach obiektu PWR jako wiersz drugi jest wskazane id_bud - takiej wartości nie ma w formularzu FPZiS natomiast w w/w instrukcji nie ma id węzła, który w FPZiS jest. PWR nie musi być obiektem zlokalizowanym w nieruchomości z adresem, co więc powinno być wpisane w tym wierszu?</w:t>
      </w:r>
    </w:p>
    <w:p w14:paraId="3DC3B6E3" w14:textId="671F5296" w:rsidR="00B032D1" w:rsidRPr="00EE4AD6" w:rsidRDefault="00B032D1" w:rsidP="00E51FB3">
      <w:pPr>
        <w:pStyle w:val="Akapitzlist"/>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Ponadto na stronie 29 w atrybutach obiektu Węzeł są dwa wiersze - identyfikator_wezla oraz id_wezla - oba zgodne z FPZiS, natomiast nie jesteśmy w stanie nadać nazwy kolumny o tak dużej ilości znaków jak „identyfikator_wezla”. W mojej ocenie także te dwie nazwy identyfikator oraz id oznaczają to samo, w związku z tym kolumny identyfikator_wezla w tabeli atrybutów nie ma.</w:t>
      </w:r>
    </w:p>
    <w:p w14:paraId="028D038E" w14:textId="7E5C862F" w:rsidR="00971FBD" w:rsidRPr="00EE4AD6" w:rsidRDefault="00E51FB3" w:rsidP="00E51FB3">
      <w:pPr>
        <w:pStyle w:val="Akapitzlist"/>
        <w:ind w:left="284"/>
        <w:contextualSpacing w:val="0"/>
        <w:rPr>
          <w:rFonts w:ascii="Calibri" w:eastAsiaTheme="minorHAnsi" w:hAnsi="Calibri" w:cs="Calibri"/>
          <w:kern w:val="2"/>
          <w:szCs w:val="24"/>
          <w:lang w:eastAsia="en-US"/>
          <w14:ligatures w14:val="standardContextual"/>
        </w:rPr>
      </w:pPr>
      <w:r>
        <w:rPr>
          <w:rFonts w:ascii="Calibri" w:eastAsiaTheme="minorHAnsi" w:hAnsi="Calibri" w:cs="Calibri"/>
          <w:kern w:val="2"/>
          <w:szCs w:val="24"/>
          <w:lang w:eastAsia="en-US"/>
          <w14:ligatures w14:val="standardContextual"/>
        </w:rPr>
        <w:lastRenderedPageBreak/>
        <w:t>Ad 1</w:t>
      </w:r>
      <w:r w:rsidR="00971FBD" w:rsidRPr="00EE4AD6">
        <w:rPr>
          <w:rFonts w:ascii="Calibri" w:eastAsiaTheme="minorHAnsi" w:hAnsi="Calibri" w:cs="Calibri"/>
          <w:kern w:val="2"/>
          <w:szCs w:val="24"/>
          <w:lang w:eastAsia="en-US"/>
          <w14:ligatures w14:val="standardContextual"/>
        </w:rPr>
        <w:t xml:space="preserve"> - We wskazanym polu id_budynku, należy wprowadzić identyfikator węzła PWR zgodny z Formularzem planowania zasięgów i sieci NGA dla KPO i FERC.</w:t>
      </w:r>
    </w:p>
    <w:p w14:paraId="3E429828" w14:textId="5B0F1F6F" w:rsidR="00971FBD" w:rsidRPr="00EE4AD6" w:rsidRDefault="00E51FB3" w:rsidP="00E51FB3">
      <w:pPr>
        <w:pStyle w:val="Akapitzlist"/>
        <w:ind w:left="284"/>
        <w:contextualSpacing w:val="0"/>
        <w:rPr>
          <w:rFonts w:ascii="Calibri" w:eastAsiaTheme="minorHAnsi" w:hAnsi="Calibri" w:cs="Calibri"/>
          <w:kern w:val="2"/>
          <w:szCs w:val="24"/>
          <w:lang w:eastAsia="en-US"/>
          <w14:ligatures w14:val="standardContextual"/>
        </w:rPr>
      </w:pPr>
      <w:r>
        <w:rPr>
          <w:rFonts w:ascii="Calibri" w:eastAsiaTheme="minorHAnsi" w:hAnsi="Calibri" w:cs="Calibri"/>
          <w:kern w:val="2"/>
          <w:szCs w:val="24"/>
          <w:lang w:eastAsia="en-US"/>
          <w14:ligatures w14:val="standardContextual"/>
        </w:rPr>
        <w:t>Ad 2</w:t>
      </w:r>
      <w:r w:rsidRPr="00EE4AD6">
        <w:rPr>
          <w:rFonts w:ascii="Calibri" w:eastAsiaTheme="minorHAnsi" w:hAnsi="Calibri" w:cs="Calibri"/>
          <w:kern w:val="2"/>
          <w:szCs w:val="24"/>
          <w:lang w:eastAsia="en-US"/>
          <w14:ligatures w14:val="standardContextual"/>
        </w:rPr>
        <w:t xml:space="preserve"> </w:t>
      </w:r>
      <w:r w:rsidR="00971FBD" w:rsidRPr="00EE4AD6">
        <w:rPr>
          <w:rFonts w:ascii="Calibri" w:eastAsiaTheme="minorHAnsi" w:hAnsi="Calibri" w:cs="Calibri"/>
          <w:kern w:val="2"/>
          <w:szCs w:val="24"/>
          <w:lang w:eastAsia="en-US"/>
          <w14:ligatures w14:val="standardContextual"/>
        </w:rPr>
        <w:t>- Tak, identyfikator</w:t>
      </w:r>
      <w:r>
        <w:rPr>
          <w:rFonts w:ascii="Calibri" w:eastAsiaTheme="minorHAnsi" w:hAnsi="Calibri" w:cs="Calibri"/>
          <w:kern w:val="2"/>
          <w:szCs w:val="24"/>
          <w:lang w:eastAsia="en-US"/>
          <w14:ligatures w14:val="standardContextual"/>
        </w:rPr>
        <w:t xml:space="preserve"> </w:t>
      </w:r>
      <w:r w:rsidR="00971FBD" w:rsidRPr="00EE4AD6">
        <w:rPr>
          <w:rFonts w:ascii="Calibri" w:eastAsiaTheme="minorHAnsi" w:hAnsi="Calibri" w:cs="Calibri"/>
          <w:kern w:val="2"/>
          <w:szCs w:val="24"/>
          <w:lang w:eastAsia="en-US"/>
          <w14:ligatures w14:val="standardContextual"/>
        </w:rPr>
        <w:t>wezla oraz id_wezla to jest to samo.</w:t>
      </w:r>
    </w:p>
    <w:p w14:paraId="184C090B" w14:textId="02D6F7BE" w:rsidR="00B032D1" w:rsidRPr="00EE4AD6" w:rsidRDefault="00971FBD" w:rsidP="00E51FB3">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P</w:t>
      </w:r>
      <w:r w:rsidR="00B032D1" w:rsidRPr="00EE4AD6">
        <w:rPr>
          <w:rFonts w:ascii="Calibri" w:eastAsiaTheme="minorHAnsi" w:hAnsi="Calibri" w:cs="Calibri"/>
          <w:b/>
          <w:bCs/>
          <w:kern w:val="2"/>
          <w:szCs w:val="24"/>
          <w:lang w:eastAsia="en-US"/>
          <w14:ligatures w14:val="standardContextual"/>
        </w:rPr>
        <w:t>roszę o udzielenie odpowiedzi na następujące pytania:</w:t>
      </w:r>
    </w:p>
    <w:p w14:paraId="3803B806" w14:textId="03FE0D08" w:rsidR="00B032D1" w:rsidRPr="00EE4AD6" w:rsidRDefault="00B032D1" w:rsidP="00EE4AD6">
      <w:pPr>
        <w:pStyle w:val="Akapitzlist"/>
        <w:numPr>
          <w:ilvl w:val="0"/>
          <w:numId w:val="9"/>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czy spółka celowa nowoutworzona do realizacji projektu w ramach konkursu zdobędzie punkty za doświadczenie w </w:t>
      </w:r>
      <w:r w:rsidR="00172A20" w:rsidRPr="00EE4AD6">
        <w:rPr>
          <w:rFonts w:ascii="Calibri" w:eastAsiaTheme="minorHAnsi" w:hAnsi="Calibri" w:cs="Calibri"/>
          <w:b/>
          <w:bCs/>
          <w:kern w:val="2"/>
          <w:szCs w:val="24"/>
          <w:lang w:eastAsia="en-US"/>
          <w14:ligatures w14:val="standardContextual"/>
        </w:rPr>
        <w:t>sytuacji,</w:t>
      </w:r>
      <w:r w:rsidRPr="00EE4AD6">
        <w:rPr>
          <w:rFonts w:ascii="Calibri" w:eastAsiaTheme="minorHAnsi" w:hAnsi="Calibri" w:cs="Calibri"/>
          <w:b/>
          <w:bCs/>
          <w:kern w:val="2"/>
          <w:szCs w:val="24"/>
          <w:lang w:eastAsia="en-US"/>
          <w14:ligatures w14:val="standardContextual"/>
        </w:rPr>
        <w:t xml:space="preserve"> gdy, udziałowcami spółki i zarządzającymi będą osoby prowadzące inwestycje dot. budowy internetu szerokopasmowego po 2015 r. w ramach innego podmiotu? </w:t>
      </w:r>
    </w:p>
    <w:p w14:paraId="6DFB0BA5" w14:textId="18217C00" w:rsidR="00971FBD" w:rsidRPr="00EE4AD6" w:rsidRDefault="00B032D1" w:rsidP="00EE4AD6">
      <w:pPr>
        <w:pStyle w:val="Akapitzlist"/>
        <w:numPr>
          <w:ilvl w:val="0"/>
          <w:numId w:val="9"/>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czy spółka założona w lipcu 2024 w której 100 % udziałów ma spółka posiadająca doświadczenie w realizacji projektów budowy sieci szerokopasmowych od 2015 zdobędzie punkty za doświadczenie? Czy znaczenie ma tu % udziałów? Co w sytuacji niższego poziomu - np. poniżej 50%?</w:t>
      </w:r>
    </w:p>
    <w:p w14:paraId="07EA5651" w14:textId="63D329F9" w:rsidR="00B032D1" w:rsidRPr="00EE4AD6" w:rsidRDefault="00392DD1" w:rsidP="00EE4AD6">
      <w:pPr>
        <w:pStyle w:val="Akapitzlist"/>
        <w:numPr>
          <w:ilvl w:val="0"/>
          <w:numId w:val="9"/>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C</w:t>
      </w:r>
      <w:r w:rsidR="00B032D1" w:rsidRPr="00EE4AD6">
        <w:rPr>
          <w:rFonts w:ascii="Calibri" w:eastAsiaTheme="minorHAnsi" w:hAnsi="Calibri" w:cs="Calibri"/>
          <w:b/>
          <w:bCs/>
          <w:kern w:val="2"/>
          <w:szCs w:val="24"/>
          <w:lang w:eastAsia="en-US"/>
          <w14:ligatures w14:val="standardContextual"/>
        </w:rPr>
        <w:t xml:space="preserve">zy spółka, która uzyskałaby dofinansowanie może przekazać projekt do realizacji innej spółce - na zasadzie przejęcia udziałów i tym samym zobowiązań dot. projektu? Jeśli </w:t>
      </w:r>
      <w:r w:rsidR="00172A20" w:rsidRPr="00EE4AD6">
        <w:rPr>
          <w:rFonts w:ascii="Calibri" w:eastAsiaTheme="minorHAnsi" w:hAnsi="Calibri" w:cs="Calibri"/>
          <w:b/>
          <w:bCs/>
          <w:kern w:val="2"/>
          <w:szCs w:val="24"/>
          <w:lang w:eastAsia="en-US"/>
          <w14:ligatures w14:val="standardContextual"/>
        </w:rPr>
        <w:t>tak -</w:t>
      </w:r>
      <w:r w:rsidR="00B032D1" w:rsidRPr="00EE4AD6">
        <w:rPr>
          <w:rFonts w:ascii="Calibri" w:eastAsiaTheme="minorHAnsi" w:hAnsi="Calibri" w:cs="Calibri"/>
          <w:b/>
          <w:bCs/>
          <w:kern w:val="2"/>
          <w:szCs w:val="24"/>
          <w:lang w:eastAsia="en-US"/>
          <w14:ligatures w14:val="standardContextual"/>
        </w:rPr>
        <w:t xml:space="preserve"> spółka przejmująca projekt nie mająca doświadczenia - to czy będzie to rzutowało na ocenę projektu np. ponowna ocena, odebranie punktów za doświadczenie i ew. cofnięcie decyzji lub niemożliwość realizacji projektu w formie zaliczkowania? </w:t>
      </w:r>
    </w:p>
    <w:p w14:paraId="06E4A30A" w14:textId="4A8FED88" w:rsidR="00B032D1" w:rsidRPr="00EE4AD6" w:rsidRDefault="00B032D1" w:rsidP="00EE4AD6">
      <w:pPr>
        <w:pStyle w:val="Akapitzlist"/>
        <w:numPr>
          <w:ilvl w:val="0"/>
          <w:numId w:val="9"/>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na jaką kwotę powinna być wystawiona promesa kredytowa? Wkład własny plus vat? </w:t>
      </w:r>
    </w:p>
    <w:p w14:paraId="5F053610" w14:textId="2D2694E8" w:rsidR="00B032D1" w:rsidRPr="00EE4AD6" w:rsidRDefault="00B032D1" w:rsidP="009C094B">
      <w:pPr>
        <w:pStyle w:val="Akapitzlist"/>
        <w:numPr>
          <w:ilvl w:val="0"/>
          <w:numId w:val="9"/>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gdzie znajduje się przewodnik po kwalifikowalności kosztów - proszę o link do dokumentu. </w:t>
      </w:r>
    </w:p>
    <w:p w14:paraId="21DA25DC" w14:textId="695A4AA4" w:rsidR="00971FBD" w:rsidRPr="00EE4AD6" w:rsidRDefault="00E51FB3" w:rsidP="009C094B">
      <w:pPr>
        <w:pStyle w:val="Akapitzlist"/>
        <w:ind w:left="284"/>
        <w:contextualSpacing w:val="0"/>
        <w:rPr>
          <w:rFonts w:ascii="Calibri" w:eastAsiaTheme="minorHAnsi" w:hAnsi="Calibri" w:cs="Calibri"/>
          <w:kern w:val="2"/>
          <w:szCs w:val="24"/>
          <w:lang w:eastAsia="en-US"/>
          <w14:ligatures w14:val="standardContextual"/>
        </w:rPr>
      </w:pPr>
      <w:r>
        <w:rPr>
          <w:rFonts w:ascii="Calibri" w:eastAsiaTheme="minorHAnsi" w:hAnsi="Calibri" w:cs="Calibri"/>
          <w:kern w:val="2"/>
          <w:szCs w:val="24"/>
          <w:lang w:eastAsia="en-US"/>
          <w14:ligatures w14:val="standardContextual"/>
        </w:rPr>
        <w:t>Ad 1</w:t>
      </w:r>
      <w:r w:rsidR="00971FBD" w:rsidRPr="00EE4AD6">
        <w:rPr>
          <w:rFonts w:ascii="Calibri" w:eastAsiaTheme="minorHAnsi" w:hAnsi="Calibri" w:cs="Calibri"/>
          <w:kern w:val="2"/>
          <w:szCs w:val="24"/>
          <w:lang w:eastAsia="en-US"/>
          <w14:ligatures w14:val="standardContextual"/>
        </w:rPr>
        <w:t xml:space="preserve"> podanym przykładzie badane będzie doświadczenie Wnioskodawcy, czyli spółki celowej</w:t>
      </w:r>
      <w:r w:rsidR="00D73FC4" w:rsidRPr="00EE4AD6">
        <w:rPr>
          <w:rFonts w:ascii="Calibri" w:eastAsiaTheme="minorHAnsi" w:hAnsi="Calibri" w:cs="Calibri"/>
          <w:kern w:val="2"/>
          <w:szCs w:val="24"/>
          <w:lang w:eastAsia="en-US"/>
          <w14:ligatures w14:val="standardContextual"/>
        </w:rPr>
        <w:t>,</w:t>
      </w:r>
      <w:r w:rsidR="00971FBD" w:rsidRPr="00EE4AD6">
        <w:rPr>
          <w:rFonts w:ascii="Calibri" w:eastAsiaTheme="minorHAnsi" w:hAnsi="Calibri" w:cs="Calibri"/>
          <w:kern w:val="2"/>
          <w:szCs w:val="24"/>
          <w:lang w:eastAsia="en-US"/>
          <w14:ligatures w14:val="standardContextual"/>
        </w:rPr>
        <w:t xml:space="preserve"> a nie jej udziałowców.</w:t>
      </w:r>
    </w:p>
    <w:p w14:paraId="563AEB93" w14:textId="2B665678" w:rsidR="00971FBD" w:rsidRPr="00EE4AD6" w:rsidRDefault="00E51FB3" w:rsidP="00E51FB3">
      <w:pPr>
        <w:pStyle w:val="Akapitzlist"/>
        <w:ind w:left="284"/>
        <w:contextualSpacing w:val="0"/>
        <w:rPr>
          <w:rFonts w:ascii="Calibri" w:eastAsiaTheme="minorHAnsi" w:hAnsi="Calibri" w:cs="Calibri"/>
          <w:kern w:val="2"/>
          <w:szCs w:val="24"/>
          <w:lang w:eastAsia="en-US"/>
          <w14:ligatures w14:val="standardContextual"/>
        </w:rPr>
      </w:pPr>
      <w:r>
        <w:rPr>
          <w:rFonts w:ascii="Calibri" w:eastAsiaTheme="minorHAnsi" w:hAnsi="Calibri" w:cs="Calibri"/>
          <w:kern w:val="2"/>
          <w:szCs w:val="24"/>
          <w:lang w:eastAsia="en-US"/>
          <w14:ligatures w14:val="standardContextual"/>
        </w:rPr>
        <w:t>Ad 2</w:t>
      </w:r>
      <w:r w:rsidRPr="00EE4AD6">
        <w:rPr>
          <w:rFonts w:ascii="Calibri" w:eastAsiaTheme="minorHAnsi" w:hAnsi="Calibri" w:cs="Calibri"/>
          <w:kern w:val="2"/>
          <w:szCs w:val="24"/>
          <w:lang w:eastAsia="en-US"/>
          <w14:ligatures w14:val="standardContextual"/>
        </w:rPr>
        <w:t xml:space="preserve"> </w:t>
      </w:r>
      <w:r w:rsidR="00971FBD" w:rsidRPr="00EE4AD6">
        <w:rPr>
          <w:rFonts w:ascii="Calibri" w:eastAsiaTheme="minorHAnsi" w:hAnsi="Calibri" w:cs="Calibri"/>
          <w:kern w:val="2"/>
          <w:szCs w:val="24"/>
          <w:lang w:eastAsia="en-US"/>
          <w14:ligatures w14:val="standardContextual"/>
        </w:rPr>
        <w:t xml:space="preserve">Spółka wykazująca doświadczenie udziałowców nie otrzyma punktów za doświadczenie w ramach kryterium merytorycznego nr 12. Nie ma znaczenia jaki % w </w:t>
      </w:r>
      <w:r w:rsidR="00971FBD" w:rsidRPr="00EE4AD6">
        <w:rPr>
          <w:rFonts w:ascii="Calibri" w:eastAsiaTheme="minorHAnsi" w:hAnsi="Calibri" w:cs="Calibri"/>
          <w:kern w:val="2"/>
          <w:szCs w:val="24"/>
          <w:lang w:eastAsia="en-US"/>
          <w14:ligatures w14:val="standardContextual"/>
        </w:rPr>
        <w:lastRenderedPageBreak/>
        <w:t>spółce celowej posiadają udziałowcy z doświadczeniem w budowie sieci szerokopasmowych od 1.01.2015 r, ponieważ badane jest doświadczenie Wnioskodawcy.</w:t>
      </w:r>
    </w:p>
    <w:p w14:paraId="346F81C6" w14:textId="52C68681" w:rsidR="00971FBD" w:rsidRPr="00EE4AD6" w:rsidRDefault="00E51FB3" w:rsidP="00E51FB3">
      <w:pPr>
        <w:pStyle w:val="Akapitzlist"/>
        <w:ind w:left="284"/>
        <w:contextualSpacing w:val="0"/>
        <w:rPr>
          <w:rFonts w:ascii="Calibri" w:eastAsiaTheme="minorHAnsi" w:hAnsi="Calibri" w:cs="Calibri"/>
          <w:kern w:val="2"/>
          <w:szCs w:val="24"/>
          <w:lang w:eastAsia="en-US"/>
          <w14:ligatures w14:val="standardContextual"/>
        </w:rPr>
      </w:pPr>
      <w:r>
        <w:rPr>
          <w:rFonts w:ascii="Calibri" w:eastAsiaTheme="minorHAnsi" w:hAnsi="Calibri" w:cs="Calibri"/>
          <w:kern w:val="2"/>
          <w:szCs w:val="24"/>
          <w:lang w:eastAsia="en-US"/>
          <w14:ligatures w14:val="standardContextual"/>
        </w:rPr>
        <w:t>Ad 3</w:t>
      </w:r>
      <w:r w:rsidRPr="00EE4AD6">
        <w:rPr>
          <w:rFonts w:ascii="Calibri" w:eastAsiaTheme="minorHAnsi" w:hAnsi="Calibri" w:cs="Calibri"/>
          <w:kern w:val="2"/>
          <w:szCs w:val="24"/>
          <w:lang w:eastAsia="en-US"/>
          <w14:ligatures w14:val="standardContextual"/>
        </w:rPr>
        <w:t xml:space="preserve"> </w:t>
      </w:r>
      <w:r w:rsidR="00971FBD" w:rsidRPr="00EE4AD6">
        <w:rPr>
          <w:rFonts w:ascii="Calibri" w:eastAsiaTheme="minorHAnsi" w:hAnsi="Calibri" w:cs="Calibri"/>
          <w:kern w:val="2"/>
          <w:szCs w:val="24"/>
          <w:lang w:eastAsia="en-US"/>
          <w14:ligatures w14:val="standardContextual"/>
        </w:rPr>
        <w:t>Umowa o objęcie przedsięwzięcia wsparciem zawierana jest z Wnioskodawcą, który został wybrany po pozytywnej ocenie oraz uzyskał najwyższą liczbę punktów na danym Obszarze Konkursowym. Zgodnie z zapisami Umowy, OOW informuje o wszystkich planowanych zmianach (za wyjątkiem zmiany wybranych punktów adresowych na inne punkty wykazane na liście punktów wytypowanych do objęcia zasięgiem na danym obszarze). Jednostka wspierająca plan rozwojowy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mógł otrzymać wsparcie. Nie dotyczy to zmiany danych adresowych, danych kontaktowych lub osób do kontaktów, nazwy Ostatecznego odbiorcy wsparcia (bez zmiany formy prawnej) lub zmiany harmonogramu płatności.</w:t>
      </w:r>
    </w:p>
    <w:p w14:paraId="7B2721E1" w14:textId="48A172B9" w:rsidR="00971FBD" w:rsidRPr="00EE4AD6" w:rsidRDefault="00E51FB3" w:rsidP="00E51FB3">
      <w:pPr>
        <w:pStyle w:val="Akapitzlist"/>
        <w:ind w:left="284"/>
        <w:contextualSpacing w:val="0"/>
        <w:rPr>
          <w:rFonts w:ascii="Calibri" w:eastAsiaTheme="minorHAnsi" w:hAnsi="Calibri" w:cs="Calibri"/>
          <w:kern w:val="2"/>
          <w:szCs w:val="24"/>
          <w:lang w:eastAsia="en-US"/>
          <w14:ligatures w14:val="standardContextual"/>
        </w:rPr>
      </w:pPr>
      <w:r>
        <w:rPr>
          <w:rFonts w:ascii="Calibri" w:eastAsiaTheme="minorHAnsi" w:hAnsi="Calibri" w:cs="Calibri"/>
          <w:kern w:val="2"/>
          <w:szCs w:val="24"/>
          <w:lang w:eastAsia="en-US"/>
          <w14:ligatures w14:val="standardContextual"/>
        </w:rPr>
        <w:t>Ad 4</w:t>
      </w:r>
      <w:r w:rsidRPr="00EE4AD6">
        <w:rPr>
          <w:rFonts w:ascii="Calibri" w:eastAsiaTheme="minorHAnsi" w:hAnsi="Calibri" w:cs="Calibri"/>
          <w:kern w:val="2"/>
          <w:szCs w:val="24"/>
          <w:lang w:eastAsia="en-US"/>
          <w14:ligatures w14:val="standardContextual"/>
        </w:rPr>
        <w:t xml:space="preserve"> </w:t>
      </w:r>
      <w:r w:rsidR="00971FBD" w:rsidRPr="00EE4AD6">
        <w:rPr>
          <w:rFonts w:ascii="Calibri" w:eastAsiaTheme="minorHAnsi" w:hAnsi="Calibri" w:cs="Calibri"/>
          <w:kern w:val="2"/>
          <w:szCs w:val="24"/>
          <w:lang w:eastAsia="en-US"/>
          <w14:ligatures w14:val="standardContextual"/>
        </w:rPr>
        <w:t>Promesa powinna opiewać na całkowitą wartość brutto p</w:t>
      </w:r>
      <w:r w:rsidR="00170057" w:rsidRPr="00EE4AD6">
        <w:rPr>
          <w:rFonts w:ascii="Calibri" w:eastAsiaTheme="minorHAnsi" w:hAnsi="Calibri" w:cs="Calibri"/>
          <w:kern w:val="2"/>
          <w:szCs w:val="24"/>
          <w:lang w:eastAsia="en-US"/>
          <w14:ligatures w14:val="standardContextual"/>
        </w:rPr>
        <w:t>rzedsięwzięcia</w:t>
      </w:r>
      <w:r w:rsidR="00971FBD" w:rsidRPr="00EE4AD6">
        <w:rPr>
          <w:rFonts w:ascii="Calibri" w:eastAsiaTheme="minorHAnsi" w:hAnsi="Calibri" w:cs="Calibri"/>
          <w:kern w:val="2"/>
          <w:szCs w:val="24"/>
          <w:lang w:eastAsia="en-US"/>
          <w14:ligatures w14:val="standardContextual"/>
        </w:rPr>
        <w:t>.</w:t>
      </w:r>
    </w:p>
    <w:p w14:paraId="0B6B7D33" w14:textId="43683418" w:rsidR="00971FBD" w:rsidRPr="00EE4AD6" w:rsidRDefault="00E51FB3" w:rsidP="00E51FB3">
      <w:pPr>
        <w:pStyle w:val="Akapitzlist"/>
        <w:ind w:left="284"/>
        <w:contextualSpacing w:val="0"/>
        <w:rPr>
          <w:rFonts w:ascii="Calibri" w:eastAsiaTheme="minorHAnsi" w:hAnsi="Calibri" w:cs="Calibri"/>
          <w:kern w:val="2"/>
          <w:szCs w:val="24"/>
          <w:lang w:eastAsia="en-US"/>
          <w14:ligatures w14:val="standardContextual"/>
        </w:rPr>
      </w:pPr>
      <w:r>
        <w:rPr>
          <w:rFonts w:ascii="Calibri" w:eastAsiaTheme="minorHAnsi" w:hAnsi="Calibri" w:cs="Calibri"/>
          <w:kern w:val="2"/>
          <w:szCs w:val="24"/>
          <w:lang w:eastAsia="en-US"/>
          <w14:ligatures w14:val="standardContextual"/>
        </w:rPr>
        <w:t>Ad 5</w:t>
      </w:r>
      <w:r w:rsidRPr="00EE4AD6">
        <w:rPr>
          <w:rFonts w:ascii="Calibri" w:eastAsiaTheme="minorHAnsi" w:hAnsi="Calibri" w:cs="Calibri"/>
          <w:kern w:val="2"/>
          <w:szCs w:val="24"/>
          <w:lang w:eastAsia="en-US"/>
          <w14:ligatures w14:val="standardContextual"/>
        </w:rPr>
        <w:t xml:space="preserve"> </w:t>
      </w:r>
      <w:r w:rsidR="00971FBD" w:rsidRPr="00EE4AD6">
        <w:rPr>
          <w:rFonts w:ascii="Calibri" w:eastAsiaTheme="minorHAnsi" w:hAnsi="Calibri" w:cs="Calibri"/>
          <w:kern w:val="2"/>
          <w:szCs w:val="24"/>
          <w:lang w:eastAsia="en-US"/>
          <w14:ligatures w14:val="standardContextual"/>
        </w:rPr>
        <w:t>W ramach Inwestycji C1.1.1 „Zapewnienie dostępu do bardzo szybkiego internetu na obszarach białych plam” nie ma przewodnika po kwalifikowalności kosztów. Rozliczenie kosztów związanych z realizacją inwestycji jest za pomocą stawek jednostkowych.</w:t>
      </w:r>
      <w:r w:rsidR="00392DD1" w:rsidRPr="00EE4AD6">
        <w:rPr>
          <w:rFonts w:ascii="Calibri" w:eastAsiaTheme="minorHAnsi" w:hAnsi="Calibri" w:cs="Calibri"/>
          <w:kern w:val="2"/>
          <w:szCs w:val="24"/>
          <w:lang w:eastAsia="en-US"/>
          <w14:ligatures w14:val="standardContextual"/>
        </w:rPr>
        <w:t xml:space="preserve"> </w:t>
      </w:r>
      <w:r w:rsidR="00971FBD" w:rsidRPr="00EE4AD6">
        <w:rPr>
          <w:rFonts w:ascii="Calibri" w:eastAsiaTheme="minorHAnsi" w:hAnsi="Calibri" w:cs="Calibri"/>
          <w:kern w:val="2"/>
          <w:szCs w:val="24"/>
          <w:lang w:eastAsia="en-US"/>
          <w14:ligatures w14:val="standardContextual"/>
        </w:rPr>
        <w:t xml:space="preserve">Link do Załącznika nr 7 do umowy o objęcie Przedsięwzięcia wsparciem: </w:t>
      </w:r>
      <w:hyperlink r:id="rId8" w:history="1">
        <w:r w:rsidR="00971FBD" w:rsidRPr="00EE4AD6">
          <w:rPr>
            <w:rStyle w:val="Hipercze"/>
            <w:rFonts w:ascii="Calibri" w:eastAsiaTheme="minorHAnsi" w:hAnsi="Calibri" w:cs="Calibri"/>
            <w:kern w:val="2"/>
            <w:szCs w:val="24"/>
            <w:lang w:eastAsia="en-US"/>
            <w14:ligatures w14:val="standardContextual"/>
          </w:rPr>
          <w:t>https://www.gov.pl/attachment/c23005f5-2703-4278-a579-b2c3e6071d91</w:t>
        </w:r>
      </w:hyperlink>
      <w:r w:rsidR="00971FBD" w:rsidRPr="00EE4AD6">
        <w:rPr>
          <w:rFonts w:ascii="Calibri" w:eastAsiaTheme="minorHAnsi" w:hAnsi="Calibri" w:cs="Calibri"/>
          <w:kern w:val="2"/>
          <w:szCs w:val="24"/>
          <w:lang w:eastAsia="en-US"/>
          <w14:ligatures w14:val="standardContextual"/>
        </w:rPr>
        <w:t xml:space="preserve"> </w:t>
      </w:r>
    </w:p>
    <w:p w14:paraId="31E6B499" w14:textId="77777777" w:rsidR="00E0680A" w:rsidRPr="00EE4AD6" w:rsidRDefault="00971FBD" w:rsidP="009C094B">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Z</w:t>
      </w:r>
      <w:r w:rsidR="00B032D1" w:rsidRPr="00EE4AD6">
        <w:rPr>
          <w:rFonts w:ascii="Calibri" w:eastAsiaTheme="minorHAnsi" w:hAnsi="Calibri" w:cs="Calibri"/>
          <w:b/>
          <w:bCs/>
          <w:kern w:val="2"/>
          <w:szCs w:val="24"/>
          <w:lang w:eastAsia="en-US"/>
          <w14:ligatures w14:val="standardContextual"/>
        </w:rPr>
        <w:t xml:space="preserve">wracam się z uprzejmą prośbą o odpowiedź </w:t>
      </w:r>
      <w:r w:rsidRPr="00EE4AD6">
        <w:rPr>
          <w:rFonts w:ascii="Calibri" w:eastAsiaTheme="minorHAnsi" w:hAnsi="Calibri" w:cs="Calibri"/>
          <w:b/>
          <w:bCs/>
          <w:kern w:val="2"/>
          <w:szCs w:val="24"/>
          <w:lang w:eastAsia="en-US"/>
          <w14:ligatures w14:val="standardContextual"/>
        </w:rPr>
        <w:t>w</w:t>
      </w:r>
      <w:r w:rsidR="00B032D1" w:rsidRPr="00EE4AD6">
        <w:rPr>
          <w:rFonts w:ascii="Calibri" w:eastAsiaTheme="minorHAnsi" w:hAnsi="Calibri" w:cs="Calibri"/>
          <w:b/>
          <w:bCs/>
          <w:kern w:val="2"/>
          <w:szCs w:val="24"/>
          <w:lang w:eastAsia="en-US"/>
          <w14:ligatures w14:val="standardContextual"/>
        </w:rPr>
        <w:t xml:space="preserve"> jaki sposób powinien być uzupełniony załącznik nr 2 „Formularz oceny sytuacji ekonomicznej wnioskodawcy” w przypadku wnioskodawcy, który pozostaje z innymi podmiotami w stosunku powiązania, o którym mowa w art. 3 Załącznika I Rozporządzenia Komisji (UE) nr 651/2014 z dnia 17 czerwca 2014 r. uznające niektóre rodzaje pomocy za zgodne z rynkiem wewnętrznym w zastosowaniu art. 107 i 108 Traktatu? Na podstawie danych dotyczących wyłącznie </w:t>
      </w:r>
      <w:r w:rsidR="00B032D1" w:rsidRPr="00EE4AD6">
        <w:rPr>
          <w:rFonts w:ascii="Calibri" w:eastAsiaTheme="minorHAnsi" w:hAnsi="Calibri" w:cs="Calibri"/>
          <w:b/>
          <w:bCs/>
          <w:kern w:val="2"/>
          <w:szCs w:val="24"/>
          <w:lang w:eastAsia="en-US"/>
          <w14:ligatures w14:val="standardContextual"/>
        </w:rPr>
        <w:lastRenderedPageBreak/>
        <w:t xml:space="preserve">wnioskodawcy czy może w skumulowanych danych finansowych wnioskodawcy i wszystkich podmiotów powiązanych z wnioskodawcą? Wyjaśnienia do załącznika nr 2 nie wskazują na konieczność przedłożenia skumulowanych danych wnioskodawcy oraz podmiotów z nim powiązanych na potrzeby wykluczenia trudnej sytuacji ekonomicznej.  Zastrzeżenie dotyczące powiązania wnioskodawcy z innymi podmiotami zostało natomiast wyraźnie zastrzeżone w przypadku określenia statusu przedsiębiorstwa, który stanowi odrębny element załącznika nr 2 (pkt. 12 Zasad wypełniania formularza). </w:t>
      </w:r>
    </w:p>
    <w:p w14:paraId="5091A396" w14:textId="208BE541" w:rsidR="00B032D1" w:rsidRPr="00EE4AD6" w:rsidRDefault="00B032D1" w:rsidP="00EE4AD6">
      <w:pPr>
        <w:pStyle w:val="Akapitzlist"/>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Na marginesie wskazuję również na załącznik nr 2a, który zobowiązuje wnioskodawcę do oświadczenia o tworzeniu/nietworzeniu jednostki gospodarczej wraz z innymi podmiotami oraz ewentualnym znajdowaniu się przez tą jednostkę gospodarczą w trudnej sytuacji finansowej (ustalonej na podstawie skumulowanych danych finansowych wnioskodawcy oraz wszystkich podmiotów z nim powiązanych). Czy wobec powyższego, oświadczenia w załączniku 2a powinny pokrywać się z danymi wskazanymi w załączniku nr 2 do wniosku? Czy może szczegółowe dane dotyczące badania trudnej sytuacji ekonomicznej zawarte w załączniku nr 2 powinny dotyczyć wyłącznie wnioskodawcy, a załącznik nr 2a (dotyczący tworzonej jednostki gospodarczej) powinien opierać się na oświadczeniach wnioskodawcy? </w:t>
      </w:r>
    </w:p>
    <w:p w14:paraId="10553FED" w14:textId="77777777" w:rsidR="00971FBD" w:rsidRPr="00EE4AD6" w:rsidRDefault="00971FBD"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Wprowadzane do załącznika nr 2 dane powinny dotyczyć wyłącznie sytuacji ekonomicznej Wnioskodawcy. </w:t>
      </w:r>
    </w:p>
    <w:p w14:paraId="28843A27" w14:textId="3073DCEB" w:rsidR="00971FBD" w:rsidRPr="00EE4AD6" w:rsidRDefault="00971FBD"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O sytuacji ekonomicznej</w:t>
      </w:r>
      <w:r w:rsidR="00170057" w:rsidRPr="00EE4AD6">
        <w:rPr>
          <w:rFonts w:ascii="Calibri" w:eastAsiaTheme="minorHAnsi" w:hAnsi="Calibri" w:cs="Calibri"/>
          <w:kern w:val="2"/>
          <w:szCs w:val="24"/>
          <w:lang w:eastAsia="en-US"/>
          <w14:ligatures w14:val="standardContextual"/>
        </w:rPr>
        <w:t>,</w:t>
      </w:r>
      <w:r w:rsidRPr="00EE4AD6">
        <w:rPr>
          <w:rFonts w:ascii="Calibri" w:eastAsiaTheme="minorHAnsi" w:hAnsi="Calibri" w:cs="Calibri"/>
          <w:kern w:val="2"/>
          <w:szCs w:val="24"/>
          <w:lang w:eastAsia="en-US"/>
          <w14:ligatures w14:val="standardContextual"/>
        </w:rPr>
        <w:t xml:space="preserve"> w jakiej znajdują się podmioty powiązane z Wnioskodawcą oświadcza się wypełniając załącznik 2a.</w:t>
      </w:r>
    </w:p>
    <w:p w14:paraId="7E3D97B1" w14:textId="7025F1F0" w:rsidR="00B032D1" w:rsidRPr="00EE4AD6" w:rsidRDefault="00435912" w:rsidP="009C094B">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U</w:t>
      </w:r>
      <w:r w:rsidR="00B032D1" w:rsidRPr="00EE4AD6">
        <w:rPr>
          <w:rFonts w:ascii="Calibri" w:eastAsiaTheme="minorHAnsi" w:hAnsi="Calibri" w:cs="Calibri"/>
          <w:b/>
          <w:bCs/>
          <w:kern w:val="2"/>
          <w:szCs w:val="24"/>
          <w:lang w:eastAsia="en-US"/>
          <w14:ligatures w14:val="standardContextual"/>
        </w:rPr>
        <w:t xml:space="preserve">przejmie proszę o udzielenie informacji w zakresie czy w nowej wersji KPO budując FTTH w celu </w:t>
      </w:r>
      <w:r w:rsidR="00172A20" w:rsidRPr="00EE4AD6">
        <w:rPr>
          <w:rFonts w:ascii="Calibri" w:eastAsiaTheme="minorHAnsi" w:hAnsi="Calibri" w:cs="Calibri"/>
          <w:b/>
          <w:bCs/>
          <w:kern w:val="2"/>
          <w:szCs w:val="24"/>
          <w:lang w:eastAsia="en-US"/>
          <w14:ligatures w14:val="standardContextual"/>
        </w:rPr>
        <w:t>z</w:t>
      </w:r>
      <w:r w:rsidR="00B032D1" w:rsidRPr="00EE4AD6">
        <w:rPr>
          <w:rFonts w:ascii="Calibri" w:eastAsiaTheme="minorHAnsi" w:hAnsi="Calibri" w:cs="Calibri"/>
          <w:b/>
          <w:bCs/>
          <w:kern w:val="2"/>
          <w:szCs w:val="24"/>
          <w:lang w:eastAsia="en-US"/>
          <w14:ligatures w14:val="standardContextual"/>
        </w:rPr>
        <w:t>apewnienie dostępu do bardzo szybkiego internetu na obszarach białych plam jest możliwość wykorzystania istniejącej infrastruktury wybudowanej w ramach POCP. Jeżeli tak czy to jest obowiązek regulowany przez regulatora w tym wypadku UKE lub UOIK?</w:t>
      </w:r>
    </w:p>
    <w:p w14:paraId="45CD6EAB" w14:textId="77777777" w:rsidR="0083143B" w:rsidRPr="00EE4AD6" w:rsidRDefault="00E0680A" w:rsidP="009C094B">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lastRenderedPageBreak/>
        <w:t xml:space="preserve">Tak, dopuszczalne jest wykorzystanie istniejącej infrastruktury. </w:t>
      </w:r>
      <w:r w:rsidR="0083143B" w:rsidRPr="00EE4AD6">
        <w:rPr>
          <w:rFonts w:ascii="Calibri" w:eastAsiaTheme="minorHAnsi" w:hAnsi="Calibri" w:cs="Calibri"/>
          <w:kern w:val="2"/>
          <w:szCs w:val="24"/>
          <w:lang w:eastAsia="en-US"/>
          <w14:ligatures w14:val="standardContextual"/>
        </w:rPr>
        <w:t>Należy spełnić wymagania określone w załączniku nr 8 do wzoru Umowy "Wymagania dla sieci KPO/FERC".</w:t>
      </w:r>
    </w:p>
    <w:p w14:paraId="243A23B5" w14:textId="751B6132" w:rsidR="0083143B" w:rsidRPr="00EE4AD6" w:rsidRDefault="0083143B" w:rsidP="009C094B">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OOW i Beneficjenci realizujący inwestycje w KPO i FERC, jak i inni przedsiębiorcy telekomunikacyjni mają możliwość wykorzystywania infrastruktury wybudowanej ze środków POPC - wynika to wprost z przepisów o pomocy publicznej, gdzie analogicznie jak do sieci KPO i FERC, beneficjenta/OOW obowiązuje otwartość sieci i świadczenia możliwe najszerszego dostępu hurtowego. Oferta hurtowa zgodnie z wymaganiami technicznymi zarówno dla sieci POPC, jak i dla sieci KPO i FERC podlega akceptacji prezesa UKE na mocy porozumienia trójstronnego.</w:t>
      </w:r>
    </w:p>
    <w:p w14:paraId="64A3CE76" w14:textId="17E4F5F3" w:rsidR="00B032D1" w:rsidRPr="00EE4AD6" w:rsidRDefault="00B032D1" w:rsidP="009C094B">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W jaki sposób powinien zostać uzupełniony załącznik nr 2 do wniosku o dofinansowanie „Formularz oceny sytuacji ekonomicznej” w przypadku podmiotów nieprowadzących pełnej księgowości (np. spółek cywilnych, JDG)? </w:t>
      </w:r>
    </w:p>
    <w:p w14:paraId="5D05E302" w14:textId="046296A4" w:rsidR="002C74FF" w:rsidRPr="00EE4AD6" w:rsidRDefault="002C74FF"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W przypadku działalności gospodarczej</w:t>
      </w:r>
      <w:r w:rsidR="0083143B" w:rsidRPr="00EE4AD6">
        <w:rPr>
          <w:rFonts w:ascii="Calibri" w:eastAsiaTheme="minorHAnsi" w:hAnsi="Calibri" w:cs="Calibri"/>
          <w:kern w:val="2"/>
          <w:szCs w:val="24"/>
          <w:lang w:eastAsia="en-US"/>
          <w14:ligatures w14:val="standardContextual"/>
        </w:rPr>
        <w:t>,</w:t>
      </w:r>
      <w:r w:rsidRPr="00EE4AD6">
        <w:rPr>
          <w:rFonts w:ascii="Calibri" w:eastAsiaTheme="minorHAnsi" w:hAnsi="Calibri" w:cs="Calibri"/>
          <w:kern w:val="2"/>
          <w:szCs w:val="24"/>
          <w:lang w:eastAsia="en-US"/>
          <w14:ligatures w14:val="standardContextual"/>
        </w:rPr>
        <w:t xml:space="preserve"> w której nie jest prowadzona pełna księgowość, załącznik nr 2 – Formularz oceny sytuacji ekonomicznej należy wypełnić najbardziej zbliżonymi do tych wymaganych w arkuszu, dostępnymi danymi.</w:t>
      </w:r>
    </w:p>
    <w:p w14:paraId="10D31909" w14:textId="7C8898D3" w:rsidR="00B032D1" w:rsidRPr="00EE4AD6" w:rsidRDefault="00B032D1" w:rsidP="00EE4AD6">
      <w:pPr>
        <w:pStyle w:val="Akapitzlist"/>
        <w:numPr>
          <w:ilvl w:val="0"/>
          <w:numId w:val="1"/>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Nasz projekt planujemy rozpocząć 1 stycznia 2025 r. </w:t>
      </w:r>
      <w:r w:rsidR="002C74FF" w:rsidRPr="00EE4AD6">
        <w:rPr>
          <w:rFonts w:ascii="Calibri" w:eastAsiaTheme="minorHAnsi" w:hAnsi="Calibri" w:cs="Calibri"/>
          <w:b/>
          <w:bCs/>
          <w:kern w:val="2"/>
          <w:szCs w:val="24"/>
          <w:lang w:eastAsia="en-US"/>
          <w14:ligatures w14:val="standardContextual"/>
        </w:rPr>
        <w:t>t</w:t>
      </w:r>
      <w:r w:rsidRPr="00EE4AD6">
        <w:rPr>
          <w:rFonts w:ascii="Calibri" w:eastAsiaTheme="minorHAnsi" w:hAnsi="Calibri" w:cs="Calibri"/>
          <w:b/>
          <w:bCs/>
          <w:kern w:val="2"/>
          <w:szCs w:val="24"/>
          <w:lang w:eastAsia="en-US"/>
          <w14:ligatures w14:val="standardContextual"/>
        </w:rPr>
        <w:t>ym samym rokiem n-1 powinien być rok 2024.</w:t>
      </w:r>
      <w:r w:rsidR="002C74FF" w:rsidRPr="00EE4AD6">
        <w:rPr>
          <w:rFonts w:ascii="Calibri" w:eastAsiaTheme="minorHAnsi" w:hAnsi="Calibri" w:cs="Calibri"/>
          <w:b/>
          <w:bCs/>
          <w:kern w:val="2"/>
          <w:szCs w:val="24"/>
          <w:lang w:eastAsia="en-US"/>
          <w14:ligatures w14:val="standardContextual"/>
        </w:rPr>
        <w:t xml:space="preserve"> D</w:t>
      </w:r>
      <w:r w:rsidRPr="00EE4AD6">
        <w:rPr>
          <w:rFonts w:ascii="Calibri" w:eastAsiaTheme="minorHAnsi" w:hAnsi="Calibri" w:cs="Calibri"/>
          <w:b/>
          <w:bCs/>
          <w:kern w:val="2"/>
          <w:szCs w:val="24"/>
          <w:lang w:eastAsia="en-US"/>
          <w14:ligatures w14:val="standardContextual"/>
        </w:rPr>
        <w:t xml:space="preserve">ane za rok n-1 i n-2 muszą być oparte na zamkniętych i przyjętych okresach sprawozdawczych co oczywiście dla roku 2024 nie jest możliwe. </w:t>
      </w:r>
    </w:p>
    <w:p w14:paraId="4A3C6298" w14:textId="0A648C01" w:rsidR="00B032D1" w:rsidRPr="00EE4AD6" w:rsidRDefault="00B032D1" w:rsidP="009C094B">
      <w:pPr>
        <w:pStyle w:val="Akapitzlist"/>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Uwzględnienie roku 2024 jako n-1 </w:t>
      </w:r>
      <w:r w:rsidR="00172A20" w:rsidRPr="00EE4AD6">
        <w:rPr>
          <w:rFonts w:ascii="Calibri" w:eastAsiaTheme="minorHAnsi" w:hAnsi="Calibri" w:cs="Calibri"/>
          <w:b/>
          <w:bCs/>
          <w:kern w:val="2"/>
          <w:szCs w:val="24"/>
          <w:lang w:eastAsia="en-US"/>
          <w14:ligatures w14:val="standardContextual"/>
        </w:rPr>
        <w:t>skutkowałoby</w:t>
      </w:r>
      <w:r w:rsidRPr="00EE4AD6">
        <w:rPr>
          <w:rFonts w:ascii="Calibri" w:eastAsiaTheme="minorHAnsi" w:hAnsi="Calibri" w:cs="Calibri"/>
          <w:b/>
          <w:bCs/>
          <w:kern w:val="2"/>
          <w:szCs w:val="24"/>
          <w:lang w:eastAsia="en-US"/>
          <w14:ligatures w14:val="standardContextual"/>
        </w:rPr>
        <w:t xml:space="preserve"> </w:t>
      </w:r>
      <w:r w:rsidR="00172A20" w:rsidRPr="00EE4AD6">
        <w:rPr>
          <w:rFonts w:ascii="Calibri" w:eastAsiaTheme="minorHAnsi" w:hAnsi="Calibri" w:cs="Calibri"/>
          <w:b/>
          <w:bCs/>
          <w:kern w:val="2"/>
          <w:szCs w:val="24"/>
          <w:lang w:eastAsia="en-US"/>
          <w14:ligatures w14:val="standardContextual"/>
        </w:rPr>
        <w:t>tym,</w:t>
      </w:r>
      <w:r w:rsidRPr="00EE4AD6">
        <w:rPr>
          <w:rFonts w:ascii="Calibri" w:eastAsiaTheme="minorHAnsi" w:hAnsi="Calibri" w:cs="Calibri"/>
          <w:b/>
          <w:bCs/>
          <w:kern w:val="2"/>
          <w:szCs w:val="24"/>
          <w:lang w:eastAsia="en-US"/>
          <w14:ligatures w14:val="standardContextual"/>
        </w:rPr>
        <w:t xml:space="preserve"> że nie byłby oparty na przyjętych sprawozdaniach, a ponadto w modelu uwzględnione byłyby dane za tylko jeden zatwierdzony okres (n-2) który w naszym wypadku byłby rokiem 2023</w:t>
      </w:r>
      <w:r w:rsidR="002C74FF" w:rsidRPr="00EE4AD6">
        <w:rPr>
          <w:rFonts w:ascii="Calibri" w:eastAsiaTheme="minorHAnsi" w:hAnsi="Calibri" w:cs="Calibri"/>
          <w:b/>
          <w:bCs/>
          <w:kern w:val="2"/>
          <w:szCs w:val="24"/>
          <w:lang w:eastAsia="en-US"/>
          <w14:ligatures w14:val="standardContextual"/>
        </w:rPr>
        <w:t xml:space="preserve">. </w:t>
      </w:r>
      <w:r w:rsidRPr="00EE4AD6">
        <w:rPr>
          <w:rFonts w:ascii="Calibri" w:eastAsiaTheme="minorHAnsi" w:hAnsi="Calibri" w:cs="Calibri"/>
          <w:b/>
          <w:bCs/>
          <w:kern w:val="2"/>
          <w:szCs w:val="24"/>
          <w:lang w:eastAsia="en-US"/>
          <w14:ligatures w14:val="standardContextual"/>
        </w:rPr>
        <w:t>Jeżeli projekt ma się rozpocząć 1 stycznia 2025 dane za jaki okres powinny być przyjęte dla lat n-2 i n-1 ?</w:t>
      </w:r>
    </w:p>
    <w:p w14:paraId="3DBABCA4" w14:textId="0781EE2C" w:rsidR="002C74FF" w:rsidRPr="009C094B" w:rsidRDefault="002C74FF" w:rsidP="009C094B">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Zgodnie z instrukcją do </w:t>
      </w:r>
      <w:r w:rsidR="00172A20" w:rsidRPr="00EE4AD6">
        <w:rPr>
          <w:rFonts w:ascii="Calibri" w:eastAsiaTheme="minorHAnsi" w:hAnsi="Calibri" w:cs="Calibri"/>
          <w:kern w:val="2"/>
          <w:szCs w:val="24"/>
          <w:lang w:eastAsia="en-US"/>
          <w14:ligatures w14:val="standardContextual"/>
        </w:rPr>
        <w:t>Załącznika nr</w:t>
      </w:r>
      <w:r w:rsidRPr="00EE4AD6">
        <w:rPr>
          <w:rFonts w:ascii="Calibri" w:eastAsiaTheme="minorHAnsi" w:hAnsi="Calibri" w:cs="Calibri"/>
          <w:kern w:val="2"/>
          <w:szCs w:val="24"/>
          <w:lang w:eastAsia="en-US"/>
          <w14:ligatures w14:val="standardContextual"/>
        </w:rPr>
        <w:t xml:space="preserve"> 8 Wnioskodawca powinien przedstawić dane za rok n-1 i n-2, które są oparte na zamkniętych i przyjętych okresach sprawozdawczych, czyli w Państwa przypadku za lata 2022 i 2023.</w:t>
      </w:r>
    </w:p>
    <w:p w14:paraId="183C8A77" w14:textId="6E8ECF9E" w:rsidR="00B032D1" w:rsidRPr="00EE4AD6" w:rsidRDefault="002C74FF" w:rsidP="009C094B">
      <w:pPr>
        <w:pStyle w:val="Akapitzlist"/>
        <w:numPr>
          <w:ilvl w:val="0"/>
          <w:numId w:val="1"/>
        </w:numPr>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lastRenderedPageBreak/>
        <w:t>Jak</w:t>
      </w:r>
      <w:r w:rsidR="00B032D1" w:rsidRPr="00EE4AD6">
        <w:rPr>
          <w:rFonts w:ascii="Calibri" w:eastAsiaTheme="minorHAnsi" w:hAnsi="Calibri" w:cs="Calibri"/>
          <w:b/>
          <w:bCs/>
          <w:kern w:val="2"/>
          <w:szCs w:val="24"/>
          <w:lang w:eastAsia="en-US"/>
          <w14:ligatures w14:val="standardContextual"/>
        </w:rPr>
        <w:t xml:space="preserve"> wygląda procedura udostępnienia </w:t>
      </w:r>
      <w:r w:rsidR="009C094B" w:rsidRPr="00EE4AD6">
        <w:rPr>
          <w:rFonts w:ascii="Calibri" w:eastAsiaTheme="minorHAnsi" w:hAnsi="Calibri" w:cs="Calibri"/>
          <w:b/>
          <w:bCs/>
          <w:kern w:val="2"/>
          <w:szCs w:val="24"/>
          <w:lang w:eastAsia="en-US"/>
          <w14:ligatures w14:val="standardContextual"/>
        </w:rPr>
        <w:t>węzłów,</w:t>
      </w:r>
      <w:r w:rsidR="00B032D1" w:rsidRPr="00EE4AD6">
        <w:rPr>
          <w:rFonts w:ascii="Calibri" w:eastAsiaTheme="minorHAnsi" w:hAnsi="Calibri" w:cs="Calibri"/>
          <w:b/>
          <w:bCs/>
          <w:kern w:val="2"/>
          <w:szCs w:val="24"/>
          <w:lang w:eastAsia="en-US"/>
          <w14:ligatures w14:val="standardContextual"/>
        </w:rPr>
        <w:t xml:space="preserve"> przez operatów którzy we </w:t>
      </w:r>
      <w:r w:rsidRPr="00EE4AD6">
        <w:rPr>
          <w:rFonts w:ascii="Calibri" w:eastAsiaTheme="minorHAnsi" w:hAnsi="Calibri" w:cs="Calibri"/>
          <w:b/>
          <w:bCs/>
          <w:kern w:val="2"/>
          <w:szCs w:val="24"/>
          <w:lang w:eastAsia="en-US"/>
          <w14:ligatures w14:val="standardContextual"/>
        </w:rPr>
        <w:t>w</w:t>
      </w:r>
      <w:r w:rsidR="00B032D1" w:rsidRPr="00EE4AD6">
        <w:rPr>
          <w:rFonts w:ascii="Calibri" w:eastAsiaTheme="minorHAnsi" w:hAnsi="Calibri" w:cs="Calibri"/>
          <w:b/>
          <w:bCs/>
          <w:kern w:val="2"/>
          <w:szCs w:val="24"/>
          <w:lang w:eastAsia="en-US"/>
          <w14:ligatures w14:val="standardContextual"/>
        </w:rPr>
        <w:t>cześniejszych latach brali udział w naborach C1.1.1?</w:t>
      </w:r>
      <w:r w:rsidRPr="00EE4AD6">
        <w:rPr>
          <w:rFonts w:ascii="Calibri" w:eastAsiaTheme="minorHAnsi" w:hAnsi="Calibri" w:cs="Calibri"/>
          <w:b/>
          <w:bCs/>
          <w:kern w:val="2"/>
          <w:szCs w:val="24"/>
          <w:lang w:eastAsia="en-US"/>
          <w14:ligatures w14:val="standardContextual"/>
        </w:rPr>
        <w:t xml:space="preserve"> </w:t>
      </w:r>
      <w:r w:rsidR="00B032D1" w:rsidRPr="00EE4AD6">
        <w:rPr>
          <w:rFonts w:ascii="Calibri" w:eastAsiaTheme="minorHAnsi" w:hAnsi="Calibri" w:cs="Calibri"/>
          <w:b/>
          <w:bCs/>
          <w:kern w:val="2"/>
          <w:szCs w:val="24"/>
          <w:lang w:eastAsia="en-US"/>
          <w14:ligatures w14:val="standardContextual"/>
        </w:rPr>
        <w:t>Czy jest może jakaś lista takich węzłów, które by były dostępne</w:t>
      </w:r>
      <w:r w:rsidR="00B032D1" w:rsidRPr="00EE4AD6">
        <w:rPr>
          <w:rFonts w:ascii="Calibri" w:eastAsiaTheme="minorHAnsi" w:hAnsi="Calibri" w:cs="Calibri"/>
          <w:kern w:val="2"/>
          <w:szCs w:val="24"/>
          <w:lang w:eastAsia="en-US"/>
          <w14:ligatures w14:val="standardContextual"/>
        </w:rPr>
        <w:t>?</w:t>
      </w:r>
    </w:p>
    <w:p w14:paraId="757D8D71" w14:textId="091E9773" w:rsidR="002C74FF" w:rsidRPr="00EE4AD6" w:rsidRDefault="002C74FF"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Nie dysponujemy listą węzłów udostępnianych przez operatorów. </w:t>
      </w:r>
    </w:p>
    <w:p w14:paraId="6CA8307E" w14:textId="3A5EA1F6" w:rsidR="002C74FF" w:rsidRPr="00EE4AD6" w:rsidRDefault="002C74FF"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Wcześniejsze nabory w ramach KPO C1.1.1 dopiero się zakończyły i operatorzy są w trakcie realizacji projektów.</w:t>
      </w:r>
    </w:p>
    <w:p w14:paraId="3A7ED916" w14:textId="0D50C63C" w:rsidR="002C74FF" w:rsidRPr="00EE4AD6" w:rsidRDefault="002C74FF"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Na naszej stronie internetowej w zakładce „Materiały do pobrania – aktualne” – sekcja ‘Pozostałe’ znajdzie Pani „Rekomendacj</w:t>
      </w:r>
      <w:r w:rsidR="001D3845" w:rsidRPr="00EE4AD6">
        <w:rPr>
          <w:rFonts w:ascii="Calibri" w:eastAsiaTheme="minorHAnsi" w:hAnsi="Calibri" w:cs="Calibri"/>
          <w:kern w:val="2"/>
          <w:szCs w:val="24"/>
          <w:lang w:eastAsia="en-US"/>
          <w14:ligatures w14:val="standardContextual"/>
        </w:rPr>
        <w:t>e</w:t>
      </w:r>
      <w:r w:rsidRPr="00EE4AD6">
        <w:rPr>
          <w:rFonts w:ascii="Calibri" w:eastAsiaTheme="minorHAnsi" w:hAnsi="Calibri" w:cs="Calibri"/>
          <w:kern w:val="2"/>
          <w:szCs w:val="24"/>
          <w:lang w:eastAsia="en-US"/>
          <w14:ligatures w14:val="standardContextual"/>
        </w:rPr>
        <w:t xml:space="preserve"> w zakresie dostępu do sieci zrealizowanej w ramach KPO/FERC”, które opisują warunki współpracy międzyoperatorskiej w zakresie świadczenia usług hurtowego dostępu do Sieci KPO/FERC, w tym warunki udostępniania elementów infrastruktury pasywnej oraz usług szerokopasmowego dostępu do lokalnej pętli abonenckiej poprzez dostęp do węzłów sieci telekomunikacyjnej.</w:t>
      </w:r>
    </w:p>
    <w:p w14:paraId="1AF59C22" w14:textId="406B5A7C" w:rsidR="00B032D1" w:rsidRPr="00EE4AD6" w:rsidRDefault="00B032D1" w:rsidP="00EE4AD6">
      <w:pPr>
        <w:pStyle w:val="Akapitzlist"/>
        <w:numPr>
          <w:ilvl w:val="0"/>
          <w:numId w:val="1"/>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Na obszarze 6.10.03.1 powiat łaski gmina Sędziejowice - mamy dodane kilka miejscowości, które planujemy objąć zasięgiem światłowodu (m.in Stare Kozuby, Kamostek, Dobra, Lichawa</w:t>
      </w:r>
      <w:r w:rsidR="00172A20" w:rsidRPr="00EE4AD6">
        <w:rPr>
          <w:rFonts w:ascii="Calibri" w:eastAsiaTheme="minorHAnsi" w:hAnsi="Calibri" w:cs="Calibri"/>
          <w:b/>
          <w:bCs/>
          <w:kern w:val="2"/>
          <w:szCs w:val="24"/>
          <w:lang w:eastAsia="en-US"/>
          <w14:ligatures w14:val="standardContextual"/>
        </w:rPr>
        <w:t>). Czy</w:t>
      </w:r>
      <w:r w:rsidRPr="00EE4AD6">
        <w:rPr>
          <w:rFonts w:ascii="Calibri" w:eastAsiaTheme="minorHAnsi" w:hAnsi="Calibri" w:cs="Calibri"/>
          <w:b/>
          <w:bCs/>
          <w:kern w:val="2"/>
          <w:szCs w:val="24"/>
          <w:lang w:eastAsia="en-US"/>
          <w14:ligatures w14:val="standardContextual"/>
        </w:rPr>
        <w:t xml:space="preserve"> będą te miejscowości też dofinansowane w ramach KPO czy znikną z dofinansowania w trakcie wniosków?</w:t>
      </w:r>
      <w:r w:rsidR="002C74FF" w:rsidRPr="00EE4AD6">
        <w:rPr>
          <w:rFonts w:ascii="Calibri" w:eastAsiaTheme="minorHAnsi" w:hAnsi="Calibri" w:cs="Calibri"/>
          <w:b/>
          <w:bCs/>
          <w:kern w:val="2"/>
          <w:szCs w:val="24"/>
          <w:lang w:eastAsia="en-US"/>
          <w14:ligatures w14:val="standardContextual"/>
        </w:rPr>
        <w:t xml:space="preserve"> </w:t>
      </w:r>
      <w:r w:rsidRPr="00EE4AD6">
        <w:rPr>
          <w:rFonts w:ascii="Calibri" w:eastAsiaTheme="minorHAnsi" w:hAnsi="Calibri" w:cs="Calibri"/>
          <w:b/>
          <w:bCs/>
          <w:kern w:val="2"/>
          <w:szCs w:val="24"/>
          <w:lang w:eastAsia="en-US"/>
          <w14:ligatures w14:val="standardContextual"/>
        </w:rPr>
        <w:t xml:space="preserve">Czy dodawanie adresy na Internet.gov.pl mają </w:t>
      </w:r>
      <w:r w:rsidR="002C74FF" w:rsidRPr="00EE4AD6">
        <w:rPr>
          <w:rFonts w:ascii="Calibri" w:eastAsiaTheme="minorHAnsi" w:hAnsi="Calibri" w:cs="Calibri"/>
          <w:b/>
          <w:bCs/>
          <w:kern w:val="2"/>
          <w:szCs w:val="24"/>
          <w:lang w:eastAsia="en-US"/>
          <w14:ligatures w14:val="standardContextual"/>
        </w:rPr>
        <w:t>jakiś</w:t>
      </w:r>
      <w:r w:rsidRPr="00EE4AD6">
        <w:rPr>
          <w:rFonts w:ascii="Calibri" w:eastAsiaTheme="minorHAnsi" w:hAnsi="Calibri" w:cs="Calibri"/>
          <w:b/>
          <w:bCs/>
          <w:kern w:val="2"/>
          <w:szCs w:val="24"/>
          <w:lang w:eastAsia="en-US"/>
          <w14:ligatures w14:val="standardContextual"/>
        </w:rPr>
        <w:t xml:space="preserve"> wpływ na planowane wydatkowanie środków z KPO/FERC?</w:t>
      </w:r>
    </w:p>
    <w:p w14:paraId="70BE94D4" w14:textId="1F5A3911" w:rsidR="002C74FF" w:rsidRPr="00EE4AD6" w:rsidRDefault="002C74FF"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W tym momencie nie ma już możliwości zmiany listy punktów adresowych wyznaczonych do objęcia zasięgiem sieci na terenie danego obszaru. </w:t>
      </w:r>
    </w:p>
    <w:p w14:paraId="5A6079A2" w14:textId="77777777" w:rsidR="002C74FF" w:rsidRPr="00EE4AD6" w:rsidRDefault="002C74FF" w:rsidP="00EE4AD6">
      <w:pPr>
        <w:ind w:left="284"/>
        <w:contextualSpacing/>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Punkty zostały wyznaczone w oparciu o przeprowadzone przez Ministerstwo Cyfryzacji konsultacje społeczne w dniach 11 marca - 10 kwietnia 2024 r. Baza punktów została następnie pomniejszona m.in. o:</w:t>
      </w:r>
    </w:p>
    <w:p w14:paraId="7DFF9FD0" w14:textId="11425DE8" w:rsidR="002C74FF" w:rsidRPr="009C094B" w:rsidRDefault="002C74FF" w:rsidP="009C094B">
      <w:pPr>
        <w:pStyle w:val="Akapitzlist"/>
        <w:numPr>
          <w:ilvl w:val="1"/>
          <w:numId w:val="8"/>
        </w:numPr>
        <w:ind w:left="851"/>
        <w:rPr>
          <w:rFonts w:ascii="Calibri" w:eastAsiaTheme="minorHAnsi" w:hAnsi="Calibri" w:cs="Calibri"/>
          <w:kern w:val="2"/>
          <w:szCs w:val="24"/>
          <w:lang w:eastAsia="en-US"/>
          <w14:ligatures w14:val="standardContextual"/>
        </w:rPr>
      </w:pPr>
      <w:r w:rsidRPr="009C094B">
        <w:rPr>
          <w:rFonts w:ascii="Calibri" w:eastAsiaTheme="minorHAnsi" w:hAnsi="Calibri" w:cs="Calibri"/>
          <w:kern w:val="2"/>
          <w:szCs w:val="24"/>
          <w:lang w:eastAsia="en-US"/>
          <w14:ligatures w14:val="standardContextual"/>
        </w:rPr>
        <w:lastRenderedPageBreak/>
        <w:t>punkty adresowe znajdujące się w zasięgu sieci światłowodowej lub innego medium kablowego umożliwiającego świadczenie usług o przepustowości co najmniej 100 Mb/s, z wyłączeniem medium radiowego, przekazane do systemu SIDUSIS według stanu na 10 kwietnia 2024 r., przez przedsiębiorców telekomunikacyjnych;</w:t>
      </w:r>
    </w:p>
    <w:p w14:paraId="70837874" w14:textId="763B7B2B" w:rsidR="002C74FF" w:rsidRPr="009C094B" w:rsidRDefault="002C74FF" w:rsidP="009C094B">
      <w:pPr>
        <w:pStyle w:val="Akapitzlist"/>
        <w:numPr>
          <w:ilvl w:val="1"/>
          <w:numId w:val="8"/>
        </w:numPr>
        <w:ind w:left="851"/>
        <w:rPr>
          <w:rFonts w:ascii="Calibri" w:eastAsiaTheme="minorHAnsi" w:hAnsi="Calibri" w:cs="Calibri"/>
          <w:kern w:val="2"/>
          <w:szCs w:val="24"/>
          <w:lang w:eastAsia="en-US"/>
          <w14:ligatures w14:val="standardContextual"/>
        </w:rPr>
      </w:pPr>
      <w:r w:rsidRPr="009C094B">
        <w:rPr>
          <w:rFonts w:ascii="Calibri" w:eastAsiaTheme="minorHAnsi" w:hAnsi="Calibri" w:cs="Calibri"/>
          <w:kern w:val="2"/>
          <w:szCs w:val="24"/>
          <w:lang w:eastAsia="en-US"/>
          <w14:ligatures w14:val="standardContextual"/>
        </w:rPr>
        <w:t>punkty adresowe dla których zgłoszono trzyletnie plany inwestycyjne w medium światłowodowym lub innym medium kablowym umożliwiającym świadczenie usług o przepustowości co najmniej 100 Mb/s, z wyłączeniem usług radiowych;</w:t>
      </w:r>
    </w:p>
    <w:p w14:paraId="63F730F1" w14:textId="6A4B0641" w:rsidR="002C74FF" w:rsidRPr="009C094B" w:rsidRDefault="002C74FF" w:rsidP="009C094B">
      <w:pPr>
        <w:pStyle w:val="Akapitzlist"/>
        <w:numPr>
          <w:ilvl w:val="1"/>
          <w:numId w:val="8"/>
        </w:numPr>
        <w:ind w:left="851"/>
        <w:rPr>
          <w:rFonts w:ascii="Calibri" w:eastAsiaTheme="minorHAnsi" w:hAnsi="Calibri" w:cs="Calibri"/>
          <w:kern w:val="2"/>
          <w:szCs w:val="24"/>
          <w:lang w:eastAsia="en-US"/>
          <w14:ligatures w14:val="standardContextual"/>
        </w:rPr>
      </w:pPr>
      <w:r w:rsidRPr="009C094B">
        <w:rPr>
          <w:rFonts w:ascii="Calibri" w:eastAsiaTheme="minorHAnsi" w:hAnsi="Calibri" w:cs="Calibri"/>
          <w:kern w:val="2"/>
          <w:szCs w:val="24"/>
          <w:lang w:eastAsia="en-US"/>
          <w14:ligatures w14:val="standardContextual"/>
        </w:rPr>
        <w:t>punkty adresowe wskazane do realizacji i zrealizowane w ramach Programu Operacyjnego Polska Cyfrowa i zaraportowane do systemu SIMBA.</w:t>
      </w:r>
    </w:p>
    <w:p w14:paraId="228A7765" w14:textId="77777777" w:rsidR="002C74FF" w:rsidRPr="009C094B" w:rsidRDefault="002C74FF" w:rsidP="009C094B">
      <w:pPr>
        <w:pStyle w:val="Akapitzlist"/>
        <w:numPr>
          <w:ilvl w:val="0"/>
          <w:numId w:val="12"/>
        </w:numPr>
        <w:ind w:left="851"/>
        <w:rPr>
          <w:rFonts w:ascii="Calibri" w:eastAsiaTheme="minorHAnsi" w:hAnsi="Calibri" w:cs="Calibri"/>
          <w:kern w:val="2"/>
          <w:szCs w:val="24"/>
          <w:lang w:eastAsia="en-US"/>
          <w14:ligatures w14:val="standardContextual"/>
        </w:rPr>
      </w:pPr>
      <w:r w:rsidRPr="009C094B">
        <w:rPr>
          <w:rFonts w:ascii="Calibri" w:eastAsiaTheme="minorHAnsi" w:hAnsi="Calibri" w:cs="Calibri"/>
          <w:kern w:val="2"/>
          <w:szCs w:val="24"/>
          <w:lang w:eastAsia="en-US"/>
          <w14:ligatures w14:val="standardContextual"/>
        </w:rPr>
        <w:t>Ponadto z uwagi na ograniczoną dostępność środków finansowych baza adresowa została pomniejszona również o punkty adresowe, których szacowany koszt objęcia zasięgiem przekraczałby 16 500 zł.</w:t>
      </w:r>
    </w:p>
    <w:p w14:paraId="0C3ED9A9" w14:textId="25D2C98A" w:rsidR="002C74FF" w:rsidRPr="00EE4AD6" w:rsidRDefault="002C74FF" w:rsidP="00EE4AD6">
      <w:pPr>
        <w:ind w:left="284"/>
        <w:contextualSpacing/>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Na chwilę obecną nie planujemy przeprowadzenia kolejnych naborów w ramach KPO/FERC.</w:t>
      </w:r>
    </w:p>
    <w:p w14:paraId="62C18FAC" w14:textId="77777777" w:rsidR="00167258" w:rsidRPr="00EE4AD6" w:rsidRDefault="00167258" w:rsidP="009C094B">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Mam uprzejmą prośbę o wsparcie i odpowiedź na pytanie, w odniesieniu do treści z instrukcji z załącznika nr 8. </w:t>
      </w:r>
      <w:r w:rsidR="00B032D1" w:rsidRPr="00EE4AD6">
        <w:rPr>
          <w:rFonts w:ascii="Calibri" w:eastAsiaTheme="minorHAnsi" w:hAnsi="Calibri" w:cs="Calibri"/>
          <w:b/>
          <w:bCs/>
          <w:kern w:val="2"/>
          <w:szCs w:val="24"/>
          <w:lang w:eastAsia="en-US"/>
          <w14:ligatures w14:val="standardContextual"/>
        </w:rPr>
        <w:t xml:space="preserve">Wnioskodawca musi wykazać wiarygodne źródła współfinansowania przedsięwzięcia. Wnioskodawca w rachunku przepływów pieniężnych musi wykazać wszystkie niezbędne i realnie możliwe do zapewnienia źródła współfinansowania projektu (i kolejnych przedkładanych projektów). </w:t>
      </w:r>
      <w:r w:rsidRPr="00EE4AD6">
        <w:rPr>
          <w:rFonts w:ascii="Calibri" w:eastAsiaTheme="minorHAnsi" w:hAnsi="Calibri" w:cs="Calibri"/>
          <w:b/>
          <w:bCs/>
          <w:kern w:val="2"/>
          <w:szCs w:val="24"/>
          <w:lang w:eastAsia="en-US"/>
          <w14:ligatures w14:val="standardContextual"/>
        </w:rPr>
        <w:t>Czy oznacza to w praktyce, że należy wykazać (na dzień składania WoD) posiadanie zasobów finansowych/lub promesy na równowartość wkładu własnego oraz VAT dla całego projektu (lub dla wszystkich projektów, jeśli planowane jest złożenie kliku WoD)?</w:t>
      </w:r>
    </w:p>
    <w:p w14:paraId="159B3F4C" w14:textId="28C787F4" w:rsidR="00167258" w:rsidRPr="00EE4AD6" w:rsidRDefault="00167258" w:rsidP="009C094B">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Promesa powinna opiewać na całkowitą wartość brutto p</w:t>
      </w:r>
      <w:r w:rsidR="00120C4A" w:rsidRPr="00EE4AD6">
        <w:rPr>
          <w:rFonts w:ascii="Calibri" w:eastAsiaTheme="minorHAnsi" w:hAnsi="Calibri" w:cs="Calibri"/>
          <w:kern w:val="2"/>
          <w:szCs w:val="24"/>
          <w:lang w:eastAsia="en-US"/>
          <w14:ligatures w14:val="standardContextual"/>
        </w:rPr>
        <w:t>rzedsięwzięcia</w:t>
      </w:r>
      <w:r w:rsidRPr="00EE4AD6">
        <w:rPr>
          <w:rFonts w:ascii="Calibri" w:eastAsiaTheme="minorHAnsi" w:hAnsi="Calibri" w:cs="Calibri"/>
          <w:kern w:val="2"/>
          <w:szCs w:val="24"/>
          <w:lang w:eastAsia="en-US"/>
          <w14:ligatures w14:val="standardContextual"/>
        </w:rPr>
        <w:t>.</w:t>
      </w:r>
    </w:p>
    <w:p w14:paraId="77181E4B" w14:textId="2CEC8CA7" w:rsidR="00B032D1" w:rsidRPr="00EE4AD6" w:rsidRDefault="00B032D1" w:rsidP="00EE4AD6">
      <w:pPr>
        <w:pStyle w:val="Akapitzlist"/>
        <w:numPr>
          <w:ilvl w:val="0"/>
          <w:numId w:val="1"/>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Proszę o odpowiedź na pytanie, czy w </w:t>
      </w:r>
      <w:r w:rsidR="00172A20" w:rsidRPr="00EE4AD6">
        <w:rPr>
          <w:rFonts w:ascii="Calibri" w:eastAsiaTheme="minorHAnsi" w:hAnsi="Calibri" w:cs="Calibri"/>
          <w:b/>
          <w:bCs/>
          <w:kern w:val="2"/>
          <w:szCs w:val="24"/>
          <w:lang w:eastAsia="en-US"/>
          <w14:ligatures w14:val="standardContextual"/>
        </w:rPr>
        <w:t>przypadku,</w:t>
      </w:r>
      <w:r w:rsidRPr="00EE4AD6">
        <w:rPr>
          <w:rFonts w:ascii="Calibri" w:eastAsiaTheme="minorHAnsi" w:hAnsi="Calibri" w:cs="Calibri"/>
          <w:b/>
          <w:bCs/>
          <w:kern w:val="2"/>
          <w:szCs w:val="24"/>
          <w:lang w:eastAsia="en-US"/>
          <w14:ligatures w14:val="standardContextual"/>
        </w:rPr>
        <w:t xml:space="preserve"> gdy wnioskodawca składa większą liczbę wniosków, a tylko część wymaga dokapitalizowania, czy w sytuacji wygranej tylko w części obszarów, CPPC przewiduje możliwość ponowienia analizy finansowej przed </w:t>
      </w:r>
      <w:r w:rsidRPr="00EE4AD6">
        <w:rPr>
          <w:rFonts w:ascii="Calibri" w:eastAsiaTheme="minorHAnsi" w:hAnsi="Calibri" w:cs="Calibri"/>
          <w:b/>
          <w:bCs/>
          <w:kern w:val="2"/>
          <w:szCs w:val="24"/>
          <w:lang w:eastAsia="en-US"/>
          <w14:ligatures w14:val="standardContextual"/>
        </w:rPr>
        <w:lastRenderedPageBreak/>
        <w:t xml:space="preserve">zawarciem umowy i rezygnacje z rejestracji podwyższenia kapitału w KRS, gdy okaże się, że dla wygranych obszarów, załącznik numer 8 wykaże dodatnie przepływy finansowe? </w:t>
      </w:r>
    </w:p>
    <w:p w14:paraId="5E58E16B" w14:textId="66060EC0" w:rsidR="00FE6F61" w:rsidRPr="00EE4AD6" w:rsidRDefault="00C3714D"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Nie przewidujemy przeprowadzenia ponownej analizy finansowej.</w:t>
      </w:r>
    </w:p>
    <w:p w14:paraId="5931CA7E" w14:textId="7397A023" w:rsidR="00B032D1" w:rsidRPr="00EE4AD6" w:rsidRDefault="00B032D1" w:rsidP="009C094B">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W związku z planowanym aplikowaniem o dofinansowanie w ramach naboru 3 KPO Inwestycja C 1.1.1, prosimy o odpowiedź na nast. pytanie czy transmisja do obejmowanych zasięgiem PA w sieci </w:t>
      </w:r>
      <w:r w:rsidR="00172A20" w:rsidRPr="00EE4AD6">
        <w:rPr>
          <w:rFonts w:ascii="Calibri" w:eastAsiaTheme="minorHAnsi" w:hAnsi="Calibri" w:cs="Calibri"/>
          <w:b/>
          <w:bCs/>
          <w:kern w:val="2"/>
          <w:szCs w:val="24"/>
          <w:lang w:eastAsia="en-US"/>
          <w14:ligatures w14:val="standardContextual"/>
        </w:rPr>
        <w:t>wybudowanej w</w:t>
      </w:r>
      <w:r w:rsidRPr="00EE4AD6">
        <w:rPr>
          <w:rFonts w:ascii="Calibri" w:eastAsiaTheme="minorHAnsi" w:hAnsi="Calibri" w:cs="Calibri"/>
          <w:b/>
          <w:bCs/>
          <w:kern w:val="2"/>
          <w:szCs w:val="24"/>
          <w:lang w:eastAsia="en-US"/>
          <w14:ligatures w14:val="standardContextual"/>
        </w:rPr>
        <w:t xml:space="preserve"> ramach obecnego konkursu może być realizowana przy wykorzystaniu już istniejących urządzeń aktywnych (węzłów OLT) zlokalizowanych poza granicą obszaru konkursowego?</w:t>
      </w:r>
    </w:p>
    <w:p w14:paraId="757C0852" w14:textId="0B50135A" w:rsidR="00C3714D" w:rsidRPr="00EE4AD6" w:rsidRDefault="00C3714D" w:rsidP="009C094B">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Zgodnie z zapisami załącznika nr 8 do wzoru umowy dostępnego na stronie naboru: „OSD udostępnia PWR w co najmniej jednej lokalizacji na danym obszarze konkursowym, w której znajduje się węzeł Sieci KPO/FERC oraz istnieje punkt styku z dostawcą usługi dostępu do Internetu. W przypadku OSD świadczącego Usługi na kilku obszarach konkursowych w danym województwie, dopuszcza się, aby OSD zapewnił jeden PWR, który obejmuje swoim zasięgiem wszystkie obszary konkursowe tego OSD w tym województwie. Niezależnie od tych wymagań OSD i OK mają prawo porozumieć się, gdzie zostanie zlokalizowany PWR dla danego OK pod warunkiem, że miejsce to zostanie zaakceptowane przez obie Strony. W takim wypadku PWR nie musi znajdować się w obszarze konkursowym”.</w:t>
      </w:r>
    </w:p>
    <w:p w14:paraId="66322BEC" w14:textId="77777777" w:rsidR="00B032D1" w:rsidRPr="00EE4AD6" w:rsidRDefault="00B032D1" w:rsidP="009C094B">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Bardzo proszę o informację, czy są wytyczne i jeśli tak, to gdzie można je znaleźć, odnośnie przygotowania plików shp do dokumentacji konkursowej (chodzi o informacje odnośnie warstw, słowników oraz tego, jakie dane mają być w nich zawarte). </w:t>
      </w:r>
    </w:p>
    <w:p w14:paraId="7F02820C" w14:textId="5F722F21" w:rsidR="00C3714D" w:rsidRPr="00EE4AD6" w:rsidRDefault="00C3714D" w:rsidP="009C094B">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Informacje dot. przygotowania plików shp znajdują się w Instrukcji wypełniania wniosku o objęcie przedsięwzięcia wsparciem dostępnej na stronie naboru.</w:t>
      </w:r>
    </w:p>
    <w:p w14:paraId="02B6B744" w14:textId="37AB1F61" w:rsidR="00B032D1" w:rsidRPr="00EE4AD6" w:rsidRDefault="00B032D1" w:rsidP="009C094B">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Przeprowadzona analiza finansowa na modelu stanowiącym Załącznik nr 8 </w:t>
      </w:r>
      <w:r w:rsidR="00172A20" w:rsidRPr="00EE4AD6">
        <w:rPr>
          <w:rFonts w:ascii="Calibri" w:eastAsiaTheme="minorHAnsi" w:hAnsi="Calibri" w:cs="Calibri"/>
          <w:b/>
          <w:bCs/>
          <w:kern w:val="2"/>
          <w:szCs w:val="24"/>
          <w:lang w:eastAsia="en-US"/>
          <w14:ligatures w14:val="standardContextual"/>
        </w:rPr>
        <w:t>wskazuje,</w:t>
      </w:r>
      <w:r w:rsidRPr="00EE4AD6">
        <w:rPr>
          <w:rFonts w:ascii="Calibri" w:eastAsiaTheme="minorHAnsi" w:hAnsi="Calibri" w:cs="Calibri"/>
          <w:b/>
          <w:bCs/>
          <w:kern w:val="2"/>
          <w:szCs w:val="24"/>
          <w:lang w:eastAsia="en-US"/>
          <w14:ligatures w14:val="standardContextual"/>
        </w:rPr>
        <w:t xml:space="preserve"> że projekt wymagał będzie uzyskania promesy kredytowej do zapewnienie wykonalności </w:t>
      </w:r>
      <w:r w:rsidRPr="00EE4AD6">
        <w:rPr>
          <w:rFonts w:ascii="Calibri" w:eastAsiaTheme="minorHAnsi" w:hAnsi="Calibri" w:cs="Calibri"/>
          <w:b/>
          <w:bCs/>
          <w:kern w:val="2"/>
          <w:szCs w:val="24"/>
          <w:lang w:eastAsia="en-US"/>
          <w14:ligatures w14:val="standardContextual"/>
        </w:rPr>
        <w:lastRenderedPageBreak/>
        <w:t>finansowej.</w:t>
      </w:r>
      <w:r w:rsidR="00C3714D" w:rsidRPr="00EE4AD6">
        <w:rPr>
          <w:rFonts w:ascii="Calibri" w:eastAsiaTheme="minorHAnsi" w:hAnsi="Calibri" w:cs="Calibri"/>
          <w:b/>
          <w:bCs/>
          <w:kern w:val="2"/>
          <w:szCs w:val="24"/>
          <w:lang w:eastAsia="en-US"/>
          <w14:ligatures w14:val="standardContextual"/>
        </w:rPr>
        <w:t xml:space="preserve"> </w:t>
      </w:r>
      <w:r w:rsidRPr="00EE4AD6">
        <w:rPr>
          <w:rFonts w:ascii="Calibri" w:eastAsiaTheme="minorHAnsi" w:hAnsi="Calibri" w:cs="Calibri"/>
          <w:b/>
          <w:bCs/>
          <w:kern w:val="2"/>
          <w:szCs w:val="24"/>
          <w:lang w:eastAsia="en-US"/>
          <w14:ligatures w14:val="standardContextual"/>
        </w:rPr>
        <w:t xml:space="preserve">Procedura uzyskania promesy jest nie łatwa i </w:t>
      </w:r>
      <w:r w:rsidR="00172A20" w:rsidRPr="00EE4AD6">
        <w:rPr>
          <w:rFonts w:ascii="Calibri" w:eastAsiaTheme="minorHAnsi" w:hAnsi="Calibri" w:cs="Calibri"/>
          <w:b/>
          <w:bCs/>
          <w:kern w:val="2"/>
          <w:szCs w:val="24"/>
          <w:lang w:eastAsia="en-US"/>
          <w14:ligatures w14:val="standardContextual"/>
        </w:rPr>
        <w:t>długotrwała,</w:t>
      </w:r>
      <w:r w:rsidRPr="00EE4AD6">
        <w:rPr>
          <w:rFonts w:ascii="Calibri" w:eastAsiaTheme="minorHAnsi" w:hAnsi="Calibri" w:cs="Calibri"/>
          <w:b/>
          <w:bCs/>
          <w:kern w:val="2"/>
          <w:szCs w:val="24"/>
          <w:lang w:eastAsia="en-US"/>
          <w14:ligatures w14:val="standardContextual"/>
        </w:rPr>
        <w:t xml:space="preserve"> dlatego na dzień złożenia WoD nie będziemy nią jeszcze dysponowali. Z dużym prawdopodobieństwem Bank wystawi promesę ale dopiero po 6</w:t>
      </w:r>
      <w:r w:rsidR="00B74348" w:rsidRPr="00EE4AD6">
        <w:rPr>
          <w:rFonts w:ascii="Calibri" w:eastAsiaTheme="minorHAnsi" w:hAnsi="Calibri" w:cs="Calibri"/>
          <w:b/>
          <w:bCs/>
          <w:kern w:val="2"/>
          <w:szCs w:val="24"/>
          <w:lang w:eastAsia="en-US"/>
          <w14:ligatures w14:val="standardContextual"/>
        </w:rPr>
        <w:t xml:space="preserve"> sierpnia</w:t>
      </w:r>
      <w:r w:rsidRPr="00EE4AD6">
        <w:rPr>
          <w:rFonts w:ascii="Calibri" w:eastAsiaTheme="minorHAnsi" w:hAnsi="Calibri" w:cs="Calibri"/>
          <w:b/>
          <w:bCs/>
          <w:kern w:val="2"/>
          <w:szCs w:val="24"/>
          <w:lang w:eastAsia="en-US"/>
          <w14:ligatures w14:val="standardContextual"/>
        </w:rPr>
        <w:t>.</w:t>
      </w:r>
    </w:p>
    <w:p w14:paraId="36A14E65" w14:textId="77777777" w:rsidR="00B032D1" w:rsidRPr="00EE4AD6" w:rsidRDefault="00B032D1" w:rsidP="009C094B">
      <w:pPr>
        <w:pStyle w:val="Akapitzlist"/>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Bardzo proszę o kluczową z punktu widzenia oceny Projektu informację, kiedy najpóźniej Wnioskodawca zobowiązany jest dostarczyć promesę kredytową. </w:t>
      </w:r>
    </w:p>
    <w:p w14:paraId="5E32339E" w14:textId="56B8E9ED" w:rsidR="001E77D5" w:rsidRPr="00EE4AD6" w:rsidRDefault="00E608D8" w:rsidP="009C094B">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Promesa musi być złożona wraz z wnioskiem.</w:t>
      </w:r>
    </w:p>
    <w:p w14:paraId="65D30F07" w14:textId="77777777" w:rsidR="00B032D1" w:rsidRPr="00EE4AD6" w:rsidRDefault="00B032D1" w:rsidP="00EE4AD6">
      <w:pPr>
        <w:pStyle w:val="Akapitzlist"/>
        <w:numPr>
          <w:ilvl w:val="0"/>
          <w:numId w:val="1"/>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Czy w ramach zewnętrznego dofinansowania w 3 naborze KPO będzie respektowana przez CPPC pożyczka od udziałowca do spółki. Taki model dofinasowania jest powszechny w obrocie, a jedyne ograniczenie wynikające z przepisów unijnych to brak możliwości sfinansowania wkładu własnego ze środków pomocy publicznej. </w:t>
      </w:r>
    </w:p>
    <w:p w14:paraId="340DD270" w14:textId="74D81190" w:rsidR="00E608D8" w:rsidRPr="00EE4AD6" w:rsidRDefault="00E608D8"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Pożyczka od udziałowca spółki nie zostanie uznana jako zewnętrzne dofinansowanie.</w:t>
      </w:r>
    </w:p>
    <w:p w14:paraId="7967171B" w14:textId="2F896700" w:rsidR="00E608D8" w:rsidRPr="00EE4AD6" w:rsidRDefault="00E608D8" w:rsidP="00EE4AD6">
      <w:pPr>
        <w:pStyle w:val="Akapitzlist"/>
        <w:numPr>
          <w:ilvl w:val="0"/>
          <w:numId w:val="1"/>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M</w:t>
      </w:r>
      <w:r w:rsidR="00B032D1" w:rsidRPr="00EE4AD6">
        <w:rPr>
          <w:rFonts w:ascii="Calibri" w:eastAsiaTheme="minorHAnsi" w:hAnsi="Calibri" w:cs="Calibri"/>
          <w:b/>
          <w:bCs/>
          <w:kern w:val="2"/>
          <w:szCs w:val="24"/>
          <w:lang w:eastAsia="en-US"/>
          <w14:ligatures w14:val="standardContextual"/>
        </w:rPr>
        <w:t>am pytanie odnośnie wniosku – Sekcja Beneficjent, pkt 6 doświadczenie Beneficjenta</w:t>
      </w:r>
      <w:r w:rsidR="00172A20" w:rsidRPr="00EE4AD6">
        <w:rPr>
          <w:rFonts w:ascii="Calibri" w:eastAsiaTheme="minorHAnsi" w:hAnsi="Calibri" w:cs="Calibri"/>
          <w:b/>
          <w:bCs/>
          <w:kern w:val="2"/>
          <w:szCs w:val="24"/>
          <w:lang w:eastAsia="en-US"/>
          <w14:ligatures w14:val="standardContextual"/>
        </w:rPr>
        <w:t xml:space="preserve"> n</w:t>
      </w:r>
      <w:r w:rsidR="00B032D1" w:rsidRPr="00EE4AD6">
        <w:rPr>
          <w:rFonts w:ascii="Calibri" w:eastAsiaTheme="minorHAnsi" w:hAnsi="Calibri" w:cs="Calibri"/>
          <w:b/>
          <w:bCs/>
          <w:kern w:val="2"/>
          <w:szCs w:val="24"/>
          <w:lang w:eastAsia="en-US"/>
          <w14:ligatures w14:val="standardContextual"/>
        </w:rPr>
        <w:t>a podstawie jakich dokumentów należy wyliczyć wartość zrealizowanych inwestycji przez Beneficjent</w:t>
      </w:r>
      <w:r w:rsidR="00172A20" w:rsidRPr="00EE4AD6">
        <w:rPr>
          <w:rFonts w:ascii="Calibri" w:eastAsiaTheme="minorHAnsi" w:hAnsi="Calibri" w:cs="Calibri"/>
          <w:b/>
          <w:bCs/>
          <w:kern w:val="2"/>
          <w:szCs w:val="24"/>
          <w:lang w:eastAsia="en-US"/>
          <w14:ligatures w14:val="standardContextual"/>
        </w:rPr>
        <w:t>a</w:t>
      </w:r>
      <w:r w:rsidR="00B032D1" w:rsidRPr="00EE4AD6">
        <w:rPr>
          <w:rFonts w:ascii="Calibri" w:eastAsiaTheme="minorHAnsi" w:hAnsi="Calibri" w:cs="Calibri"/>
          <w:b/>
          <w:bCs/>
          <w:kern w:val="2"/>
          <w:szCs w:val="24"/>
          <w:lang w:eastAsia="en-US"/>
          <w14:ligatures w14:val="standardContextual"/>
        </w:rPr>
        <w:t xml:space="preserve"> w przypadku</w:t>
      </w:r>
      <w:r w:rsidR="00172A20" w:rsidRPr="00EE4AD6">
        <w:rPr>
          <w:rFonts w:ascii="Calibri" w:eastAsiaTheme="minorHAnsi" w:hAnsi="Calibri" w:cs="Calibri"/>
          <w:b/>
          <w:bCs/>
          <w:kern w:val="2"/>
          <w:szCs w:val="24"/>
          <w:lang w:eastAsia="en-US"/>
          <w14:ligatures w14:val="standardContextual"/>
        </w:rPr>
        <w:t>,</w:t>
      </w:r>
      <w:r w:rsidR="00B032D1" w:rsidRPr="00EE4AD6">
        <w:rPr>
          <w:rFonts w:ascii="Calibri" w:eastAsiaTheme="minorHAnsi" w:hAnsi="Calibri" w:cs="Calibri"/>
          <w:b/>
          <w:bCs/>
          <w:kern w:val="2"/>
          <w:szCs w:val="24"/>
          <w:lang w:eastAsia="en-US"/>
          <w14:ligatures w14:val="standardContextual"/>
        </w:rPr>
        <w:t xml:space="preserve"> kiedy Podmiot finansował inwestycje z własnych środków?</w:t>
      </w:r>
      <w:r w:rsidRPr="00EE4AD6">
        <w:rPr>
          <w:rFonts w:ascii="Calibri" w:eastAsiaTheme="minorHAnsi" w:hAnsi="Calibri" w:cs="Calibri"/>
          <w:b/>
          <w:bCs/>
          <w:kern w:val="2"/>
          <w:szCs w:val="24"/>
          <w:lang w:eastAsia="en-US"/>
          <w14:ligatures w14:val="standardContextual"/>
        </w:rPr>
        <w:t xml:space="preserve"> </w:t>
      </w:r>
    </w:p>
    <w:p w14:paraId="19DE9AE6" w14:textId="77777777" w:rsidR="001B6B57" w:rsidRPr="00EE4AD6" w:rsidRDefault="001B6B57" w:rsidP="00EE4AD6">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Nie został określony katalog dokumentów wymaganych do potwierdzenia posiadanego doświadczenia. Wnioskodawca powinien posiadać dokumenty, na podstawie których będzie w stanie jednoznacznie wykazać wartość zrealizowanych inwestycji. Należy zwrócić uwagę, że można wykazać jako doświadczenie wyłącznie koszty inwestycyjne, bez kosztów bieżących działalności przedsiębiorstwa. Do wniosku nie należy dołączać dokumentacji potwierdzającej wykazane doświadczenie, natomiast ekspert oceniający wniosek może zwrócić się do wnioskodawcy z prośbą o jej przesłanie na etapie oceny. </w:t>
      </w:r>
    </w:p>
    <w:p w14:paraId="0D9D78F2" w14:textId="77777777" w:rsidR="001B6B57" w:rsidRPr="00EE4AD6" w:rsidRDefault="001B6B57" w:rsidP="00EE4AD6">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W przypadku realizacji prac zasobami własnymi należy zadbać o właściwą ścieżkę audytu. Powinny zostać opracowane i wystawiane m.in. takie dokumenty jak: </w:t>
      </w:r>
    </w:p>
    <w:p w14:paraId="6D3599A7" w14:textId="580EB2F4" w:rsidR="001B6B57" w:rsidRPr="00EE4AD6" w:rsidRDefault="001B6B57" w:rsidP="009C094B">
      <w:pPr>
        <w:pStyle w:val="Akapitzlist"/>
        <w:numPr>
          <w:ilvl w:val="1"/>
          <w:numId w:val="8"/>
        </w:numPr>
        <w:ind w:left="1271"/>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lastRenderedPageBreak/>
        <w:t xml:space="preserve">protokoły wydania materiałów z magazynu, </w:t>
      </w:r>
    </w:p>
    <w:p w14:paraId="3C548F48" w14:textId="7067B5E3" w:rsidR="001B6B57" w:rsidRPr="00EE4AD6" w:rsidRDefault="001B6B57" w:rsidP="009C094B">
      <w:pPr>
        <w:pStyle w:val="Akapitzlist"/>
        <w:numPr>
          <w:ilvl w:val="1"/>
          <w:numId w:val="8"/>
        </w:numPr>
        <w:ind w:left="1271"/>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protokoły zlecenia prac – z uwzględnieniem danych adresów, odcinka długości sieci etc. </w:t>
      </w:r>
    </w:p>
    <w:p w14:paraId="1309A17D" w14:textId="55B9AD17" w:rsidR="001B6B57" w:rsidRPr="00EE4AD6" w:rsidRDefault="001B6B57" w:rsidP="009C094B">
      <w:pPr>
        <w:pStyle w:val="Akapitzlist"/>
        <w:numPr>
          <w:ilvl w:val="1"/>
          <w:numId w:val="8"/>
        </w:numPr>
        <w:ind w:left="1271"/>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protokoły odbioru prac, w tym protokoły przeprowadzenia odbiorów jakości sieci oraz inne dokumenty zewnętrzne</w:t>
      </w:r>
    </w:p>
    <w:p w14:paraId="7384F433" w14:textId="4F322D49" w:rsidR="001B6B57" w:rsidRPr="00EE4AD6" w:rsidRDefault="001B6B57" w:rsidP="009C094B">
      <w:pPr>
        <w:pStyle w:val="Akapitzlist"/>
        <w:numPr>
          <w:ilvl w:val="1"/>
          <w:numId w:val="8"/>
        </w:numPr>
        <w:ind w:left="1271"/>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dokumentacja powykonawcza,</w:t>
      </w:r>
    </w:p>
    <w:p w14:paraId="4E9946C8" w14:textId="530032DE" w:rsidR="001B6B57" w:rsidRPr="00EE4AD6" w:rsidRDefault="001B6B57" w:rsidP="009C094B">
      <w:pPr>
        <w:pStyle w:val="Akapitzlist"/>
        <w:numPr>
          <w:ilvl w:val="1"/>
          <w:numId w:val="8"/>
        </w:numPr>
        <w:ind w:left="1271"/>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oświadczenia geodety o zgłoszeniu do zasobów, </w:t>
      </w:r>
    </w:p>
    <w:p w14:paraId="693D430A" w14:textId="49AC5753" w:rsidR="001B6B57" w:rsidRPr="00EE4AD6" w:rsidRDefault="001B6B57" w:rsidP="009C094B">
      <w:pPr>
        <w:pStyle w:val="Akapitzlist"/>
        <w:numPr>
          <w:ilvl w:val="1"/>
          <w:numId w:val="8"/>
        </w:numPr>
        <w:ind w:left="1271"/>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dokumentacja odbiorowa od właściciela słupów (w przypadku infrastruktury napowietrznej), </w:t>
      </w:r>
    </w:p>
    <w:p w14:paraId="385C6203" w14:textId="739EDB79" w:rsidR="00E608D8" w:rsidRPr="00EE4AD6" w:rsidRDefault="001B6B57" w:rsidP="009C094B">
      <w:pPr>
        <w:pStyle w:val="Akapitzlist"/>
        <w:numPr>
          <w:ilvl w:val="1"/>
          <w:numId w:val="8"/>
        </w:numPr>
        <w:ind w:left="1271"/>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przyjęcie środka trwałego (dla kolejnych etapów może być to środek trwały w budowie).</w:t>
      </w:r>
    </w:p>
    <w:p w14:paraId="219133F2" w14:textId="58E94812" w:rsidR="00B032D1" w:rsidRPr="00EE4AD6" w:rsidRDefault="001734EA" w:rsidP="00EE4AD6">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W</w:t>
      </w:r>
      <w:r w:rsidR="00B032D1" w:rsidRPr="00EE4AD6">
        <w:rPr>
          <w:rFonts w:ascii="Calibri" w:eastAsiaTheme="minorHAnsi" w:hAnsi="Calibri" w:cs="Calibri"/>
          <w:b/>
          <w:bCs/>
          <w:kern w:val="2"/>
          <w:szCs w:val="24"/>
          <w:lang w:eastAsia="en-US"/>
          <w14:ligatures w14:val="standardContextual"/>
        </w:rPr>
        <w:t xml:space="preserve"> ramach dokumentacji konkursowej oraz w ramach odpowiedzi, które zamieszczają Państwo w ramach FAQ brakuje informacji, dotyczącej tego na jaką kwotę powinna być wystawiona promesa. Wskazują Państwo, że "promesa musi dotyczyć konkretnie ocenianego projektu (w promesie musi być ujęta jego nazwa, wartość oraz okres realizacji)" ale brakuje informacji, czy wysokość promesy powinna odpowiadać:</w:t>
      </w:r>
    </w:p>
    <w:p w14:paraId="5A828881" w14:textId="77777777" w:rsidR="00B032D1" w:rsidRPr="00EE4AD6" w:rsidRDefault="00B032D1" w:rsidP="00EE4AD6">
      <w:pPr>
        <w:pStyle w:val="Akapitzlist"/>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a) kwocie najwyższej transzy zaliczki/refundacji</w:t>
      </w:r>
    </w:p>
    <w:p w14:paraId="5CBBA28A" w14:textId="77777777" w:rsidR="00B032D1" w:rsidRPr="00EE4AD6" w:rsidRDefault="00B032D1" w:rsidP="00EE4AD6">
      <w:pPr>
        <w:pStyle w:val="Akapitzlist"/>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b) całkowitej wartości dofinansowania projektu</w:t>
      </w:r>
    </w:p>
    <w:p w14:paraId="255774A2" w14:textId="77777777" w:rsidR="00B032D1" w:rsidRPr="00EE4AD6" w:rsidRDefault="00B032D1" w:rsidP="00EE4AD6">
      <w:pPr>
        <w:pStyle w:val="Akapitzlist"/>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c) całkowitej wartości wydatków kwalifikowalnych</w:t>
      </w:r>
    </w:p>
    <w:p w14:paraId="27221EEE" w14:textId="77777777" w:rsidR="00B032D1" w:rsidRPr="00EE4AD6" w:rsidRDefault="00B032D1" w:rsidP="00EE4AD6">
      <w:pPr>
        <w:pStyle w:val="Akapitzlist"/>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d) rocznej wartości dofinansowania / wydatków kwalifikowalnych</w:t>
      </w:r>
    </w:p>
    <w:p w14:paraId="63094D27" w14:textId="77777777" w:rsidR="00B032D1" w:rsidRPr="00EE4AD6" w:rsidRDefault="00B032D1" w:rsidP="00EE4AD6">
      <w:pPr>
        <w:pStyle w:val="Akapitzlist"/>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e) innej wartości.</w:t>
      </w:r>
    </w:p>
    <w:p w14:paraId="76E1AFF3" w14:textId="2EB37E69" w:rsidR="00B032D1" w:rsidRPr="00EE4AD6" w:rsidRDefault="001734EA" w:rsidP="00EE4AD6">
      <w:pPr>
        <w:pStyle w:val="Akapitzlist"/>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Uprzejmie proszę o wskazanie na jaką wartość powinna zostać wystawiona promesa kredytowa.</w:t>
      </w:r>
    </w:p>
    <w:p w14:paraId="01FCE658" w14:textId="22D8615E" w:rsidR="001734EA" w:rsidRPr="00EE4AD6" w:rsidRDefault="001734EA" w:rsidP="00EE4AD6">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Promesa musi być złożona wraz z wnioskiem i powinna opiewać na całkowitą wartość brutto danego p</w:t>
      </w:r>
      <w:r w:rsidR="00F832C0" w:rsidRPr="00EE4AD6">
        <w:rPr>
          <w:rFonts w:ascii="Calibri" w:eastAsiaTheme="minorHAnsi" w:hAnsi="Calibri" w:cs="Calibri"/>
          <w:kern w:val="2"/>
          <w:szCs w:val="24"/>
          <w:lang w:eastAsia="en-US"/>
          <w14:ligatures w14:val="standardContextual"/>
        </w:rPr>
        <w:t>rzedsięwzięcia</w:t>
      </w:r>
      <w:r w:rsidRPr="00EE4AD6">
        <w:rPr>
          <w:rFonts w:ascii="Calibri" w:eastAsiaTheme="minorHAnsi" w:hAnsi="Calibri" w:cs="Calibri"/>
          <w:kern w:val="2"/>
          <w:szCs w:val="24"/>
          <w:lang w:eastAsia="en-US"/>
          <w14:ligatures w14:val="standardContextual"/>
        </w:rPr>
        <w:t>.</w:t>
      </w:r>
    </w:p>
    <w:p w14:paraId="7083F79C" w14:textId="32278A94" w:rsidR="001734EA" w:rsidRPr="00EE4AD6" w:rsidRDefault="00B032D1" w:rsidP="00EE4AD6">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lastRenderedPageBreak/>
        <w:t>W celu złożenia wniosku w programie "Inwestycja C 1.1.1 Zapewnienie dostępu do bardzo szybkiego Internetu na obszarach białych plam (trzeci nabór)</w:t>
      </w:r>
      <w:r w:rsidR="00172A20" w:rsidRPr="00EE4AD6">
        <w:rPr>
          <w:rFonts w:ascii="Calibri" w:eastAsiaTheme="minorHAnsi" w:hAnsi="Calibri" w:cs="Calibri"/>
          <w:b/>
          <w:bCs/>
          <w:kern w:val="2"/>
          <w:szCs w:val="24"/>
          <w:lang w:eastAsia="en-US"/>
          <w14:ligatures w14:val="standardContextual"/>
        </w:rPr>
        <w:t>” wymaganie</w:t>
      </w:r>
      <w:r w:rsidRPr="00EE4AD6">
        <w:rPr>
          <w:rFonts w:ascii="Calibri" w:eastAsiaTheme="minorHAnsi" w:hAnsi="Calibri" w:cs="Calibri"/>
          <w:b/>
          <w:bCs/>
          <w:kern w:val="2"/>
          <w:szCs w:val="24"/>
          <w:lang w:eastAsia="en-US"/>
          <w14:ligatures w14:val="standardContextual"/>
        </w:rPr>
        <w:t xml:space="preserve"> jest dołączenie załącznika "Schemat logiczny sieci z zaznaczeniem takich elementów jak: punkty styku, węzły sieci (w tym PWR), linki radiowe, łącza światłowodowe, łącza transmisji danych oraz inne niezbędne</w:t>
      </w:r>
      <w:r w:rsidR="001734EA" w:rsidRPr="00EE4AD6">
        <w:rPr>
          <w:rFonts w:ascii="Calibri" w:eastAsiaTheme="minorHAnsi" w:hAnsi="Calibri" w:cs="Calibri"/>
          <w:b/>
          <w:bCs/>
          <w:kern w:val="2"/>
          <w:szCs w:val="24"/>
          <w:lang w:eastAsia="en-US"/>
          <w14:ligatures w14:val="standardContextual"/>
        </w:rPr>
        <w:t>”</w:t>
      </w:r>
      <w:r w:rsidRPr="00EE4AD6">
        <w:rPr>
          <w:rFonts w:ascii="Calibri" w:eastAsiaTheme="minorHAnsi" w:hAnsi="Calibri" w:cs="Calibri"/>
          <w:b/>
          <w:bCs/>
          <w:kern w:val="2"/>
          <w:szCs w:val="24"/>
          <w:lang w:eastAsia="en-US"/>
          <w14:ligatures w14:val="standardContextual"/>
        </w:rPr>
        <w:t>. </w:t>
      </w:r>
      <w:r w:rsidR="001734EA" w:rsidRPr="00EE4AD6">
        <w:rPr>
          <w:rFonts w:ascii="Calibri" w:eastAsiaTheme="minorHAnsi" w:hAnsi="Calibri" w:cs="Calibri"/>
          <w:b/>
          <w:bCs/>
          <w:kern w:val="2"/>
          <w:szCs w:val="24"/>
          <w:lang w:eastAsia="en-US"/>
          <w14:ligatures w14:val="standardContextual"/>
        </w:rPr>
        <w:t xml:space="preserve">Czy można otrzymać jakiś przykładowy / poglądowy tego typu schemat </w:t>
      </w:r>
      <w:r w:rsidR="00172A20" w:rsidRPr="00EE4AD6">
        <w:rPr>
          <w:rFonts w:ascii="Calibri" w:eastAsiaTheme="minorHAnsi" w:hAnsi="Calibri" w:cs="Calibri"/>
          <w:b/>
          <w:bCs/>
          <w:kern w:val="2"/>
          <w:szCs w:val="24"/>
          <w:lang w:eastAsia="en-US"/>
          <w14:ligatures w14:val="standardContextual"/>
        </w:rPr>
        <w:t>np.</w:t>
      </w:r>
      <w:r w:rsidR="001734EA" w:rsidRPr="00EE4AD6">
        <w:rPr>
          <w:rFonts w:ascii="Calibri" w:eastAsiaTheme="minorHAnsi" w:hAnsi="Calibri" w:cs="Calibri"/>
          <w:b/>
          <w:bCs/>
          <w:kern w:val="2"/>
          <w:szCs w:val="24"/>
          <w:lang w:eastAsia="en-US"/>
          <w14:ligatures w14:val="standardContextual"/>
        </w:rPr>
        <w:t xml:space="preserve"> z poprzedniego </w:t>
      </w:r>
      <w:r w:rsidR="00172A20" w:rsidRPr="00EE4AD6">
        <w:rPr>
          <w:rFonts w:ascii="Calibri" w:eastAsiaTheme="minorHAnsi" w:hAnsi="Calibri" w:cs="Calibri"/>
          <w:b/>
          <w:bCs/>
          <w:kern w:val="2"/>
          <w:szCs w:val="24"/>
          <w:lang w:eastAsia="en-US"/>
          <w14:ligatures w14:val="standardContextual"/>
        </w:rPr>
        <w:t>naboru?</w:t>
      </w:r>
    </w:p>
    <w:p w14:paraId="01F2CCBE" w14:textId="4AB7EA4F" w:rsidR="001734EA" w:rsidRPr="00EE4AD6" w:rsidRDefault="001734EA"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Nie dysponujemy przykładowym schematem, który moglibyśmy udostępnić Wnioskodawcom. Proszę przygotować schemat zgodnie z instrukcją znajdującą się na stronie naboru.</w:t>
      </w:r>
    </w:p>
    <w:p w14:paraId="41163FAF" w14:textId="77777777" w:rsidR="00B032D1" w:rsidRPr="00EE4AD6" w:rsidRDefault="00B032D1" w:rsidP="00EE4AD6">
      <w:pPr>
        <w:pStyle w:val="Akapitzlist"/>
        <w:numPr>
          <w:ilvl w:val="0"/>
          <w:numId w:val="1"/>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Jako MŚP, zgodnie z instrukcją do Załącznika 8, zobowiązani jesteśmy przygotować prognozy za okresy roczne 3+3 (tzn. realizacja Projektu: 2024-2026r i okres trwałości: 2027-2029r). Załącznik 8 domyślnie jest przygotowany dla Wnioskodawców, którzy są zobowiązani do zachowania 5-letniego okresu trwałości.</w:t>
      </w:r>
    </w:p>
    <w:p w14:paraId="4E31E5A2" w14:textId="77777777" w:rsidR="00B032D1" w:rsidRPr="00EE4AD6" w:rsidRDefault="00B032D1" w:rsidP="00EE4AD6">
      <w:pPr>
        <w:pStyle w:val="Akapitzlist"/>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Czy w związku z tym w kolumnach dot. prognozowanych danych dla kolejnych lat (tj. od 2030r wzwyż) mamy wprowadzić wartość „0”, czy nie wypełniać danych dla tych lat (zostawić puste komórki)?</w:t>
      </w:r>
    </w:p>
    <w:p w14:paraId="4E20BA08" w14:textId="77777777" w:rsidR="0062233B" w:rsidRPr="00EE4AD6" w:rsidRDefault="0062233B" w:rsidP="00EE4AD6">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Proszę nie wypełniać danych dla lat po zakończeniu okresu trwałości – komórki mogą pozostać puste.</w:t>
      </w:r>
    </w:p>
    <w:p w14:paraId="7EFD7B25" w14:textId="5624A908" w:rsidR="00B032D1" w:rsidRPr="00EE4AD6" w:rsidRDefault="00B032D1" w:rsidP="00EE4AD6">
      <w:pPr>
        <w:pStyle w:val="Akapitzlist"/>
        <w:numPr>
          <w:ilvl w:val="0"/>
          <w:numId w:val="1"/>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We wniosku o dofinansowanie w sekcji 14. Zakres finansowy w polu ‘Stawka jednostkowa wskazana przez Beneficjenta’ zadeklarujemy stawkę obniżoną w stosunku do uśrednionej stawki krajowej w celu uzyskania punktów w ramach kryterium 13. Minimalizacja wkładu publicznego.</w:t>
      </w:r>
      <w:r w:rsidR="00420676" w:rsidRPr="00EE4AD6">
        <w:rPr>
          <w:rFonts w:ascii="Calibri" w:eastAsiaTheme="minorHAnsi" w:hAnsi="Calibri" w:cs="Calibri"/>
          <w:b/>
          <w:bCs/>
          <w:kern w:val="2"/>
          <w:szCs w:val="24"/>
          <w:lang w:eastAsia="en-US"/>
          <w14:ligatures w14:val="standardContextual"/>
        </w:rPr>
        <w:t xml:space="preserve"> </w:t>
      </w:r>
      <w:r w:rsidRPr="00EE4AD6">
        <w:rPr>
          <w:rFonts w:ascii="Calibri" w:eastAsiaTheme="minorHAnsi" w:hAnsi="Calibri" w:cs="Calibri"/>
          <w:b/>
          <w:bCs/>
          <w:kern w:val="2"/>
          <w:szCs w:val="24"/>
          <w:lang w:eastAsia="en-US"/>
          <w14:ligatures w14:val="standardContextual"/>
        </w:rPr>
        <w:t xml:space="preserve">Po zaproponowaniu obniżonej stawki jednostkowej Wnioskodawcy w polach ‘Podsumowanie budżetu’ formularz WoD przelicza Wydatki ogółem/kwalifikowane w dwóch wariantach: </w:t>
      </w:r>
      <w:r w:rsidR="00172A20" w:rsidRPr="00EE4AD6">
        <w:rPr>
          <w:rFonts w:ascii="Calibri" w:eastAsiaTheme="minorHAnsi" w:hAnsi="Calibri" w:cs="Calibri"/>
          <w:b/>
          <w:bCs/>
          <w:kern w:val="2"/>
          <w:szCs w:val="24"/>
          <w:lang w:eastAsia="en-US"/>
          <w14:ligatures w14:val="standardContextual"/>
        </w:rPr>
        <w:t>1) podstawowym</w:t>
      </w:r>
      <w:r w:rsidRPr="00EE4AD6">
        <w:rPr>
          <w:rFonts w:ascii="Calibri" w:eastAsiaTheme="minorHAnsi" w:hAnsi="Calibri" w:cs="Calibri"/>
          <w:b/>
          <w:bCs/>
          <w:kern w:val="2"/>
          <w:szCs w:val="24"/>
          <w:lang w:eastAsia="en-US"/>
          <w14:ligatures w14:val="standardContextual"/>
        </w:rPr>
        <w:t xml:space="preserve"> i </w:t>
      </w:r>
      <w:r w:rsidR="00172A20" w:rsidRPr="00EE4AD6">
        <w:rPr>
          <w:rFonts w:ascii="Calibri" w:eastAsiaTheme="minorHAnsi" w:hAnsi="Calibri" w:cs="Calibri"/>
          <w:b/>
          <w:bCs/>
          <w:kern w:val="2"/>
          <w:szCs w:val="24"/>
          <w:lang w:eastAsia="en-US"/>
          <w14:ligatures w14:val="standardContextual"/>
        </w:rPr>
        <w:t>2) po</w:t>
      </w:r>
      <w:r w:rsidRPr="00EE4AD6">
        <w:rPr>
          <w:rFonts w:ascii="Calibri" w:eastAsiaTheme="minorHAnsi" w:hAnsi="Calibri" w:cs="Calibri"/>
          <w:b/>
          <w:bCs/>
          <w:kern w:val="2"/>
          <w:szCs w:val="24"/>
          <w:lang w:eastAsia="en-US"/>
          <w14:ligatures w14:val="standardContextual"/>
        </w:rPr>
        <w:t xml:space="preserve"> uwzględnieniu współczynnika obniżenia.</w:t>
      </w:r>
      <w:r w:rsidR="00420676" w:rsidRPr="00EE4AD6">
        <w:rPr>
          <w:rFonts w:ascii="Calibri" w:eastAsiaTheme="minorHAnsi" w:hAnsi="Calibri" w:cs="Calibri"/>
          <w:b/>
          <w:bCs/>
          <w:kern w:val="2"/>
          <w:szCs w:val="24"/>
          <w:lang w:eastAsia="en-US"/>
          <w14:ligatures w14:val="standardContextual"/>
        </w:rPr>
        <w:t xml:space="preserve"> </w:t>
      </w:r>
      <w:r w:rsidRPr="00EE4AD6">
        <w:rPr>
          <w:rFonts w:ascii="Calibri" w:eastAsiaTheme="minorHAnsi" w:hAnsi="Calibri" w:cs="Calibri"/>
          <w:b/>
          <w:bCs/>
          <w:kern w:val="2"/>
          <w:szCs w:val="24"/>
          <w:lang w:eastAsia="en-US"/>
          <w14:ligatures w14:val="standardContextual"/>
        </w:rPr>
        <w:t xml:space="preserve">Czy w ‘8. Załączniku finansowym’ do WoD w przypadku opisanym powyżej (tzn. zadeklarowania obniżenia stawki krajowej przez Wnioskodawcę), powinniśmy jako </w:t>
      </w:r>
      <w:r w:rsidRPr="00EE4AD6">
        <w:rPr>
          <w:rFonts w:ascii="Calibri" w:eastAsiaTheme="minorHAnsi" w:hAnsi="Calibri" w:cs="Calibri"/>
          <w:b/>
          <w:bCs/>
          <w:kern w:val="2"/>
          <w:szCs w:val="24"/>
          <w:lang w:eastAsia="en-US"/>
          <w14:ligatures w14:val="standardContextual"/>
        </w:rPr>
        <w:lastRenderedPageBreak/>
        <w:t>wartość Inwestycji /Projektu na potrzeby analiz finansowych, przyjąć wartość Inwestycji/Projektu wynikającą z wariantu po uwzględnieniu współczynnika obniżenia?</w:t>
      </w:r>
    </w:p>
    <w:p w14:paraId="50A806D2" w14:textId="5FB28EE4" w:rsidR="00420676" w:rsidRPr="00EE4AD6" w:rsidRDefault="00420676"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Należy podać wartości z uwzględnieniem współczynnika obniżenia.</w:t>
      </w:r>
    </w:p>
    <w:p w14:paraId="7F9F96C2" w14:textId="5A6860B3" w:rsidR="00B032D1" w:rsidRPr="00EE4AD6" w:rsidRDefault="00B032D1" w:rsidP="00EE4AD6">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Czy bez względu na fakt</w:t>
      </w:r>
      <w:r w:rsidR="00ED300F" w:rsidRPr="00EE4AD6">
        <w:rPr>
          <w:rFonts w:ascii="Calibri" w:eastAsiaTheme="minorHAnsi" w:hAnsi="Calibri" w:cs="Calibri"/>
          <w:b/>
          <w:bCs/>
          <w:kern w:val="2"/>
          <w:szCs w:val="24"/>
          <w:lang w:eastAsia="en-US"/>
          <w14:ligatures w14:val="standardContextual"/>
        </w:rPr>
        <w:t>,</w:t>
      </w:r>
      <w:r w:rsidRPr="00EE4AD6">
        <w:rPr>
          <w:rFonts w:ascii="Calibri" w:eastAsiaTheme="minorHAnsi" w:hAnsi="Calibri" w:cs="Calibri"/>
          <w:b/>
          <w:bCs/>
          <w:kern w:val="2"/>
          <w:szCs w:val="24"/>
          <w:lang w:eastAsia="en-US"/>
          <w14:ligatures w14:val="standardContextual"/>
        </w:rPr>
        <w:t xml:space="preserve"> iż beneficjent nie będzie realizował innych obszarów i tak będzie musiał </w:t>
      </w:r>
      <w:r w:rsidR="00172A20" w:rsidRPr="00EE4AD6">
        <w:rPr>
          <w:rFonts w:ascii="Calibri" w:eastAsiaTheme="minorHAnsi" w:hAnsi="Calibri" w:cs="Calibri"/>
          <w:b/>
          <w:bCs/>
          <w:kern w:val="2"/>
          <w:szCs w:val="24"/>
          <w:lang w:eastAsia="en-US"/>
          <w14:ligatures w14:val="standardContextual"/>
        </w:rPr>
        <w:t>zarepetować KRS</w:t>
      </w:r>
      <w:r w:rsidRPr="00EE4AD6">
        <w:rPr>
          <w:rFonts w:ascii="Calibri" w:eastAsiaTheme="minorHAnsi" w:hAnsi="Calibri" w:cs="Calibri"/>
          <w:b/>
          <w:bCs/>
          <w:kern w:val="2"/>
          <w:szCs w:val="24"/>
          <w:lang w:eastAsia="en-US"/>
          <w14:ligatures w14:val="standardContextual"/>
        </w:rPr>
        <w:t xml:space="preserve"> podwyższenie kapitału zakładowego? </w:t>
      </w:r>
    </w:p>
    <w:p w14:paraId="02CA6548" w14:textId="25B70885" w:rsidR="00ED300F" w:rsidRPr="00EE4AD6" w:rsidRDefault="00ED300F" w:rsidP="00EE4AD6">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W przypadku zadeklarowania dokonania dokapitalizowania, takie dokapitalizowanie musi nastąpić przed dniem złożenia wniosku i musi zostać zarejestrowane w Krajowym Rejestrze Sądowym (KRS) przed dniem podpisania umowy o dofinasowanie (środki muszą fizycznie wpłynąć na rachunek podmiotu dokapitalizowanego). Na etapie składania wniosku przedstawienie uchwały wspólników będzie wystarczające.</w:t>
      </w:r>
    </w:p>
    <w:p w14:paraId="2181F267" w14:textId="30EA37C7" w:rsidR="00B032D1" w:rsidRPr="00EE4AD6" w:rsidRDefault="00ED300F" w:rsidP="00EE4AD6">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CPPC weryfikuje dodatkowo podwyższeniu kapitału deklarowanego w oparciu o aktualny odpis KRS w momencie zawierania umowy o wsparcie.</w:t>
      </w:r>
    </w:p>
    <w:p w14:paraId="3A777F09" w14:textId="200BBE73" w:rsidR="005E33B5" w:rsidRPr="00EE4AD6" w:rsidRDefault="005E33B5" w:rsidP="00EE4AD6">
      <w:pPr>
        <w:pStyle w:val="Akapitzlist"/>
        <w:numPr>
          <w:ilvl w:val="0"/>
          <w:numId w:val="1"/>
        </w:numPr>
        <w:ind w:left="284"/>
        <w:contextualSpacing w:val="0"/>
        <w:rPr>
          <w:rFonts w:ascii="Calibri" w:hAnsi="Calibri" w:cs="Calibri"/>
          <w:b/>
          <w:bCs/>
          <w:szCs w:val="24"/>
        </w:rPr>
      </w:pPr>
      <w:r w:rsidRPr="00EE4AD6">
        <w:rPr>
          <w:rFonts w:ascii="Calibri" w:hAnsi="Calibri" w:cs="Calibri"/>
          <w:b/>
          <w:bCs/>
          <w:szCs w:val="24"/>
        </w:rPr>
        <w:t xml:space="preserve">Wnioskodawca działa jako samodzielny operator komunikacyjny (spółka akcyjna) i według niego kwalifikuje się do kategorii Małego Przedsiębiorstwa z uwagi na zatrudnianie poniżej 50 pracowników i roczny obrót nie przekraczający 10 mln euro. Jednocześnie jego akcjonariuszem większościowym jest posiadająca 89 % akcji spółka XYZ S.A. W związku z powyższym zwrócił się do nas z prośbą o odpowiedz na następujące pytania: </w:t>
      </w:r>
    </w:p>
    <w:p w14:paraId="15516087" w14:textId="5F12CA9D" w:rsidR="005E33B5" w:rsidRPr="00EE4AD6" w:rsidRDefault="005E33B5" w:rsidP="00EE4AD6">
      <w:pPr>
        <w:pStyle w:val="Akapitzlist"/>
        <w:numPr>
          <w:ilvl w:val="1"/>
          <w:numId w:val="1"/>
        </w:numPr>
        <w:ind w:left="284"/>
        <w:rPr>
          <w:rFonts w:ascii="Calibri" w:hAnsi="Calibri" w:cs="Calibri"/>
          <w:b/>
          <w:bCs/>
          <w:szCs w:val="24"/>
        </w:rPr>
      </w:pPr>
      <w:r w:rsidRPr="00EE4AD6">
        <w:rPr>
          <w:rFonts w:ascii="Calibri" w:hAnsi="Calibri" w:cs="Calibri"/>
          <w:b/>
          <w:bCs/>
          <w:szCs w:val="24"/>
        </w:rPr>
        <w:t>Czy w zakładce B załącznika 2 powinien podać dane finansowe ze sprawozdań tylko wnioskodawcy czy też podać sumaryczne dane dotyczące wnioskodawcy oraz akcjonariusza spółki XYZ S.A. jako przedsiębiorstw powiązanych?</w:t>
      </w:r>
    </w:p>
    <w:p w14:paraId="6DF0CFDD" w14:textId="6EF3D0E2" w:rsidR="005E33B5" w:rsidRPr="00EE4AD6" w:rsidRDefault="005E33B5" w:rsidP="00EE4AD6">
      <w:pPr>
        <w:pStyle w:val="Akapitzlist"/>
        <w:numPr>
          <w:ilvl w:val="1"/>
          <w:numId w:val="1"/>
        </w:numPr>
        <w:ind w:left="284"/>
        <w:rPr>
          <w:rFonts w:ascii="Calibri" w:hAnsi="Calibri" w:cs="Calibri"/>
          <w:b/>
          <w:bCs/>
          <w:szCs w:val="24"/>
        </w:rPr>
      </w:pPr>
      <w:r w:rsidRPr="00EE4AD6">
        <w:rPr>
          <w:rFonts w:ascii="Calibri" w:hAnsi="Calibri" w:cs="Calibri"/>
          <w:b/>
          <w:bCs/>
          <w:szCs w:val="24"/>
        </w:rPr>
        <w:t>Czy powinien wypełnić OŚWIADCZENIE O SPEŁNIANIU KRYTERIÓW MŚP? (według wnioskodawcy konsekwentnie do kryteriów z Rozporządzenia 614/2014 pozycjonuje się on w kategorii dużego przedsiębiorstwa i nie powinien składać tego oświadczenia?).</w:t>
      </w:r>
    </w:p>
    <w:p w14:paraId="31F7BD78" w14:textId="1AA164DE" w:rsidR="004E2B12" w:rsidRPr="00EE4AD6" w:rsidRDefault="005E33B5" w:rsidP="00EE4AD6">
      <w:pPr>
        <w:pStyle w:val="Akapitzlist"/>
        <w:numPr>
          <w:ilvl w:val="1"/>
          <w:numId w:val="1"/>
        </w:numPr>
        <w:ind w:left="284"/>
        <w:rPr>
          <w:rFonts w:ascii="Calibri" w:hAnsi="Calibri" w:cs="Calibri"/>
          <w:b/>
          <w:bCs/>
          <w:szCs w:val="24"/>
        </w:rPr>
      </w:pPr>
      <w:r w:rsidRPr="00EE4AD6">
        <w:rPr>
          <w:rFonts w:ascii="Calibri" w:hAnsi="Calibri" w:cs="Calibri"/>
          <w:b/>
          <w:bCs/>
          <w:szCs w:val="24"/>
        </w:rPr>
        <w:lastRenderedPageBreak/>
        <w:t>Czy załącznik nr 8 powinien zawierać dane tylko wnioskodawcy czy należy podać sumaryczne dane dotyczące wnioskodawcy i spółki XYZ S.A. jako przedsiębiorstw powiązanych?</w:t>
      </w:r>
    </w:p>
    <w:p w14:paraId="5265BF81" w14:textId="77777777" w:rsidR="00B50B0C" w:rsidRPr="00EE4AD6" w:rsidRDefault="00B50B0C" w:rsidP="00EE4AD6">
      <w:pPr>
        <w:ind w:left="284"/>
        <w:contextualSpacing/>
        <w:rPr>
          <w:rFonts w:ascii="Calibri" w:hAnsi="Calibri" w:cs="Calibri"/>
          <w:szCs w:val="24"/>
        </w:rPr>
      </w:pPr>
      <w:r w:rsidRPr="00EE4AD6">
        <w:rPr>
          <w:rFonts w:ascii="Calibri" w:hAnsi="Calibri" w:cs="Calibri"/>
          <w:szCs w:val="24"/>
        </w:rPr>
        <w:t xml:space="preserve">Ad. 1 </w:t>
      </w:r>
    </w:p>
    <w:p w14:paraId="24709FF1" w14:textId="77777777" w:rsidR="00B50B0C" w:rsidRPr="00EE4AD6" w:rsidRDefault="00B50B0C" w:rsidP="00EE4AD6">
      <w:pPr>
        <w:ind w:left="284"/>
        <w:contextualSpacing/>
        <w:rPr>
          <w:rFonts w:ascii="Calibri" w:hAnsi="Calibri" w:cs="Calibri"/>
          <w:szCs w:val="24"/>
        </w:rPr>
      </w:pPr>
      <w:r w:rsidRPr="00EE4AD6">
        <w:rPr>
          <w:rFonts w:ascii="Calibri" w:hAnsi="Calibri" w:cs="Calibri"/>
          <w:szCs w:val="24"/>
        </w:rPr>
        <w:t>W załączniku nr 2 powinny być podane dane finansowe tylko Wnioskodawcy.</w:t>
      </w:r>
    </w:p>
    <w:p w14:paraId="0FB49F7E" w14:textId="77777777" w:rsidR="00B50B0C" w:rsidRPr="00EE4AD6" w:rsidRDefault="00B50B0C" w:rsidP="00EE4AD6">
      <w:pPr>
        <w:ind w:left="284"/>
        <w:contextualSpacing/>
        <w:rPr>
          <w:rFonts w:ascii="Calibri" w:hAnsi="Calibri" w:cs="Calibri"/>
          <w:szCs w:val="24"/>
        </w:rPr>
      </w:pPr>
      <w:r w:rsidRPr="00EE4AD6">
        <w:rPr>
          <w:rFonts w:ascii="Calibri" w:hAnsi="Calibri" w:cs="Calibri"/>
          <w:szCs w:val="24"/>
        </w:rPr>
        <w:t>Ad. 2</w:t>
      </w:r>
    </w:p>
    <w:p w14:paraId="1F576E6E" w14:textId="29F3D472" w:rsidR="00B50B0C" w:rsidRPr="00EE4AD6" w:rsidRDefault="00B50B0C" w:rsidP="00EE4AD6">
      <w:pPr>
        <w:ind w:left="284"/>
        <w:contextualSpacing/>
        <w:rPr>
          <w:rFonts w:ascii="Calibri" w:hAnsi="Calibri" w:cs="Calibri"/>
          <w:szCs w:val="24"/>
        </w:rPr>
      </w:pPr>
      <w:r w:rsidRPr="00EE4AD6">
        <w:rPr>
          <w:rFonts w:ascii="Calibri" w:hAnsi="Calibri" w:cs="Calibri"/>
          <w:szCs w:val="24"/>
        </w:rPr>
        <w:t>Oświadczenie Wnioskodawcy o spełnianiu kryteriów MŚP należy dołączyć do Wniosku o dofinansowanie tylko w przypadku, kiedy Wnioskodawca jest MŚP. Jeżeli Wnioskodawca jest dużym przedsiębiorstwem nie załącza Załącznika nr 3 - Oświadczenia Wnioskodawcy o spełnianiu kryteriów MŚP do wniosku.</w:t>
      </w:r>
    </w:p>
    <w:p w14:paraId="78343AA3" w14:textId="77777777" w:rsidR="00B50B0C" w:rsidRPr="00EE4AD6" w:rsidRDefault="00B50B0C" w:rsidP="00EE4AD6">
      <w:pPr>
        <w:ind w:left="284"/>
        <w:contextualSpacing/>
        <w:rPr>
          <w:rFonts w:ascii="Calibri" w:hAnsi="Calibri" w:cs="Calibri"/>
          <w:szCs w:val="24"/>
        </w:rPr>
      </w:pPr>
      <w:r w:rsidRPr="00EE4AD6">
        <w:rPr>
          <w:rFonts w:ascii="Calibri" w:hAnsi="Calibri" w:cs="Calibri"/>
          <w:szCs w:val="24"/>
        </w:rPr>
        <w:t>Zwracamy uwagę, że pozostawanie w układzie przedsiębiorstw partnerskich lub powiązanych wpływa na sposób ustalenia poziomu zatrudnienia oraz pułapów finansowych, od których uzależnia się posiadanie bądź utratę statusu MŚP. Proszę zapoznać się z Oświadczeniem Wnioskodawcy o spełnianiu kryteriów MŚP. W przypisach szczegółowo opisano zasady ustalania wielkości przedsiębiorstwa.</w:t>
      </w:r>
    </w:p>
    <w:p w14:paraId="06BA86C4" w14:textId="77777777" w:rsidR="00B50B0C" w:rsidRPr="00EE4AD6" w:rsidRDefault="00B50B0C" w:rsidP="00EE4AD6">
      <w:pPr>
        <w:ind w:left="284"/>
        <w:contextualSpacing/>
        <w:rPr>
          <w:rFonts w:ascii="Calibri" w:hAnsi="Calibri" w:cs="Calibri"/>
          <w:szCs w:val="24"/>
        </w:rPr>
      </w:pPr>
      <w:r w:rsidRPr="00EE4AD6">
        <w:rPr>
          <w:rFonts w:ascii="Calibri" w:hAnsi="Calibri" w:cs="Calibri"/>
          <w:szCs w:val="24"/>
        </w:rPr>
        <w:t xml:space="preserve">Ad. 3 </w:t>
      </w:r>
    </w:p>
    <w:p w14:paraId="7986FAA2" w14:textId="3CD0B0F2" w:rsidR="00B50B0C" w:rsidRPr="00EE4AD6" w:rsidRDefault="00B50B0C" w:rsidP="00EE4AD6">
      <w:pPr>
        <w:ind w:left="284"/>
        <w:contextualSpacing/>
        <w:rPr>
          <w:rFonts w:ascii="Calibri" w:hAnsi="Calibri" w:cs="Calibri"/>
          <w:szCs w:val="24"/>
        </w:rPr>
      </w:pPr>
      <w:r w:rsidRPr="00EE4AD6">
        <w:rPr>
          <w:rFonts w:ascii="Calibri" w:hAnsi="Calibri" w:cs="Calibri"/>
          <w:szCs w:val="24"/>
        </w:rPr>
        <w:t>Załącznik nr 8 powinien zawierać tylko dane Wnioskodawcy.</w:t>
      </w:r>
    </w:p>
    <w:p w14:paraId="315EDA7B" w14:textId="5D03D653" w:rsidR="00DE6079" w:rsidRPr="00EE4AD6" w:rsidRDefault="00DE6079" w:rsidP="00EE4AD6">
      <w:pPr>
        <w:pStyle w:val="Akapitzlist"/>
        <w:numPr>
          <w:ilvl w:val="0"/>
          <w:numId w:val="1"/>
        </w:numPr>
        <w:ind w:left="284"/>
        <w:rPr>
          <w:rFonts w:ascii="Calibri" w:hAnsi="Calibri" w:cs="Calibri"/>
          <w:b/>
          <w:bCs/>
          <w:szCs w:val="24"/>
        </w:rPr>
      </w:pPr>
      <w:r w:rsidRPr="00EE4AD6">
        <w:rPr>
          <w:rFonts w:ascii="Calibri" w:hAnsi="Calibri" w:cs="Calibri"/>
          <w:b/>
          <w:bCs/>
          <w:szCs w:val="24"/>
        </w:rPr>
        <w:t>W przypadku zasobów finansowych na koncie – również muszą to być zasoby na cały projekt (wszystkie projekty) brutto? Czy np. można uwzględnić zwroty cykliczne zwroty z VAT z US? W szczególności rozszerzając jeszcze zakres tego pytania o to, czy jeśli Spółka będzie próbowała wykazać wykonalność finansową przez posiadanie na swoim koncie bankowym zasobów finansowych (gotówki) – to czy musi wykazać zasoby:</w:t>
      </w:r>
    </w:p>
    <w:p w14:paraId="1EF07E45" w14:textId="77777777" w:rsidR="00DE6079" w:rsidRPr="00EE4AD6" w:rsidRDefault="00DE6079" w:rsidP="00EE4AD6">
      <w:pPr>
        <w:pStyle w:val="Akapitzlist"/>
        <w:ind w:left="284"/>
        <w:rPr>
          <w:rFonts w:ascii="Calibri" w:hAnsi="Calibri" w:cs="Calibri"/>
          <w:b/>
          <w:bCs/>
          <w:szCs w:val="24"/>
        </w:rPr>
      </w:pPr>
      <w:r w:rsidRPr="00EE4AD6">
        <w:rPr>
          <w:rFonts w:ascii="Calibri" w:hAnsi="Calibri" w:cs="Calibri"/>
          <w:b/>
          <w:bCs/>
          <w:szCs w:val="24"/>
        </w:rPr>
        <w:t>1)</w:t>
      </w:r>
      <w:r w:rsidRPr="00EE4AD6">
        <w:rPr>
          <w:rFonts w:ascii="Calibri" w:hAnsi="Calibri" w:cs="Calibri"/>
          <w:b/>
          <w:bCs/>
          <w:szCs w:val="24"/>
        </w:rPr>
        <w:tab/>
        <w:t xml:space="preserve">na pełną wartość brutto projektu? </w:t>
      </w:r>
    </w:p>
    <w:p w14:paraId="0B28F1E4" w14:textId="77777777" w:rsidR="00DE6079" w:rsidRPr="00EE4AD6" w:rsidRDefault="00DE6079" w:rsidP="00EE4AD6">
      <w:pPr>
        <w:pStyle w:val="Akapitzlist"/>
        <w:ind w:left="284"/>
        <w:rPr>
          <w:rFonts w:ascii="Calibri" w:hAnsi="Calibri" w:cs="Calibri"/>
          <w:b/>
          <w:bCs/>
          <w:szCs w:val="24"/>
        </w:rPr>
      </w:pPr>
      <w:r w:rsidRPr="00EE4AD6">
        <w:rPr>
          <w:rFonts w:ascii="Calibri" w:hAnsi="Calibri" w:cs="Calibri"/>
          <w:b/>
          <w:bCs/>
          <w:szCs w:val="24"/>
        </w:rPr>
        <w:t>2)</w:t>
      </w:r>
      <w:r w:rsidRPr="00EE4AD6">
        <w:rPr>
          <w:rFonts w:ascii="Calibri" w:hAnsi="Calibri" w:cs="Calibri"/>
          <w:b/>
          <w:bCs/>
          <w:szCs w:val="24"/>
        </w:rPr>
        <w:tab/>
        <w:t xml:space="preserve">na wkład własny i cały VAT? </w:t>
      </w:r>
    </w:p>
    <w:p w14:paraId="0EA2ADA2" w14:textId="3CD45C9E" w:rsidR="00AD7463" w:rsidRPr="00EE4AD6" w:rsidRDefault="00DE6079" w:rsidP="00EE4AD6">
      <w:pPr>
        <w:pStyle w:val="Akapitzlist"/>
        <w:ind w:left="284"/>
        <w:contextualSpacing w:val="0"/>
        <w:rPr>
          <w:rFonts w:ascii="Calibri" w:hAnsi="Calibri" w:cs="Calibri"/>
          <w:b/>
          <w:bCs/>
          <w:szCs w:val="24"/>
        </w:rPr>
      </w:pPr>
      <w:r w:rsidRPr="00EE4AD6">
        <w:rPr>
          <w:rFonts w:ascii="Calibri" w:hAnsi="Calibri" w:cs="Calibri"/>
          <w:b/>
          <w:bCs/>
          <w:szCs w:val="24"/>
        </w:rPr>
        <w:t>3)</w:t>
      </w:r>
      <w:r w:rsidRPr="00EE4AD6">
        <w:rPr>
          <w:rFonts w:ascii="Calibri" w:hAnsi="Calibri" w:cs="Calibri"/>
          <w:b/>
          <w:bCs/>
          <w:szCs w:val="24"/>
        </w:rPr>
        <w:tab/>
        <w:t>na wkład własny i część VAT np. w okresie kwartalnym uwzględniając jego zwroty z US?</w:t>
      </w:r>
    </w:p>
    <w:p w14:paraId="19A2B3F1" w14:textId="77777777" w:rsidR="00066D66" w:rsidRPr="00EE4AD6" w:rsidRDefault="00066D66" w:rsidP="00EE4AD6">
      <w:pPr>
        <w:pStyle w:val="Akapitzlist"/>
        <w:ind w:left="284"/>
        <w:contextualSpacing w:val="0"/>
        <w:rPr>
          <w:rFonts w:ascii="Calibri" w:hAnsi="Calibri" w:cs="Calibri"/>
          <w:szCs w:val="24"/>
        </w:rPr>
      </w:pPr>
      <w:r w:rsidRPr="00EE4AD6">
        <w:rPr>
          <w:rFonts w:ascii="Calibri" w:hAnsi="Calibri" w:cs="Calibri"/>
          <w:szCs w:val="24"/>
        </w:rPr>
        <w:lastRenderedPageBreak/>
        <w:t>W przypadku wykazywania posiadania na swoim koncie zasobów finansowych (gotówki) to zasoby finansowe muszą zapewnić finansowanie brutto projektu.</w:t>
      </w:r>
    </w:p>
    <w:p w14:paraId="59E79671" w14:textId="11DDF0C2" w:rsidR="00DE6079" w:rsidRPr="00EE4AD6" w:rsidRDefault="00066D66" w:rsidP="00EE4AD6">
      <w:pPr>
        <w:pStyle w:val="Akapitzlist"/>
        <w:ind w:left="284"/>
        <w:rPr>
          <w:rFonts w:ascii="Calibri" w:hAnsi="Calibri" w:cs="Calibri"/>
          <w:szCs w:val="24"/>
        </w:rPr>
      </w:pPr>
      <w:r w:rsidRPr="00EE4AD6">
        <w:rPr>
          <w:rFonts w:ascii="Calibri" w:hAnsi="Calibri" w:cs="Calibri"/>
          <w:szCs w:val="24"/>
        </w:rPr>
        <w:t>Zwrot cykliczny VAT nie jest gwarantowany, może zostać zatrzymany. Zasoby finansowe muszą zapewnić finansowanie brutto.</w:t>
      </w:r>
    </w:p>
    <w:p w14:paraId="4A16DD5E" w14:textId="77777777" w:rsidR="00DF4EDF" w:rsidRPr="00EE4AD6" w:rsidRDefault="00DF4EDF" w:rsidP="00EE4AD6">
      <w:pPr>
        <w:pStyle w:val="Akapitzlist"/>
        <w:ind w:left="284"/>
        <w:rPr>
          <w:rFonts w:ascii="Calibri" w:hAnsi="Calibri" w:cs="Calibri"/>
          <w:szCs w:val="24"/>
        </w:rPr>
      </w:pPr>
    </w:p>
    <w:p w14:paraId="5C5BE96A" w14:textId="4FBE5CA5" w:rsidR="009D3EC0" w:rsidRPr="00EE4AD6" w:rsidRDefault="009D3EC0" w:rsidP="00EE4AD6">
      <w:pPr>
        <w:pStyle w:val="Akapitzlist"/>
        <w:numPr>
          <w:ilvl w:val="0"/>
          <w:numId w:val="1"/>
        </w:numPr>
        <w:ind w:left="284"/>
        <w:rPr>
          <w:rFonts w:ascii="Calibri" w:hAnsi="Calibri" w:cs="Calibri"/>
          <w:b/>
          <w:bCs/>
          <w:szCs w:val="24"/>
        </w:rPr>
      </w:pPr>
      <w:r w:rsidRPr="00EE4AD6">
        <w:rPr>
          <w:rFonts w:ascii="Calibri" w:hAnsi="Calibri" w:cs="Calibri"/>
          <w:b/>
          <w:bCs/>
          <w:szCs w:val="24"/>
        </w:rPr>
        <w:t>Proszę o wyjaśnienie (korektę/umożliwienie modyfikacji formuł w arkuszu) w zakresie zauważonej nieprawidłowości podczas wypełniania Załącznika nr 8 – Załącznika finansowego. Arkusz kalkulacyjny „Scenariusz bazowy RPP” zawiera błędy we wprowadzonych formułach:</w:t>
      </w:r>
    </w:p>
    <w:p w14:paraId="4D167D72" w14:textId="77777777" w:rsidR="009D3EC0" w:rsidRPr="00EE4AD6" w:rsidRDefault="009D3EC0" w:rsidP="00EE4AD6">
      <w:pPr>
        <w:pStyle w:val="Akapitzlist"/>
        <w:ind w:left="284"/>
        <w:rPr>
          <w:rFonts w:ascii="Calibri" w:hAnsi="Calibri" w:cs="Calibri"/>
          <w:b/>
          <w:bCs/>
          <w:szCs w:val="24"/>
        </w:rPr>
      </w:pPr>
      <w:r w:rsidRPr="00EE4AD6">
        <w:rPr>
          <w:rFonts w:ascii="Calibri" w:hAnsi="Calibri" w:cs="Calibri"/>
          <w:b/>
          <w:bCs/>
          <w:szCs w:val="24"/>
        </w:rPr>
        <w:t>•</w:t>
      </w:r>
      <w:r w:rsidRPr="00EE4AD6">
        <w:rPr>
          <w:rFonts w:ascii="Calibri" w:hAnsi="Calibri" w:cs="Calibri"/>
          <w:b/>
          <w:bCs/>
          <w:szCs w:val="24"/>
        </w:rPr>
        <w:tab/>
        <w:t>Pozycja D30 Arkusza dot. DOTACJI w części WPŁYWY w części C.PRZEPŁYWY ŚRODKÓW PIENIĘZNYCH Z DZIAŁALNOŚCI FINANSOWEJ przywołuje „Scenariusz bazowy Bilans i RZiS !D63”. Jest to błędna informacja w sprawozdaniu Rachunek Przepływów Pieniężnach, ponieważ nie przedstawia wpływów z tyt. Dotacji a przywołuje prezentowane przez Asta-Net SA w sprawozdaniu RZiS odpisy z tyt. Dotacji. Wartość ta, zgodnie ze sporządzonym przez Spółkę sprawozdaniem znajduje się w pozycji „Zmiana stanu rozliczeń międzyokresowych” w części A. PRZEPŁYWY ŚRODKÓW PIENIĘZNYCH Z DZIAŁALNOŚCI OPERACYJNEJ” Rachunku Przepływów Pieniężnach.</w:t>
      </w:r>
    </w:p>
    <w:p w14:paraId="72D75481" w14:textId="77777777" w:rsidR="009D3EC0" w:rsidRPr="00EE4AD6" w:rsidRDefault="009D3EC0" w:rsidP="00EE4AD6">
      <w:pPr>
        <w:ind w:left="284"/>
        <w:rPr>
          <w:rFonts w:ascii="Calibri" w:hAnsi="Calibri" w:cs="Calibri"/>
          <w:b/>
          <w:bCs/>
          <w:szCs w:val="24"/>
        </w:rPr>
      </w:pPr>
      <w:r w:rsidRPr="00EE4AD6">
        <w:rPr>
          <w:rFonts w:ascii="Calibri" w:hAnsi="Calibri" w:cs="Calibri"/>
          <w:b/>
          <w:bCs/>
          <w:szCs w:val="24"/>
        </w:rPr>
        <w:t>•</w:t>
      </w:r>
      <w:r w:rsidRPr="00EE4AD6">
        <w:rPr>
          <w:rFonts w:ascii="Calibri" w:hAnsi="Calibri" w:cs="Calibri"/>
          <w:b/>
          <w:bCs/>
          <w:szCs w:val="24"/>
        </w:rPr>
        <w:tab/>
        <w:t>Pozycja D41 Arkusza w części G. ŚRODKI PIENIĘŻNE NA KONIEC OKRESU (F+/-D) przywołuje błędną formułę „D40+D38+D39”. Prawidłowe sprawozdanie z Rachunku Przepływów Pieniężnych przywołuje w tej pozycji wartość „ŚRODKI PIENIĘŻNE W KASIE I NA RACHUNKACH” ujęte w sprawozdaniu Bilans w części B.AKTYWA OBROTOWE / III. INWESTYCJE KRÓTKOTERMINOWE / 1. KRÓTKOTERMINOWE AKTYWA FINANSOWE / c). ŚRODKI PIENIĘŻNE I INNE AKTYWA PIENIĘŻNE.</w:t>
      </w:r>
    </w:p>
    <w:p w14:paraId="6688F170" w14:textId="49D1CDC0" w:rsidR="00DF4EDF" w:rsidRPr="00EE4AD6" w:rsidRDefault="009D3EC0" w:rsidP="00EE4AD6">
      <w:pPr>
        <w:ind w:left="284"/>
        <w:rPr>
          <w:rFonts w:ascii="Calibri" w:hAnsi="Calibri" w:cs="Calibri"/>
          <w:b/>
          <w:bCs/>
          <w:szCs w:val="24"/>
        </w:rPr>
      </w:pPr>
      <w:r w:rsidRPr="00EE4AD6">
        <w:rPr>
          <w:rFonts w:ascii="Calibri" w:hAnsi="Calibri" w:cs="Calibri"/>
          <w:b/>
          <w:bCs/>
          <w:szCs w:val="24"/>
        </w:rPr>
        <w:t>Wprowadzenie powyższych formuł w przygotowanym arkuszu kalkulacyjnym „Scenariusz bazowy RPP” powoduje błędy i nie pozwala sporządzić prawidłowego sprawozdania.</w:t>
      </w:r>
    </w:p>
    <w:p w14:paraId="043E1335" w14:textId="471193C0" w:rsidR="00EE4AD6" w:rsidRPr="00EE4AD6" w:rsidRDefault="00F24D69" w:rsidP="00EE4AD6">
      <w:pPr>
        <w:ind w:left="284"/>
        <w:rPr>
          <w:rFonts w:ascii="Calibri" w:hAnsi="Calibri" w:cs="Calibri"/>
          <w:szCs w:val="24"/>
        </w:rPr>
      </w:pPr>
      <w:r w:rsidRPr="00EE4AD6">
        <w:rPr>
          <w:rFonts w:ascii="Calibri" w:hAnsi="Calibri" w:cs="Calibri"/>
          <w:szCs w:val="24"/>
        </w:rPr>
        <w:lastRenderedPageBreak/>
        <w:t>Ad 1</w:t>
      </w:r>
      <w:r w:rsidR="00EE4AD6" w:rsidRPr="00EE4AD6">
        <w:rPr>
          <w:rFonts w:ascii="Calibri" w:hAnsi="Calibri" w:cs="Calibri"/>
          <w:szCs w:val="24"/>
        </w:rPr>
        <w:t xml:space="preserve"> </w:t>
      </w:r>
      <w:r w:rsidRPr="00EE4AD6">
        <w:rPr>
          <w:rFonts w:ascii="Calibri" w:hAnsi="Calibri" w:cs="Calibri"/>
          <w:szCs w:val="24"/>
        </w:rPr>
        <w:t>W przypadku występowania różnić w ujęciu danych finansowych w arkuszach oceny w stosunku do specyfiki ewidencji księgowej Wnioskodawcy prosimy o uzupełnienie danej pozycji o pożądaną wartość (w polach podlegających modyfikacji) i uzasadnienie różnicy ze wskazaniem konkretnych pól, w których taka modyfikacja nastąpiła. Informacje taką proszę przedstawić w uzasadnieniu pod daną tabelą.</w:t>
      </w:r>
    </w:p>
    <w:p w14:paraId="56CEBB47" w14:textId="6F306132" w:rsidR="009D3EC0" w:rsidRPr="00EE4AD6" w:rsidRDefault="00F24D69" w:rsidP="00EE4AD6">
      <w:pPr>
        <w:ind w:left="284"/>
        <w:rPr>
          <w:rFonts w:ascii="Calibri" w:hAnsi="Calibri" w:cs="Calibri"/>
          <w:szCs w:val="24"/>
        </w:rPr>
      </w:pPr>
      <w:r w:rsidRPr="00EE4AD6">
        <w:rPr>
          <w:rFonts w:ascii="Calibri" w:hAnsi="Calibri" w:cs="Calibri"/>
          <w:szCs w:val="24"/>
        </w:rPr>
        <w:t xml:space="preserve"> Ad</w:t>
      </w:r>
      <w:r w:rsidR="00EE4AD6" w:rsidRPr="00EE4AD6">
        <w:rPr>
          <w:rFonts w:ascii="Calibri" w:hAnsi="Calibri" w:cs="Calibri"/>
          <w:szCs w:val="24"/>
        </w:rPr>
        <w:t xml:space="preserve"> 2 </w:t>
      </w:r>
      <w:r w:rsidRPr="00EE4AD6">
        <w:rPr>
          <w:rFonts w:ascii="Calibri" w:hAnsi="Calibri" w:cs="Calibri"/>
          <w:szCs w:val="24"/>
        </w:rPr>
        <w:t>Formuła jest poprawna: Wiersz G wykazuje środki pieniężne na koniec okresu łącząc środki pieniężne na początku okresu, bilansową zmianę stanu środków i przepływy pieniężne.</w:t>
      </w:r>
    </w:p>
    <w:p w14:paraId="260E7DFE" w14:textId="77777777" w:rsidR="009C2EC3" w:rsidRPr="00EE4AD6" w:rsidRDefault="009C2EC3" w:rsidP="00EE4AD6">
      <w:pPr>
        <w:pStyle w:val="Akapitzlist"/>
        <w:numPr>
          <w:ilvl w:val="0"/>
          <w:numId w:val="1"/>
        </w:numPr>
        <w:ind w:left="284"/>
        <w:rPr>
          <w:rFonts w:ascii="Calibri" w:hAnsi="Calibri" w:cs="Calibri"/>
          <w:szCs w:val="24"/>
        </w:rPr>
      </w:pPr>
      <w:r w:rsidRPr="00EE4AD6">
        <w:rPr>
          <w:rFonts w:ascii="Calibri" w:hAnsi="Calibri" w:cs="Calibri"/>
          <w:b/>
          <w:bCs/>
          <w:szCs w:val="24"/>
        </w:rPr>
        <w:t>Arkusz „Narzędzie oceny kryterium” zawiera w wierszu 10 błędną formułę, której nie możemy skorygować z uwagi na brak możliwości edycji wpisanych przez Państwa formuł. Błąd polega na tym, że zamiast sumy zysków dla Scenariusza bazowego i Ocenianego projektu w wierszu 10 (począwszy od kolumny F) formuła wstawia jedynie zysk dla Ocenianego projektu. Z uwagi na fakt, że arkuszu „Narzędzie oceny kryterium” nie ma pól, w których można wprowadzić korekty, wpiszemy brakujące wartości zysków dla Scenariusza bazowego do arkusza Oceniany projekt RPP.  W tym celu wpiszemy dane (zyski dla Scenariusza bazowego) w wierszu 33 Inne korekty, począwszy od kolumny F.  Bardzo prosimy o potwierdzenie poprawności takiego działania.</w:t>
      </w:r>
    </w:p>
    <w:p w14:paraId="15044807" w14:textId="15331BBC" w:rsidR="009C2EC3" w:rsidRPr="00EE4AD6" w:rsidRDefault="009C2EC3" w:rsidP="00322BB7">
      <w:pPr>
        <w:ind w:left="284"/>
        <w:rPr>
          <w:rFonts w:ascii="Calibri" w:hAnsi="Calibri" w:cs="Calibri"/>
          <w:szCs w:val="24"/>
        </w:rPr>
      </w:pPr>
      <w:r w:rsidRPr="00EE4AD6">
        <w:rPr>
          <w:rFonts w:ascii="Calibri" w:hAnsi="Calibri" w:cs="Calibri"/>
          <w:szCs w:val="24"/>
        </w:rPr>
        <w:t>Potwierdzamy, że zaproponowany sposób jest poprawny.</w:t>
      </w:r>
    </w:p>
    <w:p w14:paraId="1C29CA6F" w14:textId="71B0FEA9" w:rsidR="00C7352D" w:rsidRPr="00EE4AD6" w:rsidRDefault="00C7352D" w:rsidP="00EE4AD6">
      <w:pPr>
        <w:pStyle w:val="Akapitzlist"/>
        <w:numPr>
          <w:ilvl w:val="0"/>
          <w:numId w:val="1"/>
        </w:numPr>
        <w:ind w:left="284"/>
        <w:rPr>
          <w:rFonts w:ascii="Calibri" w:hAnsi="Calibri" w:cs="Calibri"/>
          <w:b/>
          <w:bCs/>
          <w:szCs w:val="24"/>
        </w:rPr>
      </w:pPr>
      <w:r w:rsidRPr="00EE4AD6">
        <w:rPr>
          <w:rFonts w:ascii="Calibri" w:hAnsi="Calibri" w:cs="Calibri"/>
          <w:b/>
          <w:bCs/>
          <w:szCs w:val="24"/>
        </w:rPr>
        <w:t xml:space="preserve">W zakładce scenariusz bazowy RPP - wiersz 30 - zablokowany, pn </w:t>
      </w:r>
      <w:r w:rsidR="00A65999" w:rsidRPr="00EE4AD6">
        <w:rPr>
          <w:rFonts w:ascii="Calibri" w:hAnsi="Calibri" w:cs="Calibri"/>
          <w:b/>
          <w:bCs/>
          <w:szCs w:val="24"/>
        </w:rPr>
        <w:t>dotacje:</w:t>
      </w:r>
      <w:r w:rsidRPr="00EE4AD6">
        <w:rPr>
          <w:rFonts w:ascii="Calibri" w:hAnsi="Calibri" w:cs="Calibri"/>
          <w:b/>
          <w:bCs/>
          <w:szCs w:val="24"/>
        </w:rPr>
        <w:t xml:space="preserve"> </w:t>
      </w:r>
    </w:p>
    <w:p w14:paraId="4EE2675A" w14:textId="3ED2237B" w:rsidR="00A5447F" w:rsidRDefault="00C7352D" w:rsidP="00EE4AD6">
      <w:pPr>
        <w:pStyle w:val="Akapitzlist"/>
        <w:ind w:left="284"/>
        <w:rPr>
          <w:rFonts w:ascii="Calibri" w:hAnsi="Calibri" w:cs="Calibri"/>
          <w:b/>
          <w:bCs/>
          <w:szCs w:val="24"/>
        </w:rPr>
      </w:pPr>
      <w:r w:rsidRPr="00EE4AD6">
        <w:rPr>
          <w:rFonts w:ascii="Calibri" w:hAnsi="Calibri" w:cs="Calibri"/>
          <w:b/>
          <w:bCs/>
          <w:szCs w:val="24"/>
        </w:rPr>
        <w:t xml:space="preserve">powinien odzwierciedlać planowany wpływ dotacji a nie jej rozliczenie w czasie prezentowane w RZIS. Błędy te powodują złą ocenę RPP scenariusza bazowego jak i ocenę końcową. Mając na uwadze, że ww. błąd nie jest jedynym w modelu </w:t>
      </w:r>
      <w:r w:rsidR="00A65999" w:rsidRPr="00EE4AD6">
        <w:rPr>
          <w:rFonts w:ascii="Calibri" w:hAnsi="Calibri" w:cs="Calibri"/>
          <w:b/>
          <w:bCs/>
          <w:szCs w:val="24"/>
        </w:rPr>
        <w:t>(w</w:t>
      </w:r>
      <w:r w:rsidRPr="00EE4AD6">
        <w:rPr>
          <w:rFonts w:ascii="Calibri" w:hAnsi="Calibri" w:cs="Calibri"/>
          <w:b/>
          <w:bCs/>
          <w:szCs w:val="24"/>
        </w:rPr>
        <w:t xml:space="preserve"> zakładkach dot. Rachunków przepływów </w:t>
      </w:r>
      <w:r w:rsidR="00A65999" w:rsidRPr="00EE4AD6">
        <w:rPr>
          <w:rFonts w:ascii="Calibri" w:hAnsi="Calibri" w:cs="Calibri"/>
          <w:b/>
          <w:bCs/>
          <w:szCs w:val="24"/>
        </w:rPr>
        <w:t>pieniężnych)</w:t>
      </w:r>
      <w:r w:rsidRPr="00EE4AD6">
        <w:rPr>
          <w:rFonts w:ascii="Calibri" w:hAnsi="Calibri" w:cs="Calibri"/>
          <w:b/>
          <w:bCs/>
          <w:szCs w:val="24"/>
        </w:rPr>
        <w:t xml:space="preserve"> sugeruję by odblokować komórki w tych arkuszach - poza wierszami sumującymi).</w:t>
      </w:r>
    </w:p>
    <w:p w14:paraId="45C74ABB" w14:textId="77777777" w:rsidR="00322BB7" w:rsidRPr="00EE4AD6" w:rsidRDefault="00322BB7" w:rsidP="00EE4AD6">
      <w:pPr>
        <w:pStyle w:val="Akapitzlist"/>
        <w:ind w:left="284"/>
        <w:rPr>
          <w:rFonts w:ascii="Calibri" w:hAnsi="Calibri" w:cs="Calibri"/>
          <w:b/>
          <w:bCs/>
          <w:szCs w:val="24"/>
        </w:rPr>
      </w:pPr>
    </w:p>
    <w:p w14:paraId="2A0260DD" w14:textId="04F6160C" w:rsidR="00E06D42" w:rsidRPr="00EE4AD6" w:rsidRDefault="00E06D42" w:rsidP="00EE4AD6">
      <w:pPr>
        <w:pStyle w:val="Akapitzlist"/>
        <w:ind w:left="284"/>
        <w:rPr>
          <w:rFonts w:ascii="Calibri" w:hAnsi="Calibri" w:cs="Calibri"/>
          <w:szCs w:val="24"/>
        </w:rPr>
      </w:pPr>
      <w:r w:rsidRPr="00EE4AD6">
        <w:rPr>
          <w:rFonts w:ascii="Calibri" w:hAnsi="Calibri" w:cs="Calibri"/>
          <w:szCs w:val="24"/>
        </w:rPr>
        <w:lastRenderedPageBreak/>
        <w:t>W przypadku występowania różnić w ujęciu danych finansowych w arkuszach oceny w stosunku do specyfiki ewidencji księgowej Wnioskodawcy prosimy o uzupełnienie danej pozycji o pożądaną wartość (w polach podlegających modyfikacji) i uzasadnienie różnicy ze wskazaniem konkretnych pól, w których taka modyfikacja nastąpiła. Informacje taką proszę przedstawić w uzasadnieniu pod daną tabelą.</w:t>
      </w:r>
    </w:p>
    <w:sectPr w:rsidR="00E06D42" w:rsidRPr="00EE4AD6" w:rsidSect="00F153DD">
      <w:headerReference w:type="even" r:id="rId9"/>
      <w:headerReference w:type="default" r:id="rId10"/>
      <w:footerReference w:type="even" r:id="rId11"/>
      <w:footerReference w:type="default" r:id="rId12"/>
      <w:headerReference w:type="first" r:id="rId13"/>
      <w:footerReference w:type="first" r:id="rId14"/>
      <w:pgSz w:w="11906" w:h="16838" w:code="9"/>
      <w:pgMar w:top="1553" w:right="1276" w:bottom="1320" w:left="1418" w:header="426" w:footer="6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E89D" w14:textId="77777777" w:rsidR="005454F6" w:rsidRDefault="005454F6">
      <w:r>
        <w:separator/>
      </w:r>
    </w:p>
    <w:p w14:paraId="726FB4A3" w14:textId="77777777" w:rsidR="005454F6" w:rsidRDefault="005454F6"/>
    <w:p w14:paraId="4271B6BE" w14:textId="77777777" w:rsidR="005454F6" w:rsidRDefault="005454F6"/>
    <w:p w14:paraId="1F7C75A9" w14:textId="77777777" w:rsidR="005454F6" w:rsidRDefault="005454F6" w:rsidP="00BD4645"/>
  </w:endnote>
  <w:endnote w:type="continuationSeparator" w:id="0">
    <w:p w14:paraId="0559CC66" w14:textId="77777777" w:rsidR="005454F6" w:rsidRDefault="005454F6">
      <w:r>
        <w:continuationSeparator/>
      </w:r>
    </w:p>
    <w:p w14:paraId="610324E4" w14:textId="77777777" w:rsidR="005454F6" w:rsidRDefault="005454F6"/>
    <w:p w14:paraId="50AB35BD" w14:textId="77777777" w:rsidR="005454F6" w:rsidRDefault="005454F6"/>
    <w:p w14:paraId="5339779D" w14:textId="77777777" w:rsidR="005454F6" w:rsidRDefault="005454F6" w:rsidP="00BD4645"/>
  </w:endnote>
  <w:endnote w:type="continuationNotice" w:id="1">
    <w:p w14:paraId="6D64DD9C" w14:textId="77777777" w:rsidR="005454F6" w:rsidRDefault="005454F6"/>
    <w:p w14:paraId="5196AA79" w14:textId="77777777" w:rsidR="005454F6" w:rsidRDefault="005454F6"/>
    <w:p w14:paraId="1C16C717" w14:textId="77777777" w:rsidR="005454F6" w:rsidRDefault="005454F6"/>
    <w:p w14:paraId="30E07CBF" w14:textId="77777777" w:rsidR="005454F6" w:rsidRDefault="005454F6" w:rsidP="00BD4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F92D" w14:textId="77777777" w:rsidR="00F153DD" w:rsidRDefault="00F153DD">
    <w:pPr>
      <w:pStyle w:val="Stopka"/>
    </w:pPr>
  </w:p>
  <w:p w14:paraId="2134FF67" w14:textId="77777777" w:rsidR="00E4395A" w:rsidRDefault="00E4395A"/>
  <w:p w14:paraId="78669CB8" w14:textId="77777777" w:rsidR="00E4395A" w:rsidRDefault="00E4395A" w:rsidP="00BD46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F044" w14:textId="14B879D0" w:rsidR="00E4395A" w:rsidRPr="00BD4645" w:rsidRDefault="00E11109" w:rsidP="00BD4645">
    <w:pPr>
      <w:pStyle w:val="Stopka"/>
      <w:jc w:val="center"/>
      <w:rPr>
        <w:rFonts w:cstheme="minorHAnsi"/>
      </w:rPr>
    </w:pPr>
    <w:r w:rsidRPr="005B0D49">
      <w:rPr>
        <w:rFonts w:cstheme="minorHAnsi"/>
      </w:rPr>
      <w:fldChar w:fldCharType="begin"/>
    </w:r>
    <w:r w:rsidRPr="005B0D49">
      <w:rPr>
        <w:rFonts w:cstheme="minorHAnsi"/>
      </w:rPr>
      <w:instrText>PAGE   \* MERGEFORMAT</w:instrText>
    </w:r>
    <w:r w:rsidRPr="005B0D49">
      <w:rPr>
        <w:rFonts w:cstheme="minorHAnsi"/>
      </w:rPr>
      <w:fldChar w:fldCharType="separate"/>
    </w:r>
    <w:r w:rsidRPr="005B0D49">
      <w:rPr>
        <w:rFonts w:cstheme="minorHAnsi"/>
        <w:noProof/>
      </w:rPr>
      <w:t>9</w:t>
    </w:r>
    <w:r w:rsidRPr="005B0D49">
      <w:rPr>
        <w:rFonts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4B6C" w14:textId="77777777" w:rsidR="00BD4645" w:rsidRDefault="00BD4645" w:rsidP="00BD4645">
    <w:pPr>
      <w:keepNext/>
      <w:tabs>
        <w:tab w:val="right" w:pos="9240"/>
      </w:tabs>
      <w:ind w:left="0"/>
      <w:contextualSpacing/>
      <w:outlineLvl w:val="0"/>
      <w:rPr>
        <w:rFonts w:ascii="Arial" w:hAnsi="Arial" w:cs="Arial"/>
        <w:sz w:val="14"/>
        <w:szCs w:val="14"/>
      </w:rPr>
    </w:pPr>
    <w:r w:rsidRPr="00BD4645">
      <w:rPr>
        <w:rFonts w:ascii="Arial" w:hAnsi="Arial" w:cs="Arial"/>
        <w:sz w:val="14"/>
        <w:szCs w:val="14"/>
      </w:rPr>
      <w:t>Centrum Projektów Polska Cyfrowa</w:t>
    </w:r>
  </w:p>
  <w:p w14:paraId="5728F327" w14:textId="3300EC0C" w:rsidR="00BD4645" w:rsidRPr="00BD4645" w:rsidRDefault="00BD4645" w:rsidP="00BD4645">
    <w:pPr>
      <w:keepNext/>
      <w:tabs>
        <w:tab w:val="right" w:pos="9240"/>
      </w:tabs>
      <w:ind w:left="0"/>
      <w:contextualSpacing/>
      <w:outlineLvl w:val="0"/>
      <w:rPr>
        <w:rFonts w:ascii="Arial" w:hAnsi="Arial" w:cs="Arial"/>
        <w:sz w:val="14"/>
        <w:szCs w:val="14"/>
      </w:rPr>
    </w:pPr>
    <w:r w:rsidRPr="00BD4645">
      <w:rPr>
        <w:rFonts w:ascii="Arial" w:hAnsi="Arial" w:cs="Arial"/>
        <w:sz w:val="14"/>
        <w:szCs w:val="14"/>
      </w:rPr>
      <w:t>ul. Spokojna 13A, 01-044 Warszawa</w:t>
    </w:r>
  </w:p>
  <w:p w14:paraId="590512C8" w14:textId="66963783" w:rsidR="00BD4645" w:rsidRDefault="00BD4645" w:rsidP="00BD4645">
    <w:pPr>
      <w:keepNext/>
      <w:tabs>
        <w:tab w:val="right" w:pos="9240"/>
      </w:tabs>
      <w:ind w:left="0"/>
      <w:contextualSpacing/>
      <w:outlineLvl w:val="0"/>
      <w:rPr>
        <w:rFonts w:ascii="Arial" w:hAnsi="Arial" w:cs="Arial"/>
        <w:sz w:val="14"/>
        <w:szCs w:val="14"/>
        <w:lang w:val="en-US"/>
      </w:rPr>
    </w:pPr>
    <w:r w:rsidRPr="00BD4645">
      <w:rPr>
        <w:rFonts w:ascii="Arial" w:hAnsi="Arial" w:cs="Arial"/>
        <w:sz w:val="14"/>
        <w:szCs w:val="14"/>
        <w:lang w:val="en-US"/>
      </w:rPr>
      <w:t>tel. 022 315 22 00, faks 022 315 22 02</w:t>
    </w:r>
  </w:p>
  <w:p w14:paraId="72AF9F2D" w14:textId="06EFA7B1" w:rsidR="00E11109" w:rsidRPr="00BD4645" w:rsidRDefault="00BD4645" w:rsidP="00BD4645">
    <w:pPr>
      <w:keepNext/>
      <w:tabs>
        <w:tab w:val="right" w:pos="9240"/>
      </w:tabs>
      <w:ind w:left="0"/>
      <w:contextualSpacing/>
      <w:outlineLvl w:val="0"/>
      <w:rPr>
        <w:rFonts w:ascii="Arial" w:hAnsi="Arial" w:cs="Arial"/>
        <w:sz w:val="14"/>
        <w:szCs w:val="14"/>
        <w:lang w:val="en-US"/>
      </w:rPr>
    </w:pPr>
    <w:r w:rsidRPr="00BD4645">
      <w:rPr>
        <w:rFonts w:ascii="Arial" w:hAnsi="Arial" w:cs="Arial"/>
        <w:sz w:val="14"/>
        <w:szCs w:val="14"/>
        <w:lang w:val="en-US"/>
      </w:rPr>
      <w:t>www.gov.pl/cpp</w:t>
    </w:r>
    <w:r>
      <w:rPr>
        <w:rFonts w:ascii="Arial" w:hAnsi="Arial" w:cs="Arial"/>
        <w:sz w:val="14"/>
        <w:szCs w:val="14"/>
        <w:lang w:val="en-US"/>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D2A5" w14:textId="77777777" w:rsidR="005454F6" w:rsidRDefault="005454F6">
      <w:r>
        <w:separator/>
      </w:r>
    </w:p>
    <w:p w14:paraId="5747D28A" w14:textId="77777777" w:rsidR="005454F6" w:rsidRDefault="005454F6"/>
    <w:p w14:paraId="7964E6B9" w14:textId="77777777" w:rsidR="005454F6" w:rsidRDefault="005454F6"/>
    <w:p w14:paraId="2EF44B4F" w14:textId="77777777" w:rsidR="005454F6" w:rsidRDefault="005454F6" w:rsidP="00BD4645"/>
  </w:footnote>
  <w:footnote w:type="continuationSeparator" w:id="0">
    <w:p w14:paraId="47008580" w14:textId="77777777" w:rsidR="005454F6" w:rsidRDefault="005454F6">
      <w:r>
        <w:continuationSeparator/>
      </w:r>
    </w:p>
    <w:p w14:paraId="7A0E5D3B" w14:textId="77777777" w:rsidR="005454F6" w:rsidRDefault="005454F6"/>
    <w:p w14:paraId="141BA98E" w14:textId="77777777" w:rsidR="005454F6" w:rsidRDefault="005454F6"/>
    <w:p w14:paraId="04446FA7" w14:textId="77777777" w:rsidR="005454F6" w:rsidRDefault="005454F6" w:rsidP="00BD4645"/>
  </w:footnote>
  <w:footnote w:type="continuationNotice" w:id="1">
    <w:p w14:paraId="3F95D2B2" w14:textId="77777777" w:rsidR="005454F6" w:rsidRDefault="005454F6"/>
    <w:p w14:paraId="71C0C616" w14:textId="77777777" w:rsidR="005454F6" w:rsidRDefault="005454F6"/>
    <w:p w14:paraId="0B7C2884" w14:textId="77777777" w:rsidR="005454F6" w:rsidRDefault="005454F6"/>
    <w:p w14:paraId="352B006F" w14:textId="77777777" w:rsidR="005454F6" w:rsidRDefault="005454F6" w:rsidP="00BD4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FD0A" w14:textId="77777777" w:rsidR="00E11109" w:rsidRDefault="002F6DE8">
    <w:pPr>
      <w:pStyle w:val="Nagwek"/>
    </w:pPr>
    <w:r>
      <w:rPr>
        <w:noProof/>
      </w:rPr>
      <w:pict w14:anchorId="23337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left:0;text-align:left;margin-left:0;margin-top:0;width:460.4pt;height:455.6pt;z-index:-251658240;mso-position-horizontal:center;mso-position-horizontal-relative:margin;mso-position-vertical:center;mso-position-vertical-relative:margin" o:allowincell="f">
          <v:imagedata r:id="rId1" o:title="wwpwp logo Mk2 mono wodny" gain="19661f" blacklevel="22938f"/>
          <w10:wrap anchorx="margin" anchory="margin"/>
        </v:shape>
      </w:pict>
    </w:r>
  </w:p>
  <w:p w14:paraId="4A494393" w14:textId="77777777" w:rsidR="00E4395A" w:rsidRDefault="00E4395A"/>
  <w:p w14:paraId="28769C96" w14:textId="77777777" w:rsidR="00E4395A" w:rsidRDefault="00E4395A" w:rsidP="00BD46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5F70" w14:textId="1CB3EC2B" w:rsidR="00E4395A" w:rsidRDefault="00BC2306" w:rsidP="00BC2306">
    <w:pPr>
      <w:pStyle w:val="Nagwek"/>
      <w:ind w:left="0"/>
    </w:pPr>
    <w:r>
      <w:rPr>
        <w:noProof/>
      </w:rPr>
      <w:drawing>
        <wp:anchor distT="0" distB="0" distL="114300" distR="114300" simplePos="0" relativeHeight="251657216" behindDoc="0" locked="0" layoutInCell="1" allowOverlap="1" wp14:anchorId="3D77E9CA" wp14:editId="78EBDA7A">
          <wp:simplePos x="0" y="0"/>
          <wp:positionH relativeFrom="column">
            <wp:posOffset>109220</wp:posOffset>
          </wp:positionH>
          <wp:positionV relativeFrom="paragraph">
            <wp:posOffset>73558</wp:posOffset>
          </wp:positionV>
          <wp:extent cx="5761355" cy="341630"/>
          <wp:effectExtent l="0" t="0" r="0" b="1270"/>
          <wp:wrapSquare wrapText="bothSides"/>
          <wp:docPr id="387462376"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62376"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416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C7A1" w14:textId="75E89366" w:rsidR="008B6B4A" w:rsidRDefault="00924621" w:rsidP="00F60718">
    <w:pPr>
      <w:pStyle w:val="Nagwek"/>
      <w:spacing w:before="100" w:after="100"/>
      <w:ind w:left="0"/>
      <w:contextualSpacing/>
    </w:pPr>
    <w:r>
      <w:rPr>
        <w:noProof/>
      </w:rPr>
      <w:drawing>
        <wp:inline distT="0" distB="0" distL="0" distR="0" wp14:anchorId="6FE76EEA" wp14:editId="5A3A90D0">
          <wp:extent cx="5849620" cy="346710"/>
          <wp:effectExtent l="0" t="0" r="0" b="0"/>
          <wp:docPr id="2055473698"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73698"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620" cy="3467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E6A"/>
    <w:multiLevelType w:val="hybridMultilevel"/>
    <w:tmpl w:val="090C661C"/>
    <w:lvl w:ilvl="0" w:tplc="F8741D70">
      <w:start w:val="1"/>
      <w:numFmt w:val="decimal"/>
      <w:lvlText w:val="%1."/>
      <w:lvlJc w:val="left"/>
      <w:pPr>
        <w:ind w:left="720" w:hanging="360"/>
      </w:pPr>
      <w:rPr>
        <w:b/>
        <w:bCs w:val="0"/>
      </w:rPr>
    </w:lvl>
    <w:lvl w:ilvl="1" w:tplc="891A2F0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F072AF"/>
    <w:multiLevelType w:val="hybridMultilevel"/>
    <w:tmpl w:val="C0A87344"/>
    <w:lvl w:ilvl="0" w:tplc="04150011">
      <w:start w:val="1"/>
      <w:numFmt w:val="decimal"/>
      <w:lvlText w:val="%1)"/>
      <w:lvlJc w:val="left"/>
      <w:pPr>
        <w:ind w:left="1410" w:hanging="69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112010"/>
    <w:multiLevelType w:val="hybridMultilevel"/>
    <w:tmpl w:val="FB4E61B8"/>
    <w:lvl w:ilvl="0" w:tplc="04150011">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2B150F"/>
    <w:multiLevelType w:val="hybridMultilevel"/>
    <w:tmpl w:val="35F09476"/>
    <w:name w:val="testowa"/>
    <w:lvl w:ilvl="0" w:tplc="12C08B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F31611E"/>
    <w:multiLevelType w:val="hybridMultilevel"/>
    <w:tmpl w:val="28245DE4"/>
    <w:name w:val="testowa222"/>
    <w:lvl w:ilvl="0" w:tplc="44862898">
      <w:start w:val="74"/>
      <w:numFmt w:val="decimal"/>
      <w:lvlText w:val="%1)"/>
      <w:lvlJc w:val="lef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7B484A"/>
    <w:multiLevelType w:val="hybridMultilevel"/>
    <w:tmpl w:val="F992EE96"/>
    <w:lvl w:ilvl="0" w:tplc="04150011">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EC35DE"/>
    <w:multiLevelType w:val="hybridMultilevel"/>
    <w:tmpl w:val="73F618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C056AB"/>
    <w:multiLevelType w:val="hybridMultilevel"/>
    <w:tmpl w:val="844E1A08"/>
    <w:lvl w:ilvl="0" w:tplc="04150001">
      <w:start w:val="1"/>
      <w:numFmt w:val="bullet"/>
      <w:lvlText w:val=""/>
      <w:lvlJc w:val="left"/>
      <w:pPr>
        <w:ind w:left="1429" w:hanging="360"/>
      </w:pPr>
      <w:rPr>
        <w:rFonts w:ascii="Symbol" w:hAnsi="Symbol" w:hint="default"/>
      </w:rPr>
    </w:lvl>
    <w:lvl w:ilvl="1" w:tplc="08FE52EE">
      <w:start w:val="2"/>
      <w:numFmt w:val="bullet"/>
      <w:lvlText w:val="•"/>
      <w:lvlJc w:val="left"/>
      <w:pPr>
        <w:ind w:left="2209" w:hanging="420"/>
      </w:pPr>
      <w:rPr>
        <w:rFonts w:ascii="Calibri" w:eastAsiaTheme="minorHAnsi" w:hAnsi="Calibri" w:cs="Calibri"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382F1FBE"/>
    <w:multiLevelType w:val="hybridMultilevel"/>
    <w:tmpl w:val="0C6CDA5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 w15:restartNumberingAfterBreak="0">
    <w:nsid w:val="4002507B"/>
    <w:multiLevelType w:val="hybridMultilevel"/>
    <w:tmpl w:val="8C200D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440839BB"/>
    <w:multiLevelType w:val="hybridMultilevel"/>
    <w:tmpl w:val="05862C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53F818C3"/>
    <w:multiLevelType w:val="hybridMultilevel"/>
    <w:tmpl w:val="2B4EA0AE"/>
    <w:name w:val="testowa223"/>
    <w:lvl w:ilvl="0" w:tplc="6532841C">
      <w:start w:val="75"/>
      <w:numFmt w:val="decimal"/>
      <w:lvlText w:val="%1)"/>
      <w:lvlJc w:val="lef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577917"/>
    <w:multiLevelType w:val="hybridMultilevel"/>
    <w:tmpl w:val="144AB274"/>
    <w:lvl w:ilvl="0" w:tplc="FFFFFFFF">
      <w:start w:val="1"/>
      <w:numFmt w:val="decimal"/>
      <w:lvlText w:val="%1)"/>
      <w:lvlJc w:val="left"/>
      <w:pPr>
        <w:ind w:left="1080" w:hanging="360"/>
      </w:pPr>
    </w:lvl>
    <w:lvl w:ilvl="1" w:tplc="04150011">
      <w:start w:val="1"/>
      <w:numFmt w:val="decimal"/>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9F308C1"/>
    <w:multiLevelType w:val="hybridMultilevel"/>
    <w:tmpl w:val="22E89BD0"/>
    <w:name w:val="testowa22"/>
    <w:lvl w:ilvl="0" w:tplc="EB98D9E6">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74E542B9"/>
    <w:multiLevelType w:val="hybridMultilevel"/>
    <w:tmpl w:val="E4F066A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16cid:durableId="1785269665">
    <w:abstractNumId w:val="0"/>
  </w:num>
  <w:num w:numId="2" w16cid:durableId="326633224">
    <w:abstractNumId w:val="1"/>
  </w:num>
  <w:num w:numId="3" w16cid:durableId="1188257868">
    <w:abstractNumId w:val="12"/>
  </w:num>
  <w:num w:numId="4" w16cid:durableId="1529636266">
    <w:abstractNumId w:val="14"/>
  </w:num>
  <w:num w:numId="5" w16cid:durableId="1064992135">
    <w:abstractNumId w:val="2"/>
  </w:num>
  <w:num w:numId="6" w16cid:durableId="1951163198">
    <w:abstractNumId w:val="5"/>
  </w:num>
  <w:num w:numId="7" w16cid:durableId="536629454">
    <w:abstractNumId w:val="8"/>
  </w:num>
  <w:num w:numId="8" w16cid:durableId="547231652">
    <w:abstractNumId w:val="7"/>
  </w:num>
  <w:num w:numId="9" w16cid:durableId="942881302">
    <w:abstractNumId w:val="6"/>
  </w:num>
  <w:num w:numId="10" w16cid:durableId="2106949449">
    <w:abstractNumId w:val="3"/>
  </w:num>
  <w:num w:numId="11" w16cid:durableId="538665998">
    <w:abstractNumId w:val="10"/>
  </w:num>
  <w:num w:numId="12" w16cid:durableId="112931948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E6"/>
    <w:rsid w:val="00002A0A"/>
    <w:rsid w:val="00002D6D"/>
    <w:rsid w:val="000036D3"/>
    <w:rsid w:val="00004EAD"/>
    <w:rsid w:val="00012612"/>
    <w:rsid w:val="000156A7"/>
    <w:rsid w:val="00015CD0"/>
    <w:rsid w:val="000165C3"/>
    <w:rsid w:val="00020A5F"/>
    <w:rsid w:val="00020B14"/>
    <w:rsid w:val="00020C53"/>
    <w:rsid w:val="00022A2B"/>
    <w:rsid w:val="00022BDF"/>
    <w:rsid w:val="00022F25"/>
    <w:rsid w:val="00023D6A"/>
    <w:rsid w:val="00024805"/>
    <w:rsid w:val="00025AF2"/>
    <w:rsid w:val="00026D84"/>
    <w:rsid w:val="0002781B"/>
    <w:rsid w:val="000302D5"/>
    <w:rsid w:val="0003540F"/>
    <w:rsid w:val="000359C9"/>
    <w:rsid w:val="00036B0A"/>
    <w:rsid w:val="000401AC"/>
    <w:rsid w:val="00043D6B"/>
    <w:rsid w:val="00044640"/>
    <w:rsid w:val="00045029"/>
    <w:rsid w:val="000466FE"/>
    <w:rsid w:val="000510A1"/>
    <w:rsid w:val="000516AC"/>
    <w:rsid w:val="00052A7C"/>
    <w:rsid w:val="00053B6E"/>
    <w:rsid w:val="00053FC9"/>
    <w:rsid w:val="00054FCD"/>
    <w:rsid w:val="0005577A"/>
    <w:rsid w:val="0006108D"/>
    <w:rsid w:val="00063728"/>
    <w:rsid w:val="00066D66"/>
    <w:rsid w:val="00067287"/>
    <w:rsid w:val="00067B1C"/>
    <w:rsid w:val="00071714"/>
    <w:rsid w:val="000728D9"/>
    <w:rsid w:val="0007322E"/>
    <w:rsid w:val="00073772"/>
    <w:rsid w:val="00073C65"/>
    <w:rsid w:val="0007511B"/>
    <w:rsid w:val="00081110"/>
    <w:rsid w:val="00081AA9"/>
    <w:rsid w:val="0008530F"/>
    <w:rsid w:val="00087385"/>
    <w:rsid w:val="00092769"/>
    <w:rsid w:val="00097147"/>
    <w:rsid w:val="000A00E1"/>
    <w:rsid w:val="000B0AF5"/>
    <w:rsid w:val="000B3BFD"/>
    <w:rsid w:val="000B3D39"/>
    <w:rsid w:val="000B45BF"/>
    <w:rsid w:val="000B467D"/>
    <w:rsid w:val="000B6049"/>
    <w:rsid w:val="000B72A0"/>
    <w:rsid w:val="000B7A53"/>
    <w:rsid w:val="000C090A"/>
    <w:rsid w:val="000C56F8"/>
    <w:rsid w:val="000C58BF"/>
    <w:rsid w:val="000C6D0D"/>
    <w:rsid w:val="000D7238"/>
    <w:rsid w:val="000D74CA"/>
    <w:rsid w:val="000E1D72"/>
    <w:rsid w:val="000E3B41"/>
    <w:rsid w:val="000E533D"/>
    <w:rsid w:val="000E592E"/>
    <w:rsid w:val="000E68F7"/>
    <w:rsid w:val="000E6C2A"/>
    <w:rsid w:val="000E76D3"/>
    <w:rsid w:val="000F0089"/>
    <w:rsid w:val="000F0A91"/>
    <w:rsid w:val="000F0C65"/>
    <w:rsid w:val="000F0EA1"/>
    <w:rsid w:val="000F486C"/>
    <w:rsid w:val="000F5AB1"/>
    <w:rsid w:val="000F5CA2"/>
    <w:rsid w:val="001009A3"/>
    <w:rsid w:val="0010110E"/>
    <w:rsid w:val="00103779"/>
    <w:rsid w:val="00104E31"/>
    <w:rsid w:val="001107AE"/>
    <w:rsid w:val="00112B9C"/>
    <w:rsid w:val="00112D9C"/>
    <w:rsid w:val="001152F1"/>
    <w:rsid w:val="0011555A"/>
    <w:rsid w:val="001156BC"/>
    <w:rsid w:val="0011654E"/>
    <w:rsid w:val="00117594"/>
    <w:rsid w:val="00117FCA"/>
    <w:rsid w:val="00120C4A"/>
    <w:rsid w:val="0012247B"/>
    <w:rsid w:val="00122719"/>
    <w:rsid w:val="0012385F"/>
    <w:rsid w:val="00125D76"/>
    <w:rsid w:val="00127474"/>
    <w:rsid w:val="00130FD5"/>
    <w:rsid w:val="00131188"/>
    <w:rsid w:val="001322D8"/>
    <w:rsid w:val="00132654"/>
    <w:rsid w:val="001354F1"/>
    <w:rsid w:val="0013675F"/>
    <w:rsid w:val="0013733A"/>
    <w:rsid w:val="00141026"/>
    <w:rsid w:val="00141662"/>
    <w:rsid w:val="00143CAA"/>
    <w:rsid w:val="00145122"/>
    <w:rsid w:val="0014634E"/>
    <w:rsid w:val="0014766B"/>
    <w:rsid w:val="00150348"/>
    <w:rsid w:val="00150C11"/>
    <w:rsid w:val="00151B43"/>
    <w:rsid w:val="00155933"/>
    <w:rsid w:val="001570CA"/>
    <w:rsid w:val="00157D3C"/>
    <w:rsid w:val="00162AA5"/>
    <w:rsid w:val="00162EC0"/>
    <w:rsid w:val="00165617"/>
    <w:rsid w:val="001661D8"/>
    <w:rsid w:val="00167258"/>
    <w:rsid w:val="00167B3C"/>
    <w:rsid w:val="00167D82"/>
    <w:rsid w:val="00170057"/>
    <w:rsid w:val="00170304"/>
    <w:rsid w:val="00172A20"/>
    <w:rsid w:val="0017305F"/>
    <w:rsid w:val="001734EA"/>
    <w:rsid w:val="00173C15"/>
    <w:rsid w:val="00174010"/>
    <w:rsid w:val="001748C7"/>
    <w:rsid w:val="00176167"/>
    <w:rsid w:val="00176BE2"/>
    <w:rsid w:val="00184B49"/>
    <w:rsid w:val="00185407"/>
    <w:rsid w:val="00191377"/>
    <w:rsid w:val="00192313"/>
    <w:rsid w:val="001930B7"/>
    <w:rsid w:val="00194704"/>
    <w:rsid w:val="001947A3"/>
    <w:rsid w:val="00194962"/>
    <w:rsid w:val="001A01AB"/>
    <w:rsid w:val="001A078A"/>
    <w:rsid w:val="001A17D0"/>
    <w:rsid w:val="001A2032"/>
    <w:rsid w:val="001A3956"/>
    <w:rsid w:val="001A539F"/>
    <w:rsid w:val="001B4A12"/>
    <w:rsid w:val="001B6160"/>
    <w:rsid w:val="001B6B57"/>
    <w:rsid w:val="001B7420"/>
    <w:rsid w:val="001C422A"/>
    <w:rsid w:val="001C4684"/>
    <w:rsid w:val="001C5109"/>
    <w:rsid w:val="001C5ED6"/>
    <w:rsid w:val="001D0690"/>
    <w:rsid w:val="001D0EDF"/>
    <w:rsid w:val="001D2905"/>
    <w:rsid w:val="001D3845"/>
    <w:rsid w:val="001D49B1"/>
    <w:rsid w:val="001D6352"/>
    <w:rsid w:val="001E09AF"/>
    <w:rsid w:val="001E0CF1"/>
    <w:rsid w:val="001E488C"/>
    <w:rsid w:val="001E74D2"/>
    <w:rsid w:val="001E77D5"/>
    <w:rsid w:val="001F1965"/>
    <w:rsid w:val="001F23CB"/>
    <w:rsid w:val="001F24C1"/>
    <w:rsid w:val="001F579B"/>
    <w:rsid w:val="001F6156"/>
    <w:rsid w:val="001F64CD"/>
    <w:rsid w:val="001F6B4D"/>
    <w:rsid w:val="001F7505"/>
    <w:rsid w:val="00201952"/>
    <w:rsid w:val="002031FC"/>
    <w:rsid w:val="00203FD3"/>
    <w:rsid w:val="0020413A"/>
    <w:rsid w:val="00206767"/>
    <w:rsid w:val="002067C4"/>
    <w:rsid w:val="002078CF"/>
    <w:rsid w:val="0021151A"/>
    <w:rsid w:val="00211892"/>
    <w:rsid w:val="00213D27"/>
    <w:rsid w:val="00214483"/>
    <w:rsid w:val="00215657"/>
    <w:rsid w:val="00217694"/>
    <w:rsid w:val="0022059D"/>
    <w:rsid w:val="00220841"/>
    <w:rsid w:val="002217B4"/>
    <w:rsid w:val="00222F47"/>
    <w:rsid w:val="00223477"/>
    <w:rsid w:val="00224D4E"/>
    <w:rsid w:val="002255A2"/>
    <w:rsid w:val="00226B64"/>
    <w:rsid w:val="002271DE"/>
    <w:rsid w:val="00230FE2"/>
    <w:rsid w:val="00232B66"/>
    <w:rsid w:val="0023340C"/>
    <w:rsid w:val="00233904"/>
    <w:rsid w:val="00235E7C"/>
    <w:rsid w:val="002379EA"/>
    <w:rsid w:val="00240FEA"/>
    <w:rsid w:val="00243FEF"/>
    <w:rsid w:val="002468B0"/>
    <w:rsid w:val="00247598"/>
    <w:rsid w:val="002479A7"/>
    <w:rsid w:val="0025321D"/>
    <w:rsid w:val="00254166"/>
    <w:rsid w:val="00256B98"/>
    <w:rsid w:val="002578C7"/>
    <w:rsid w:val="00270D16"/>
    <w:rsid w:val="00272585"/>
    <w:rsid w:val="002725D4"/>
    <w:rsid w:val="002725E6"/>
    <w:rsid w:val="00272BCF"/>
    <w:rsid w:val="00273974"/>
    <w:rsid w:val="00275043"/>
    <w:rsid w:val="00275195"/>
    <w:rsid w:val="0027561B"/>
    <w:rsid w:val="00275B33"/>
    <w:rsid w:val="00275D33"/>
    <w:rsid w:val="002763D9"/>
    <w:rsid w:val="00276A85"/>
    <w:rsid w:val="0028479C"/>
    <w:rsid w:val="00284B8F"/>
    <w:rsid w:val="0029000C"/>
    <w:rsid w:val="00292E5E"/>
    <w:rsid w:val="002937C0"/>
    <w:rsid w:val="002A3715"/>
    <w:rsid w:val="002A4508"/>
    <w:rsid w:val="002A4F1A"/>
    <w:rsid w:val="002A54FD"/>
    <w:rsid w:val="002A5D66"/>
    <w:rsid w:val="002A6B27"/>
    <w:rsid w:val="002B5ADB"/>
    <w:rsid w:val="002B69BF"/>
    <w:rsid w:val="002C0AF5"/>
    <w:rsid w:val="002C3F7E"/>
    <w:rsid w:val="002C3FAF"/>
    <w:rsid w:val="002C6499"/>
    <w:rsid w:val="002C74FF"/>
    <w:rsid w:val="002D32AC"/>
    <w:rsid w:val="002D3E6A"/>
    <w:rsid w:val="002D4BD7"/>
    <w:rsid w:val="002D5C8B"/>
    <w:rsid w:val="002E04B7"/>
    <w:rsid w:val="002E12C1"/>
    <w:rsid w:val="002E1866"/>
    <w:rsid w:val="002F09A9"/>
    <w:rsid w:val="002F1423"/>
    <w:rsid w:val="002F32D6"/>
    <w:rsid w:val="002F3748"/>
    <w:rsid w:val="002F56AC"/>
    <w:rsid w:val="002F6DE8"/>
    <w:rsid w:val="00300DB8"/>
    <w:rsid w:val="0030180F"/>
    <w:rsid w:val="00301DDD"/>
    <w:rsid w:val="00302453"/>
    <w:rsid w:val="003070A4"/>
    <w:rsid w:val="0031025C"/>
    <w:rsid w:val="003113D4"/>
    <w:rsid w:val="003152F4"/>
    <w:rsid w:val="003169D5"/>
    <w:rsid w:val="00320214"/>
    <w:rsid w:val="00322738"/>
    <w:rsid w:val="00322BB7"/>
    <w:rsid w:val="00322E7B"/>
    <w:rsid w:val="003244C9"/>
    <w:rsid w:val="00324735"/>
    <w:rsid w:val="003249C2"/>
    <w:rsid w:val="003251AB"/>
    <w:rsid w:val="00325E24"/>
    <w:rsid w:val="003271A5"/>
    <w:rsid w:val="00331DC2"/>
    <w:rsid w:val="00333A34"/>
    <w:rsid w:val="003348F4"/>
    <w:rsid w:val="003375BD"/>
    <w:rsid w:val="00340A39"/>
    <w:rsid w:val="00343B1C"/>
    <w:rsid w:val="00343E41"/>
    <w:rsid w:val="003462EC"/>
    <w:rsid w:val="00347099"/>
    <w:rsid w:val="00347F6E"/>
    <w:rsid w:val="00351AE3"/>
    <w:rsid w:val="00351F31"/>
    <w:rsid w:val="00353EE6"/>
    <w:rsid w:val="00356E2F"/>
    <w:rsid w:val="00360C1E"/>
    <w:rsid w:val="00361E69"/>
    <w:rsid w:val="00362487"/>
    <w:rsid w:val="003643CD"/>
    <w:rsid w:val="003664B7"/>
    <w:rsid w:val="00372F69"/>
    <w:rsid w:val="00374143"/>
    <w:rsid w:val="00376332"/>
    <w:rsid w:val="00376685"/>
    <w:rsid w:val="00380761"/>
    <w:rsid w:val="00380858"/>
    <w:rsid w:val="00380FD7"/>
    <w:rsid w:val="00381E8E"/>
    <w:rsid w:val="003853F4"/>
    <w:rsid w:val="00385E52"/>
    <w:rsid w:val="00390099"/>
    <w:rsid w:val="0039104C"/>
    <w:rsid w:val="00392C68"/>
    <w:rsid w:val="00392DD1"/>
    <w:rsid w:val="00393149"/>
    <w:rsid w:val="0039547D"/>
    <w:rsid w:val="003A1C06"/>
    <w:rsid w:val="003A27B1"/>
    <w:rsid w:val="003A3233"/>
    <w:rsid w:val="003A32E2"/>
    <w:rsid w:val="003A42D9"/>
    <w:rsid w:val="003A4558"/>
    <w:rsid w:val="003A59A2"/>
    <w:rsid w:val="003A6C1D"/>
    <w:rsid w:val="003A76C8"/>
    <w:rsid w:val="003B1929"/>
    <w:rsid w:val="003B1D45"/>
    <w:rsid w:val="003B2F6F"/>
    <w:rsid w:val="003B4421"/>
    <w:rsid w:val="003C1C7D"/>
    <w:rsid w:val="003C2D44"/>
    <w:rsid w:val="003C3044"/>
    <w:rsid w:val="003C31DC"/>
    <w:rsid w:val="003C5DA0"/>
    <w:rsid w:val="003C6356"/>
    <w:rsid w:val="003D0B93"/>
    <w:rsid w:val="003D1723"/>
    <w:rsid w:val="003D1D8C"/>
    <w:rsid w:val="003D2F21"/>
    <w:rsid w:val="003D337E"/>
    <w:rsid w:val="003D49A4"/>
    <w:rsid w:val="003D50E9"/>
    <w:rsid w:val="003D6733"/>
    <w:rsid w:val="003E2BB8"/>
    <w:rsid w:val="003E2F8B"/>
    <w:rsid w:val="003E2FDE"/>
    <w:rsid w:val="003E4165"/>
    <w:rsid w:val="003E7702"/>
    <w:rsid w:val="003F1D7D"/>
    <w:rsid w:val="003F4FCE"/>
    <w:rsid w:val="003F667D"/>
    <w:rsid w:val="003F7D52"/>
    <w:rsid w:val="004030A7"/>
    <w:rsid w:val="004034BB"/>
    <w:rsid w:val="00405900"/>
    <w:rsid w:val="0040613B"/>
    <w:rsid w:val="004076FB"/>
    <w:rsid w:val="0041296C"/>
    <w:rsid w:val="00415CF0"/>
    <w:rsid w:val="0041744A"/>
    <w:rsid w:val="00420676"/>
    <w:rsid w:val="00422878"/>
    <w:rsid w:val="0042501B"/>
    <w:rsid w:val="00425254"/>
    <w:rsid w:val="0042624E"/>
    <w:rsid w:val="0042690F"/>
    <w:rsid w:val="00426A9E"/>
    <w:rsid w:val="0043146A"/>
    <w:rsid w:val="004314CB"/>
    <w:rsid w:val="004318A2"/>
    <w:rsid w:val="00431AD6"/>
    <w:rsid w:val="00431D43"/>
    <w:rsid w:val="00432FDB"/>
    <w:rsid w:val="00433700"/>
    <w:rsid w:val="004340E2"/>
    <w:rsid w:val="00434F12"/>
    <w:rsid w:val="00435912"/>
    <w:rsid w:val="00435D57"/>
    <w:rsid w:val="0043684B"/>
    <w:rsid w:val="004436FD"/>
    <w:rsid w:val="004463CE"/>
    <w:rsid w:val="00446461"/>
    <w:rsid w:val="00447619"/>
    <w:rsid w:val="00450BFC"/>
    <w:rsid w:val="00450DD0"/>
    <w:rsid w:val="00456DF1"/>
    <w:rsid w:val="004602A8"/>
    <w:rsid w:val="0046165B"/>
    <w:rsid w:val="004618A0"/>
    <w:rsid w:val="004652C9"/>
    <w:rsid w:val="0046775D"/>
    <w:rsid w:val="00467A56"/>
    <w:rsid w:val="00470143"/>
    <w:rsid w:val="0047027B"/>
    <w:rsid w:val="00471552"/>
    <w:rsid w:val="004750C9"/>
    <w:rsid w:val="00480A2E"/>
    <w:rsid w:val="00480F46"/>
    <w:rsid w:val="004810C5"/>
    <w:rsid w:val="004810F4"/>
    <w:rsid w:val="0048258E"/>
    <w:rsid w:val="00483464"/>
    <w:rsid w:val="0048686C"/>
    <w:rsid w:val="00490515"/>
    <w:rsid w:val="004911C3"/>
    <w:rsid w:val="00491B19"/>
    <w:rsid w:val="0049214B"/>
    <w:rsid w:val="004924A1"/>
    <w:rsid w:val="00496B11"/>
    <w:rsid w:val="00497480"/>
    <w:rsid w:val="004A023B"/>
    <w:rsid w:val="004A0EDB"/>
    <w:rsid w:val="004A174D"/>
    <w:rsid w:val="004A2D85"/>
    <w:rsid w:val="004A67E6"/>
    <w:rsid w:val="004A6FBA"/>
    <w:rsid w:val="004B0833"/>
    <w:rsid w:val="004B0B05"/>
    <w:rsid w:val="004B4F83"/>
    <w:rsid w:val="004B6CBF"/>
    <w:rsid w:val="004C23EA"/>
    <w:rsid w:val="004C3F5A"/>
    <w:rsid w:val="004C5597"/>
    <w:rsid w:val="004C653A"/>
    <w:rsid w:val="004D0007"/>
    <w:rsid w:val="004D0710"/>
    <w:rsid w:val="004D20C6"/>
    <w:rsid w:val="004D22B7"/>
    <w:rsid w:val="004D309F"/>
    <w:rsid w:val="004D3449"/>
    <w:rsid w:val="004D4534"/>
    <w:rsid w:val="004E0F1E"/>
    <w:rsid w:val="004E1B20"/>
    <w:rsid w:val="004E2B12"/>
    <w:rsid w:val="004E4AF9"/>
    <w:rsid w:val="004E5F4C"/>
    <w:rsid w:val="004E60E7"/>
    <w:rsid w:val="004F1230"/>
    <w:rsid w:val="004F3E59"/>
    <w:rsid w:val="004F52F7"/>
    <w:rsid w:val="004F61C6"/>
    <w:rsid w:val="004F7948"/>
    <w:rsid w:val="00500A3A"/>
    <w:rsid w:val="00504EDF"/>
    <w:rsid w:val="00516D6C"/>
    <w:rsid w:val="00521A09"/>
    <w:rsid w:val="00523410"/>
    <w:rsid w:val="00525966"/>
    <w:rsid w:val="005262B8"/>
    <w:rsid w:val="00526CBB"/>
    <w:rsid w:val="005275C9"/>
    <w:rsid w:val="00527CC7"/>
    <w:rsid w:val="005326F8"/>
    <w:rsid w:val="00532E01"/>
    <w:rsid w:val="005344A7"/>
    <w:rsid w:val="00534538"/>
    <w:rsid w:val="0053521F"/>
    <w:rsid w:val="00537640"/>
    <w:rsid w:val="00537924"/>
    <w:rsid w:val="00540EC5"/>
    <w:rsid w:val="00541A34"/>
    <w:rsid w:val="00543874"/>
    <w:rsid w:val="00543DF8"/>
    <w:rsid w:val="00544832"/>
    <w:rsid w:val="005454F6"/>
    <w:rsid w:val="00545A8A"/>
    <w:rsid w:val="005465F1"/>
    <w:rsid w:val="00547003"/>
    <w:rsid w:val="005472C3"/>
    <w:rsid w:val="0055010F"/>
    <w:rsid w:val="005507BE"/>
    <w:rsid w:val="0055352A"/>
    <w:rsid w:val="00554065"/>
    <w:rsid w:val="00555AE9"/>
    <w:rsid w:val="00557F73"/>
    <w:rsid w:val="00570C56"/>
    <w:rsid w:val="00572274"/>
    <w:rsid w:val="00573A69"/>
    <w:rsid w:val="00575C22"/>
    <w:rsid w:val="00576DB9"/>
    <w:rsid w:val="00576F87"/>
    <w:rsid w:val="00581465"/>
    <w:rsid w:val="0058226A"/>
    <w:rsid w:val="00585630"/>
    <w:rsid w:val="0058678B"/>
    <w:rsid w:val="00587793"/>
    <w:rsid w:val="00587C0D"/>
    <w:rsid w:val="00597A3D"/>
    <w:rsid w:val="005A1642"/>
    <w:rsid w:val="005A33E7"/>
    <w:rsid w:val="005A4B0C"/>
    <w:rsid w:val="005A60F7"/>
    <w:rsid w:val="005A6B93"/>
    <w:rsid w:val="005A6FFB"/>
    <w:rsid w:val="005A7428"/>
    <w:rsid w:val="005B06C8"/>
    <w:rsid w:val="005B0D49"/>
    <w:rsid w:val="005B736C"/>
    <w:rsid w:val="005B73AA"/>
    <w:rsid w:val="005C0147"/>
    <w:rsid w:val="005C1052"/>
    <w:rsid w:val="005C228B"/>
    <w:rsid w:val="005C6374"/>
    <w:rsid w:val="005D0959"/>
    <w:rsid w:val="005D0B24"/>
    <w:rsid w:val="005D2736"/>
    <w:rsid w:val="005D2DEF"/>
    <w:rsid w:val="005D370A"/>
    <w:rsid w:val="005D3CF2"/>
    <w:rsid w:val="005D5520"/>
    <w:rsid w:val="005D6337"/>
    <w:rsid w:val="005D6350"/>
    <w:rsid w:val="005D70D8"/>
    <w:rsid w:val="005D7C0B"/>
    <w:rsid w:val="005E1329"/>
    <w:rsid w:val="005E2FE9"/>
    <w:rsid w:val="005E33B5"/>
    <w:rsid w:val="005F110B"/>
    <w:rsid w:val="005F149C"/>
    <w:rsid w:val="005F2DBF"/>
    <w:rsid w:val="005F3166"/>
    <w:rsid w:val="006004C8"/>
    <w:rsid w:val="00600568"/>
    <w:rsid w:val="006030C5"/>
    <w:rsid w:val="006049C4"/>
    <w:rsid w:val="00604EE2"/>
    <w:rsid w:val="00606DA4"/>
    <w:rsid w:val="00606ECF"/>
    <w:rsid w:val="006075DA"/>
    <w:rsid w:val="00610352"/>
    <w:rsid w:val="0061284B"/>
    <w:rsid w:val="00612D9F"/>
    <w:rsid w:val="006137F9"/>
    <w:rsid w:val="00613989"/>
    <w:rsid w:val="0061409F"/>
    <w:rsid w:val="0061481F"/>
    <w:rsid w:val="00614C12"/>
    <w:rsid w:val="00614F6F"/>
    <w:rsid w:val="00615105"/>
    <w:rsid w:val="00615722"/>
    <w:rsid w:val="0061591F"/>
    <w:rsid w:val="00617A27"/>
    <w:rsid w:val="006203A1"/>
    <w:rsid w:val="0062093E"/>
    <w:rsid w:val="0062233B"/>
    <w:rsid w:val="00624CA9"/>
    <w:rsid w:val="006252AA"/>
    <w:rsid w:val="006252CA"/>
    <w:rsid w:val="00631330"/>
    <w:rsid w:val="0063563E"/>
    <w:rsid w:val="00636067"/>
    <w:rsid w:val="006424CD"/>
    <w:rsid w:val="0064454A"/>
    <w:rsid w:val="00645B1E"/>
    <w:rsid w:val="00652CD6"/>
    <w:rsid w:val="006558FB"/>
    <w:rsid w:val="0065615F"/>
    <w:rsid w:val="0065626C"/>
    <w:rsid w:val="006573E5"/>
    <w:rsid w:val="006613A2"/>
    <w:rsid w:val="00662514"/>
    <w:rsid w:val="00663E56"/>
    <w:rsid w:val="0066424E"/>
    <w:rsid w:val="006642AF"/>
    <w:rsid w:val="00664713"/>
    <w:rsid w:val="00664C9B"/>
    <w:rsid w:val="00665C28"/>
    <w:rsid w:val="0066690B"/>
    <w:rsid w:val="00671488"/>
    <w:rsid w:val="00671829"/>
    <w:rsid w:val="00682392"/>
    <w:rsid w:val="00682BA9"/>
    <w:rsid w:val="0068453A"/>
    <w:rsid w:val="00684F08"/>
    <w:rsid w:val="00685E0B"/>
    <w:rsid w:val="0069007B"/>
    <w:rsid w:val="0069068C"/>
    <w:rsid w:val="006914C4"/>
    <w:rsid w:val="006929D5"/>
    <w:rsid w:val="0069420C"/>
    <w:rsid w:val="00697A11"/>
    <w:rsid w:val="006A04F9"/>
    <w:rsid w:val="006A11A5"/>
    <w:rsid w:val="006A1CEA"/>
    <w:rsid w:val="006A3A80"/>
    <w:rsid w:val="006A5690"/>
    <w:rsid w:val="006A5E83"/>
    <w:rsid w:val="006A71E0"/>
    <w:rsid w:val="006B1E7A"/>
    <w:rsid w:val="006B36E4"/>
    <w:rsid w:val="006B4FD3"/>
    <w:rsid w:val="006B661D"/>
    <w:rsid w:val="006B7413"/>
    <w:rsid w:val="006C434E"/>
    <w:rsid w:val="006C5AC9"/>
    <w:rsid w:val="006D0017"/>
    <w:rsid w:val="006D5536"/>
    <w:rsid w:val="006D63BE"/>
    <w:rsid w:val="006D66BB"/>
    <w:rsid w:val="006E0FB5"/>
    <w:rsid w:val="006E1F27"/>
    <w:rsid w:val="006E3854"/>
    <w:rsid w:val="006F03C4"/>
    <w:rsid w:val="006F4725"/>
    <w:rsid w:val="006F491A"/>
    <w:rsid w:val="006F6A69"/>
    <w:rsid w:val="006F7A7B"/>
    <w:rsid w:val="00702D1D"/>
    <w:rsid w:val="00705C2F"/>
    <w:rsid w:val="00707A18"/>
    <w:rsid w:val="0071100A"/>
    <w:rsid w:val="007136E0"/>
    <w:rsid w:val="00714363"/>
    <w:rsid w:val="00715052"/>
    <w:rsid w:val="007163F8"/>
    <w:rsid w:val="00716853"/>
    <w:rsid w:val="007173EE"/>
    <w:rsid w:val="00720C94"/>
    <w:rsid w:val="00720EA9"/>
    <w:rsid w:val="007217D1"/>
    <w:rsid w:val="007218C5"/>
    <w:rsid w:val="007221DB"/>
    <w:rsid w:val="007227A0"/>
    <w:rsid w:val="0072282A"/>
    <w:rsid w:val="00722EEF"/>
    <w:rsid w:val="007252A1"/>
    <w:rsid w:val="0073086C"/>
    <w:rsid w:val="00730AA6"/>
    <w:rsid w:val="00731614"/>
    <w:rsid w:val="00732E62"/>
    <w:rsid w:val="007349E8"/>
    <w:rsid w:val="007361F0"/>
    <w:rsid w:val="00737658"/>
    <w:rsid w:val="0074245E"/>
    <w:rsid w:val="0074349F"/>
    <w:rsid w:val="007526B1"/>
    <w:rsid w:val="00754DBA"/>
    <w:rsid w:val="00755EB0"/>
    <w:rsid w:val="00756D49"/>
    <w:rsid w:val="007611D6"/>
    <w:rsid w:val="007638F9"/>
    <w:rsid w:val="00763925"/>
    <w:rsid w:val="007658B7"/>
    <w:rsid w:val="00772518"/>
    <w:rsid w:val="00773950"/>
    <w:rsid w:val="00773BA6"/>
    <w:rsid w:val="00774B3C"/>
    <w:rsid w:val="007760EB"/>
    <w:rsid w:val="007806E3"/>
    <w:rsid w:val="00781533"/>
    <w:rsid w:val="00781A6B"/>
    <w:rsid w:val="00781E9B"/>
    <w:rsid w:val="00784A48"/>
    <w:rsid w:val="00785514"/>
    <w:rsid w:val="007876DF"/>
    <w:rsid w:val="00793716"/>
    <w:rsid w:val="007976A6"/>
    <w:rsid w:val="00797DC3"/>
    <w:rsid w:val="007A1589"/>
    <w:rsid w:val="007A17B4"/>
    <w:rsid w:val="007A222A"/>
    <w:rsid w:val="007A2845"/>
    <w:rsid w:val="007A2D3C"/>
    <w:rsid w:val="007A42FE"/>
    <w:rsid w:val="007A78ED"/>
    <w:rsid w:val="007B259E"/>
    <w:rsid w:val="007B280B"/>
    <w:rsid w:val="007B3746"/>
    <w:rsid w:val="007B3B36"/>
    <w:rsid w:val="007B696D"/>
    <w:rsid w:val="007B6DD0"/>
    <w:rsid w:val="007C226C"/>
    <w:rsid w:val="007C50D0"/>
    <w:rsid w:val="007C5ED7"/>
    <w:rsid w:val="007D44C3"/>
    <w:rsid w:val="007D4994"/>
    <w:rsid w:val="007D541A"/>
    <w:rsid w:val="007E41E6"/>
    <w:rsid w:val="007E6653"/>
    <w:rsid w:val="007E7A8B"/>
    <w:rsid w:val="007F2870"/>
    <w:rsid w:val="007F459A"/>
    <w:rsid w:val="007F4E40"/>
    <w:rsid w:val="007F5345"/>
    <w:rsid w:val="007F536E"/>
    <w:rsid w:val="007F74CE"/>
    <w:rsid w:val="008015B4"/>
    <w:rsid w:val="00801EFD"/>
    <w:rsid w:val="00802F64"/>
    <w:rsid w:val="008043F6"/>
    <w:rsid w:val="008054A1"/>
    <w:rsid w:val="00806137"/>
    <w:rsid w:val="008065E4"/>
    <w:rsid w:val="008107F1"/>
    <w:rsid w:val="008118E5"/>
    <w:rsid w:val="00815046"/>
    <w:rsid w:val="00820D65"/>
    <w:rsid w:val="008218BF"/>
    <w:rsid w:val="008224C2"/>
    <w:rsid w:val="0082271D"/>
    <w:rsid w:val="008232A9"/>
    <w:rsid w:val="008234BE"/>
    <w:rsid w:val="00823A7A"/>
    <w:rsid w:val="0082451D"/>
    <w:rsid w:val="00826FB9"/>
    <w:rsid w:val="0082742B"/>
    <w:rsid w:val="00830493"/>
    <w:rsid w:val="00830F54"/>
    <w:rsid w:val="0083143B"/>
    <w:rsid w:val="00832EA1"/>
    <w:rsid w:val="00833943"/>
    <w:rsid w:val="00837A7C"/>
    <w:rsid w:val="00837F9C"/>
    <w:rsid w:val="0084243C"/>
    <w:rsid w:val="00843678"/>
    <w:rsid w:val="008470F6"/>
    <w:rsid w:val="008479D8"/>
    <w:rsid w:val="00850D58"/>
    <w:rsid w:val="00853E9F"/>
    <w:rsid w:val="008558B7"/>
    <w:rsid w:val="00855FDF"/>
    <w:rsid w:val="008607B9"/>
    <w:rsid w:val="00861013"/>
    <w:rsid w:val="00861470"/>
    <w:rsid w:val="00862105"/>
    <w:rsid w:val="008634C9"/>
    <w:rsid w:val="00863A86"/>
    <w:rsid w:val="008679C0"/>
    <w:rsid w:val="008726EA"/>
    <w:rsid w:val="00872F0A"/>
    <w:rsid w:val="00873877"/>
    <w:rsid w:val="008762B4"/>
    <w:rsid w:val="008803BA"/>
    <w:rsid w:val="00880F96"/>
    <w:rsid w:val="00881FA4"/>
    <w:rsid w:val="008820D2"/>
    <w:rsid w:val="00883F1E"/>
    <w:rsid w:val="00887205"/>
    <w:rsid w:val="00890C56"/>
    <w:rsid w:val="008930D9"/>
    <w:rsid w:val="0089547D"/>
    <w:rsid w:val="00895C27"/>
    <w:rsid w:val="00896675"/>
    <w:rsid w:val="00896EC8"/>
    <w:rsid w:val="008A1414"/>
    <w:rsid w:val="008A3614"/>
    <w:rsid w:val="008A3BCC"/>
    <w:rsid w:val="008A7532"/>
    <w:rsid w:val="008A7DAF"/>
    <w:rsid w:val="008B0AC6"/>
    <w:rsid w:val="008B0C09"/>
    <w:rsid w:val="008B122D"/>
    <w:rsid w:val="008B17FE"/>
    <w:rsid w:val="008B213E"/>
    <w:rsid w:val="008B21DF"/>
    <w:rsid w:val="008B57CD"/>
    <w:rsid w:val="008B5905"/>
    <w:rsid w:val="008B6B4A"/>
    <w:rsid w:val="008B739E"/>
    <w:rsid w:val="008B7AFB"/>
    <w:rsid w:val="008C47F5"/>
    <w:rsid w:val="008C59ED"/>
    <w:rsid w:val="008D16B0"/>
    <w:rsid w:val="008D20DE"/>
    <w:rsid w:val="008D32AF"/>
    <w:rsid w:val="008D4E0D"/>
    <w:rsid w:val="008D5159"/>
    <w:rsid w:val="008D517A"/>
    <w:rsid w:val="008D6138"/>
    <w:rsid w:val="008E1687"/>
    <w:rsid w:val="008E452A"/>
    <w:rsid w:val="008E78B7"/>
    <w:rsid w:val="008E792F"/>
    <w:rsid w:val="008F2C60"/>
    <w:rsid w:val="008F30EC"/>
    <w:rsid w:val="008F37FF"/>
    <w:rsid w:val="008F4B17"/>
    <w:rsid w:val="008F56D1"/>
    <w:rsid w:val="008F72D5"/>
    <w:rsid w:val="008F789A"/>
    <w:rsid w:val="009020B8"/>
    <w:rsid w:val="009033DC"/>
    <w:rsid w:val="00904FA1"/>
    <w:rsid w:val="00905FD4"/>
    <w:rsid w:val="00907B8D"/>
    <w:rsid w:val="00910599"/>
    <w:rsid w:val="00915171"/>
    <w:rsid w:val="00920A4A"/>
    <w:rsid w:val="00920E9F"/>
    <w:rsid w:val="0092302E"/>
    <w:rsid w:val="009244CD"/>
    <w:rsid w:val="00924621"/>
    <w:rsid w:val="00924E97"/>
    <w:rsid w:val="0092519C"/>
    <w:rsid w:val="00927488"/>
    <w:rsid w:val="009304FB"/>
    <w:rsid w:val="009315FD"/>
    <w:rsid w:val="00932740"/>
    <w:rsid w:val="00932A85"/>
    <w:rsid w:val="00932E91"/>
    <w:rsid w:val="009368D5"/>
    <w:rsid w:val="00936D58"/>
    <w:rsid w:val="009375C2"/>
    <w:rsid w:val="00941FD5"/>
    <w:rsid w:val="00943010"/>
    <w:rsid w:val="00944F74"/>
    <w:rsid w:val="00946398"/>
    <w:rsid w:val="009471E1"/>
    <w:rsid w:val="0094774D"/>
    <w:rsid w:val="0095078B"/>
    <w:rsid w:val="00950E61"/>
    <w:rsid w:val="00951374"/>
    <w:rsid w:val="009517C6"/>
    <w:rsid w:val="009531D6"/>
    <w:rsid w:val="00953AEE"/>
    <w:rsid w:val="00954224"/>
    <w:rsid w:val="00964280"/>
    <w:rsid w:val="00971DB1"/>
    <w:rsid w:val="00971FBD"/>
    <w:rsid w:val="009726BA"/>
    <w:rsid w:val="00974EE8"/>
    <w:rsid w:val="00982B6A"/>
    <w:rsid w:val="009840F8"/>
    <w:rsid w:val="009843DB"/>
    <w:rsid w:val="00985824"/>
    <w:rsid w:val="00987271"/>
    <w:rsid w:val="00990FC0"/>
    <w:rsid w:val="00992DC5"/>
    <w:rsid w:val="0099327E"/>
    <w:rsid w:val="00993CA6"/>
    <w:rsid w:val="00994144"/>
    <w:rsid w:val="009943B0"/>
    <w:rsid w:val="00995A18"/>
    <w:rsid w:val="009A0E02"/>
    <w:rsid w:val="009A1CA7"/>
    <w:rsid w:val="009A31E8"/>
    <w:rsid w:val="009B1A18"/>
    <w:rsid w:val="009B4FD9"/>
    <w:rsid w:val="009B5890"/>
    <w:rsid w:val="009B63F8"/>
    <w:rsid w:val="009C094B"/>
    <w:rsid w:val="009C1571"/>
    <w:rsid w:val="009C2147"/>
    <w:rsid w:val="009C21D1"/>
    <w:rsid w:val="009C2EC3"/>
    <w:rsid w:val="009C65B3"/>
    <w:rsid w:val="009C78F9"/>
    <w:rsid w:val="009C7AD0"/>
    <w:rsid w:val="009D3EC0"/>
    <w:rsid w:val="009D7811"/>
    <w:rsid w:val="009D7A08"/>
    <w:rsid w:val="009E1DC4"/>
    <w:rsid w:val="009E24E7"/>
    <w:rsid w:val="009E2D26"/>
    <w:rsid w:val="009E67AF"/>
    <w:rsid w:val="009E7CF8"/>
    <w:rsid w:val="009F207C"/>
    <w:rsid w:val="009F5760"/>
    <w:rsid w:val="009F5AAC"/>
    <w:rsid w:val="009F680E"/>
    <w:rsid w:val="00A004E8"/>
    <w:rsid w:val="00A00E05"/>
    <w:rsid w:val="00A022BE"/>
    <w:rsid w:val="00A05C48"/>
    <w:rsid w:val="00A100CE"/>
    <w:rsid w:val="00A10A79"/>
    <w:rsid w:val="00A11B45"/>
    <w:rsid w:val="00A15343"/>
    <w:rsid w:val="00A201BF"/>
    <w:rsid w:val="00A227D6"/>
    <w:rsid w:val="00A2372A"/>
    <w:rsid w:val="00A2583D"/>
    <w:rsid w:val="00A258BF"/>
    <w:rsid w:val="00A2592D"/>
    <w:rsid w:val="00A26FCC"/>
    <w:rsid w:val="00A30304"/>
    <w:rsid w:val="00A30550"/>
    <w:rsid w:val="00A3483A"/>
    <w:rsid w:val="00A34917"/>
    <w:rsid w:val="00A360BD"/>
    <w:rsid w:val="00A37C5C"/>
    <w:rsid w:val="00A41AD2"/>
    <w:rsid w:val="00A42394"/>
    <w:rsid w:val="00A42EDD"/>
    <w:rsid w:val="00A434BE"/>
    <w:rsid w:val="00A4437B"/>
    <w:rsid w:val="00A473C9"/>
    <w:rsid w:val="00A47C3C"/>
    <w:rsid w:val="00A50608"/>
    <w:rsid w:val="00A51448"/>
    <w:rsid w:val="00A5179A"/>
    <w:rsid w:val="00A52221"/>
    <w:rsid w:val="00A52ED9"/>
    <w:rsid w:val="00A5447F"/>
    <w:rsid w:val="00A5612B"/>
    <w:rsid w:val="00A60574"/>
    <w:rsid w:val="00A609A2"/>
    <w:rsid w:val="00A61514"/>
    <w:rsid w:val="00A62B3C"/>
    <w:rsid w:val="00A654F2"/>
    <w:rsid w:val="00A65999"/>
    <w:rsid w:val="00A71031"/>
    <w:rsid w:val="00A71E08"/>
    <w:rsid w:val="00A71E94"/>
    <w:rsid w:val="00A72830"/>
    <w:rsid w:val="00A7301F"/>
    <w:rsid w:val="00A73037"/>
    <w:rsid w:val="00A73A53"/>
    <w:rsid w:val="00A746CB"/>
    <w:rsid w:val="00A74ECC"/>
    <w:rsid w:val="00A87808"/>
    <w:rsid w:val="00A87D5C"/>
    <w:rsid w:val="00A90D8D"/>
    <w:rsid w:val="00A9522F"/>
    <w:rsid w:val="00A9579A"/>
    <w:rsid w:val="00A9689D"/>
    <w:rsid w:val="00A96BAE"/>
    <w:rsid w:val="00A96C53"/>
    <w:rsid w:val="00A97AB3"/>
    <w:rsid w:val="00AA1246"/>
    <w:rsid w:val="00AA16A2"/>
    <w:rsid w:val="00AA227D"/>
    <w:rsid w:val="00AA295B"/>
    <w:rsid w:val="00AA333A"/>
    <w:rsid w:val="00AA4418"/>
    <w:rsid w:val="00AA57A5"/>
    <w:rsid w:val="00AA64C4"/>
    <w:rsid w:val="00AA66AB"/>
    <w:rsid w:val="00AB0357"/>
    <w:rsid w:val="00AB1D85"/>
    <w:rsid w:val="00AB1DDD"/>
    <w:rsid w:val="00AB39BC"/>
    <w:rsid w:val="00AB6E89"/>
    <w:rsid w:val="00AC172C"/>
    <w:rsid w:val="00AC1878"/>
    <w:rsid w:val="00AC1F5D"/>
    <w:rsid w:val="00AC2D8D"/>
    <w:rsid w:val="00AC59B6"/>
    <w:rsid w:val="00AC5EDD"/>
    <w:rsid w:val="00AC66A9"/>
    <w:rsid w:val="00AD12EC"/>
    <w:rsid w:val="00AD23EE"/>
    <w:rsid w:val="00AD37C7"/>
    <w:rsid w:val="00AD7463"/>
    <w:rsid w:val="00AD7628"/>
    <w:rsid w:val="00AE3456"/>
    <w:rsid w:val="00AE5D33"/>
    <w:rsid w:val="00AE69A4"/>
    <w:rsid w:val="00AE72D3"/>
    <w:rsid w:val="00AE7419"/>
    <w:rsid w:val="00AE77A7"/>
    <w:rsid w:val="00AF0837"/>
    <w:rsid w:val="00AF1EFC"/>
    <w:rsid w:val="00AF41B5"/>
    <w:rsid w:val="00AF5398"/>
    <w:rsid w:val="00B02220"/>
    <w:rsid w:val="00B02451"/>
    <w:rsid w:val="00B032D1"/>
    <w:rsid w:val="00B04769"/>
    <w:rsid w:val="00B07EED"/>
    <w:rsid w:val="00B10631"/>
    <w:rsid w:val="00B114EA"/>
    <w:rsid w:val="00B121F3"/>
    <w:rsid w:val="00B1585D"/>
    <w:rsid w:val="00B15E2E"/>
    <w:rsid w:val="00B15EB7"/>
    <w:rsid w:val="00B17A50"/>
    <w:rsid w:val="00B20ED9"/>
    <w:rsid w:val="00B22392"/>
    <w:rsid w:val="00B2296D"/>
    <w:rsid w:val="00B242F4"/>
    <w:rsid w:val="00B25084"/>
    <w:rsid w:val="00B25ADE"/>
    <w:rsid w:val="00B26AFC"/>
    <w:rsid w:val="00B26D02"/>
    <w:rsid w:val="00B276B9"/>
    <w:rsid w:val="00B300BF"/>
    <w:rsid w:val="00B300EA"/>
    <w:rsid w:val="00B327D5"/>
    <w:rsid w:val="00B33411"/>
    <w:rsid w:val="00B33ABF"/>
    <w:rsid w:val="00B34408"/>
    <w:rsid w:val="00B34B45"/>
    <w:rsid w:val="00B422AA"/>
    <w:rsid w:val="00B43312"/>
    <w:rsid w:val="00B43B62"/>
    <w:rsid w:val="00B44996"/>
    <w:rsid w:val="00B4608C"/>
    <w:rsid w:val="00B50B0C"/>
    <w:rsid w:val="00B50D7A"/>
    <w:rsid w:val="00B605A4"/>
    <w:rsid w:val="00B64554"/>
    <w:rsid w:val="00B64707"/>
    <w:rsid w:val="00B66CB6"/>
    <w:rsid w:val="00B676EC"/>
    <w:rsid w:val="00B70D01"/>
    <w:rsid w:val="00B732FD"/>
    <w:rsid w:val="00B74348"/>
    <w:rsid w:val="00B74668"/>
    <w:rsid w:val="00B7548A"/>
    <w:rsid w:val="00B76235"/>
    <w:rsid w:val="00B77686"/>
    <w:rsid w:val="00B8085D"/>
    <w:rsid w:val="00B877D2"/>
    <w:rsid w:val="00B90533"/>
    <w:rsid w:val="00B912C0"/>
    <w:rsid w:val="00B91E6F"/>
    <w:rsid w:val="00B93FBE"/>
    <w:rsid w:val="00B96EEC"/>
    <w:rsid w:val="00BA087F"/>
    <w:rsid w:val="00BA29C7"/>
    <w:rsid w:val="00BA383D"/>
    <w:rsid w:val="00BA4302"/>
    <w:rsid w:val="00BA4D09"/>
    <w:rsid w:val="00BA5291"/>
    <w:rsid w:val="00BA66B7"/>
    <w:rsid w:val="00BA75C7"/>
    <w:rsid w:val="00BB18C8"/>
    <w:rsid w:val="00BB24BE"/>
    <w:rsid w:val="00BB4340"/>
    <w:rsid w:val="00BB4A95"/>
    <w:rsid w:val="00BB5D9C"/>
    <w:rsid w:val="00BB7CFA"/>
    <w:rsid w:val="00BC2306"/>
    <w:rsid w:val="00BD0519"/>
    <w:rsid w:val="00BD256C"/>
    <w:rsid w:val="00BD3B0C"/>
    <w:rsid w:val="00BD4645"/>
    <w:rsid w:val="00BD4DC1"/>
    <w:rsid w:val="00BD5B37"/>
    <w:rsid w:val="00BD6218"/>
    <w:rsid w:val="00BD71B4"/>
    <w:rsid w:val="00BD77ED"/>
    <w:rsid w:val="00BE0766"/>
    <w:rsid w:val="00BE0FFF"/>
    <w:rsid w:val="00BE1CC5"/>
    <w:rsid w:val="00BE2E91"/>
    <w:rsid w:val="00BE3EC2"/>
    <w:rsid w:val="00BE496B"/>
    <w:rsid w:val="00BE6841"/>
    <w:rsid w:val="00BF1EBF"/>
    <w:rsid w:val="00BF2074"/>
    <w:rsid w:val="00BF4DC6"/>
    <w:rsid w:val="00BF4EE0"/>
    <w:rsid w:val="00BF56E6"/>
    <w:rsid w:val="00C00743"/>
    <w:rsid w:val="00C02CAE"/>
    <w:rsid w:val="00C055DF"/>
    <w:rsid w:val="00C05D68"/>
    <w:rsid w:val="00C0642A"/>
    <w:rsid w:val="00C0690F"/>
    <w:rsid w:val="00C07C3C"/>
    <w:rsid w:val="00C11512"/>
    <w:rsid w:val="00C12FC1"/>
    <w:rsid w:val="00C13AF7"/>
    <w:rsid w:val="00C20245"/>
    <w:rsid w:val="00C245A6"/>
    <w:rsid w:val="00C31668"/>
    <w:rsid w:val="00C3461B"/>
    <w:rsid w:val="00C34EEE"/>
    <w:rsid w:val="00C355E4"/>
    <w:rsid w:val="00C35EA2"/>
    <w:rsid w:val="00C363D2"/>
    <w:rsid w:val="00C3714D"/>
    <w:rsid w:val="00C371E1"/>
    <w:rsid w:val="00C40A1B"/>
    <w:rsid w:val="00C44932"/>
    <w:rsid w:val="00C46151"/>
    <w:rsid w:val="00C46CDF"/>
    <w:rsid w:val="00C479AD"/>
    <w:rsid w:val="00C47CC4"/>
    <w:rsid w:val="00C47D49"/>
    <w:rsid w:val="00C5096B"/>
    <w:rsid w:val="00C51AB7"/>
    <w:rsid w:val="00C5373A"/>
    <w:rsid w:val="00C5378A"/>
    <w:rsid w:val="00C54B54"/>
    <w:rsid w:val="00C5736C"/>
    <w:rsid w:val="00C57C64"/>
    <w:rsid w:val="00C60773"/>
    <w:rsid w:val="00C60F60"/>
    <w:rsid w:val="00C62FFD"/>
    <w:rsid w:val="00C639AF"/>
    <w:rsid w:val="00C64743"/>
    <w:rsid w:val="00C67142"/>
    <w:rsid w:val="00C6723E"/>
    <w:rsid w:val="00C70AB5"/>
    <w:rsid w:val="00C70E0E"/>
    <w:rsid w:val="00C72F5F"/>
    <w:rsid w:val="00C7352D"/>
    <w:rsid w:val="00C738B9"/>
    <w:rsid w:val="00C741A8"/>
    <w:rsid w:val="00C74E88"/>
    <w:rsid w:val="00C77019"/>
    <w:rsid w:val="00C77751"/>
    <w:rsid w:val="00C77C67"/>
    <w:rsid w:val="00C818DC"/>
    <w:rsid w:val="00C82863"/>
    <w:rsid w:val="00C82900"/>
    <w:rsid w:val="00C84994"/>
    <w:rsid w:val="00C84B13"/>
    <w:rsid w:val="00C86985"/>
    <w:rsid w:val="00C86A98"/>
    <w:rsid w:val="00C87D21"/>
    <w:rsid w:val="00C924E4"/>
    <w:rsid w:val="00C92B41"/>
    <w:rsid w:val="00C940B6"/>
    <w:rsid w:val="00C9433A"/>
    <w:rsid w:val="00C97D75"/>
    <w:rsid w:val="00CA6FAB"/>
    <w:rsid w:val="00CA7F4B"/>
    <w:rsid w:val="00CB083E"/>
    <w:rsid w:val="00CB1D35"/>
    <w:rsid w:val="00CB6681"/>
    <w:rsid w:val="00CB7085"/>
    <w:rsid w:val="00CC445C"/>
    <w:rsid w:val="00CC45F9"/>
    <w:rsid w:val="00CC5EB6"/>
    <w:rsid w:val="00CC76B3"/>
    <w:rsid w:val="00CD23FC"/>
    <w:rsid w:val="00CD50A5"/>
    <w:rsid w:val="00CE1CCC"/>
    <w:rsid w:val="00CE3ED3"/>
    <w:rsid w:val="00CE6151"/>
    <w:rsid w:val="00CE698C"/>
    <w:rsid w:val="00CE7F88"/>
    <w:rsid w:val="00CF33B9"/>
    <w:rsid w:val="00CF33F4"/>
    <w:rsid w:val="00CF3442"/>
    <w:rsid w:val="00CF420D"/>
    <w:rsid w:val="00CF4A0F"/>
    <w:rsid w:val="00CF4B87"/>
    <w:rsid w:val="00CF5DA1"/>
    <w:rsid w:val="00D00FA1"/>
    <w:rsid w:val="00D025B0"/>
    <w:rsid w:val="00D03203"/>
    <w:rsid w:val="00D048D3"/>
    <w:rsid w:val="00D05458"/>
    <w:rsid w:val="00D05588"/>
    <w:rsid w:val="00D07420"/>
    <w:rsid w:val="00D10DCC"/>
    <w:rsid w:val="00D12052"/>
    <w:rsid w:val="00D131F0"/>
    <w:rsid w:val="00D152F4"/>
    <w:rsid w:val="00D15B29"/>
    <w:rsid w:val="00D202EF"/>
    <w:rsid w:val="00D226B0"/>
    <w:rsid w:val="00D233E5"/>
    <w:rsid w:val="00D24101"/>
    <w:rsid w:val="00D26196"/>
    <w:rsid w:val="00D26C39"/>
    <w:rsid w:val="00D31531"/>
    <w:rsid w:val="00D364E7"/>
    <w:rsid w:val="00D42D31"/>
    <w:rsid w:val="00D448A8"/>
    <w:rsid w:val="00D44A3B"/>
    <w:rsid w:val="00D47517"/>
    <w:rsid w:val="00D51FAF"/>
    <w:rsid w:val="00D53A0C"/>
    <w:rsid w:val="00D53CD7"/>
    <w:rsid w:val="00D54965"/>
    <w:rsid w:val="00D54E45"/>
    <w:rsid w:val="00D5549F"/>
    <w:rsid w:val="00D56E55"/>
    <w:rsid w:val="00D576AE"/>
    <w:rsid w:val="00D578CA"/>
    <w:rsid w:val="00D57CCA"/>
    <w:rsid w:val="00D57FB5"/>
    <w:rsid w:val="00D614F9"/>
    <w:rsid w:val="00D65E74"/>
    <w:rsid w:val="00D67653"/>
    <w:rsid w:val="00D7009C"/>
    <w:rsid w:val="00D702CF"/>
    <w:rsid w:val="00D7167B"/>
    <w:rsid w:val="00D71BE2"/>
    <w:rsid w:val="00D73C3B"/>
    <w:rsid w:val="00D73FC4"/>
    <w:rsid w:val="00D75EE4"/>
    <w:rsid w:val="00D76580"/>
    <w:rsid w:val="00D76A60"/>
    <w:rsid w:val="00D8028F"/>
    <w:rsid w:val="00D804C1"/>
    <w:rsid w:val="00D80D13"/>
    <w:rsid w:val="00D83F03"/>
    <w:rsid w:val="00D83FEA"/>
    <w:rsid w:val="00D8450F"/>
    <w:rsid w:val="00D84673"/>
    <w:rsid w:val="00D85270"/>
    <w:rsid w:val="00D85469"/>
    <w:rsid w:val="00D85777"/>
    <w:rsid w:val="00D86EAE"/>
    <w:rsid w:val="00D87C9A"/>
    <w:rsid w:val="00D95F0D"/>
    <w:rsid w:val="00DA21C6"/>
    <w:rsid w:val="00DA57B7"/>
    <w:rsid w:val="00DA6C3C"/>
    <w:rsid w:val="00DB3C61"/>
    <w:rsid w:val="00DB5A6F"/>
    <w:rsid w:val="00DB65AB"/>
    <w:rsid w:val="00DB6B1A"/>
    <w:rsid w:val="00DB70A6"/>
    <w:rsid w:val="00DB72D7"/>
    <w:rsid w:val="00DB7934"/>
    <w:rsid w:val="00DC0B97"/>
    <w:rsid w:val="00DC126D"/>
    <w:rsid w:val="00DC1BEA"/>
    <w:rsid w:val="00DC2EBC"/>
    <w:rsid w:val="00DC4A21"/>
    <w:rsid w:val="00DC55D1"/>
    <w:rsid w:val="00DC60F3"/>
    <w:rsid w:val="00DC6368"/>
    <w:rsid w:val="00DC681E"/>
    <w:rsid w:val="00DD1D87"/>
    <w:rsid w:val="00DD2E55"/>
    <w:rsid w:val="00DD3153"/>
    <w:rsid w:val="00DD3387"/>
    <w:rsid w:val="00DD3A52"/>
    <w:rsid w:val="00DE2F82"/>
    <w:rsid w:val="00DE3896"/>
    <w:rsid w:val="00DE4C03"/>
    <w:rsid w:val="00DE5844"/>
    <w:rsid w:val="00DE6079"/>
    <w:rsid w:val="00DE7377"/>
    <w:rsid w:val="00DF3876"/>
    <w:rsid w:val="00DF46C9"/>
    <w:rsid w:val="00DF4DB6"/>
    <w:rsid w:val="00DF4EDF"/>
    <w:rsid w:val="00E053CE"/>
    <w:rsid w:val="00E05C56"/>
    <w:rsid w:val="00E0680A"/>
    <w:rsid w:val="00E06D42"/>
    <w:rsid w:val="00E075AE"/>
    <w:rsid w:val="00E10293"/>
    <w:rsid w:val="00E11109"/>
    <w:rsid w:val="00E13145"/>
    <w:rsid w:val="00E1433B"/>
    <w:rsid w:val="00E148AF"/>
    <w:rsid w:val="00E14BF1"/>
    <w:rsid w:val="00E16C60"/>
    <w:rsid w:val="00E1702F"/>
    <w:rsid w:val="00E171C9"/>
    <w:rsid w:val="00E17757"/>
    <w:rsid w:val="00E20E4F"/>
    <w:rsid w:val="00E23188"/>
    <w:rsid w:val="00E23B2F"/>
    <w:rsid w:val="00E267E3"/>
    <w:rsid w:val="00E2692A"/>
    <w:rsid w:val="00E30083"/>
    <w:rsid w:val="00E310F7"/>
    <w:rsid w:val="00E34E00"/>
    <w:rsid w:val="00E36FBD"/>
    <w:rsid w:val="00E3721F"/>
    <w:rsid w:val="00E37695"/>
    <w:rsid w:val="00E40151"/>
    <w:rsid w:val="00E4107B"/>
    <w:rsid w:val="00E426D1"/>
    <w:rsid w:val="00E42A84"/>
    <w:rsid w:val="00E42B18"/>
    <w:rsid w:val="00E4395A"/>
    <w:rsid w:val="00E50710"/>
    <w:rsid w:val="00E51FB3"/>
    <w:rsid w:val="00E52959"/>
    <w:rsid w:val="00E536F6"/>
    <w:rsid w:val="00E5425D"/>
    <w:rsid w:val="00E5453E"/>
    <w:rsid w:val="00E56DE1"/>
    <w:rsid w:val="00E608D8"/>
    <w:rsid w:val="00E62248"/>
    <w:rsid w:val="00E62D25"/>
    <w:rsid w:val="00E64F0F"/>
    <w:rsid w:val="00E64FFC"/>
    <w:rsid w:val="00E656AB"/>
    <w:rsid w:val="00E66D2B"/>
    <w:rsid w:val="00E67CB8"/>
    <w:rsid w:val="00E7097E"/>
    <w:rsid w:val="00E7132C"/>
    <w:rsid w:val="00E72402"/>
    <w:rsid w:val="00E76573"/>
    <w:rsid w:val="00E80780"/>
    <w:rsid w:val="00E80BDF"/>
    <w:rsid w:val="00E82315"/>
    <w:rsid w:val="00E82E8C"/>
    <w:rsid w:val="00E86D22"/>
    <w:rsid w:val="00E950A0"/>
    <w:rsid w:val="00E9652B"/>
    <w:rsid w:val="00E975C2"/>
    <w:rsid w:val="00EA6DD0"/>
    <w:rsid w:val="00EB08C5"/>
    <w:rsid w:val="00EB2BFB"/>
    <w:rsid w:val="00EB3EBB"/>
    <w:rsid w:val="00EB5245"/>
    <w:rsid w:val="00EB654B"/>
    <w:rsid w:val="00EC1CC0"/>
    <w:rsid w:val="00EC30C2"/>
    <w:rsid w:val="00EC5860"/>
    <w:rsid w:val="00EC64D3"/>
    <w:rsid w:val="00EC7639"/>
    <w:rsid w:val="00ED1285"/>
    <w:rsid w:val="00ED300F"/>
    <w:rsid w:val="00ED55C1"/>
    <w:rsid w:val="00ED7669"/>
    <w:rsid w:val="00ED7EE1"/>
    <w:rsid w:val="00EE02ED"/>
    <w:rsid w:val="00EE2F78"/>
    <w:rsid w:val="00EE308B"/>
    <w:rsid w:val="00EE4AD6"/>
    <w:rsid w:val="00EF0D85"/>
    <w:rsid w:val="00EF1632"/>
    <w:rsid w:val="00EF1744"/>
    <w:rsid w:val="00EF2216"/>
    <w:rsid w:val="00EF440E"/>
    <w:rsid w:val="00EF453D"/>
    <w:rsid w:val="00EF5A36"/>
    <w:rsid w:val="00F00086"/>
    <w:rsid w:val="00F00F49"/>
    <w:rsid w:val="00F03974"/>
    <w:rsid w:val="00F039CD"/>
    <w:rsid w:val="00F04169"/>
    <w:rsid w:val="00F06494"/>
    <w:rsid w:val="00F06EBC"/>
    <w:rsid w:val="00F10337"/>
    <w:rsid w:val="00F11243"/>
    <w:rsid w:val="00F11BFE"/>
    <w:rsid w:val="00F121C8"/>
    <w:rsid w:val="00F12F3A"/>
    <w:rsid w:val="00F1351C"/>
    <w:rsid w:val="00F1356B"/>
    <w:rsid w:val="00F153DD"/>
    <w:rsid w:val="00F15B3E"/>
    <w:rsid w:val="00F16EB7"/>
    <w:rsid w:val="00F171CB"/>
    <w:rsid w:val="00F17C56"/>
    <w:rsid w:val="00F2034F"/>
    <w:rsid w:val="00F22286"/>
    <w:rsid w:val="00F24D69"/>
    <w:rsid w:val="00F33A75"/>
    <w:rsid w:val="00F33D02"/>
    <w:rsid w:val="00F340F0"/>
    <w:rsid w:val="00F34138"/>
    <w:rsid w:val="00F35C68"/>
    <w:rsid w:val="00F3618D"/>
    <w:rsid w:val="00F36F0E"/>
    <w:rsid w:val="00F37C5C"/>
    <w:rsid w:val="00F405E2"/>
    <w:rsid w:val="00F42874"/>
    <w:rsid w:val="00F448B1"/>
    <w:rsid w:val="00F4561B"/>
    <w:rsid w:val="00F45E90"/>
    <w:rsid w:val="00F4658A"/>
    <w:rsid w:val="00F47209"/>
    <w:rsid w:val="00F50C96"/>
    <w:rsid w:val="00F5178A"/>
    <w:rsid w:val="00F55582"/>
    <w:rsid w:val="00F563EC"/>
    <w:rsid w:val="00F57B82"/>
    <w:rsid w:val="00F60718"/>
    <w:rsid w:val="00F60BBF"/>
    <w:rsid w:val="00F618C5"/>
    <w:rsid w:val="00F6194F"/>
    <w:rsid w:val="00F63AB8"/>
    <w:rsid w:val="00F648A0"/>
    <w:rsid w:val="00F64DD5"/>
    <w:rsid w:val="00F6563F"/>
    <w:rsid w:val="00F66798"/>
    <w:rsid w:val="00F667C9"/>
    <w:rsid w:val="00F7611D"/>
    <w:rsid w:val="00F7767D"/>
    <w:rsid w:val="00F832C0"/>
    <w:rsid w:val="00F83D38"/>
    <w:rsid w:val="00F859C3"/>
    <w:rsid w:val="00F86302"/>
    <w:rsid w:val="00F946CC"/>
    <w:rsid w:val="00F956BE"/>
    <w:rsid w:val="00FA1455"/>
    <w:rsid w:val="00FA16F2"/>
    <w:rsid w:val="00FA6AE0"/>
    <w:rsid w:val="00FB038A"/>
    <w:rsid w:val="00FB794F"/>
    <w:rsid w:val="00FC0957"/>
    <w:rsid w:val="00FC144A"/>
    <w:rsid w:val="00FC24AC"/>
    <w:rsid w:val="00FC2639"/>
    <w:rsid w:val="00FC47CE"/>
    <w:rsid w:val="00FC4A43"/>
    <w:rsid w:val="00FC5885"/>
    <w:rsid w:val="00FC63D3"/>
    <w:rsid w:val="00FC66FA"/>
    <w:rsid w:val="00FD1807"/>
    <w:rsid w:val="00FD3580"/>
    <w:rsid w:val="00FD3DD0"/>
    <w:rsid w:val="00FD4751"/>
    <w:rsid w:val="00FE22AB"/>
    <w:rsid w:val="00FE35F7"/>
    <w:rsid w:val="00FE4183"/>
    <w:rsid w:val="00FE41C7"/>
    <w:rsid w:val="00FE5C54"/>
    <w:rsid w:val="00FE6F61"/>
    <w:rsid w:val="00FE7819"/>
    <w:rsid w:val="00FF17D8"/>
    <w:rsid w:val="00FF3CA0"/>
    <w:rsid w:val="00FF7D22"/>
    <w:rsid w:val="016AAA35"/>
    <w:rsid w:val="0196C308"/>
    <w:rsid w:val="01A930A6"/>
    <w:rsid w:val="02BB53C3"/>
    <w:rsid w:val="0326DB3C"/>
    <w:rsid w:val="033B1F5C"/>
    <w:rsid w:val="034B13C6"/>
    <w:rsid w:val="036C6FFD"/>
    <w:rsid w:val="037C0FF1"/>
    <w:rsid w:val="03B61497"/>
    <w:rsid w:val="03D49DAA"/>
    <w:rsid w:val="03EF0B6C"/>
    <w:rsid w:val="05D2448F"/>
    <w:rsid w:val="063E8BEA"/>
    <w:rsid w:val="0669040F"/>
    <w:rsid w:val="06A97C0F"/>
    <w:rsid w:val="070AB589"/>
    <w:rsid w:val="079AC5F6"/>
    <w:rsid w:val="07BCE3A6"/>
    <w:rsid w:val="08757D4B"/>
    <w:rsid w:val="08FD65C7"/>
    <w:rsid w:val="091EFA8A"/>
    <w:rsid w:val="097A89F9"/>
    <w:rsid w:val="098CBB6A"/>
    <w:rsid w:val="0B3DB885"/>
    <w:rsid w:val="0C60FBBB"/>
    <w:rsid w:val="0CCA61F6"/>
    <w:rsid w:val="0D674F43"/>
    <w:rsid w:val="0DC85628"/>
    <w:rsid w:val="0DF8584C"/>
    <w:rsid w:val="0E1D610A"/>
    <w:rsid w:val="0FC5515F"/>
    <w:rsid w:val="108A7AE4"/>
    <w:rsid w:val="10DBC857"/>
    <w:rsid w:val="10EDA794"/>
    <w:rsid w:val="11614CAE"/>
    <w:rsid w:val="11A106A9"/>
    <w:rsid w:val="121797D5"/>
    <w:rsid w:val="1241A535"/>
    <w:rsid w:val="12D8DD25"/>
    <w:rsid w:val="12F2D5C2"/>
    <w:rsid w:val="13227E90"/>
    <w:rsid w:val="1356442D"/>
    <w:rsid w:val="136105BA"/>
    <w:rsid w:val="13BD9DC3"/>
    <w:rsid w:val="140C04B5"/>
    <w:rsid w:val="169A445A"/>
    <w:rsid w:val="169A939E"/>
    <w:rsid w:val="17EDAE78"/>
    <w:rsid w:val="18B57629"/>
    <w:rsid w:val="18D684A6"/>
    <w:rsid w:val="1905AE7A"/>
    <w:rsid w:val="1932F1A2"/>
    <w:rsid w:val="1934F5DF"/>
    <w:rsid w:val="1954A7A7"/>
    <w:rsid w:val="196E5D23"/>
    <w:rsid w:val="19D8669A"/>
    <w:rsid w:val="1ABA06B8"/>
    <w:rsid w:val="1B5679C8"/>
    <w:rsid w:val="1C024ADB"/>
    <w:rsid w:val="1CA5510A"/>
    <w:rsid w:val="1D4BE1D5"/>
    <w:rsid w:val="1D5B822D"/>
    <w:rsid w:val="1E1AF449"/>
    <w:rsid w:val="1EC63E59"/>
    <w:rsid w:val="1EF84EAD"/>
    <w:rsid w:val="20169412"/>
    <w:rsid w:val="20551751"/>
    <w:rsid w:val="20A3CA84"/>
    <w:rsid w:val="20A8F4E7"/>
    <w:rsid w:val="2111E1D1"/>
    <w:rsid w:val="211209AE"/>
    <w:rsid w:val="21F09378"/>
    <w:rsid w:val="220D914F"/>
    <w:rsid w:val="2411A0E9"/>
    <w:rsid w:val="2496E520"/>
    <w:rsid w:val="24A967EB"/>
    <w:rsid w:val="252501BA"/>
    <w:rsid w:val="2557A762"/>
    <w:rsid w:val="255A0FCF"/>
    <w:rsid w:val="25CD33EE"/>
    <w:rsid w:val="25DBEA2F"/>
    <w:rsid w:val="275F54CF"/>
    <w:rsid w:val="27814B32"/>
    <w:rsid w:val="285729DC"/>
    <w:rsid w:val="2871EBF6"/>
    <w:rsid w:val="2986A3E8"/>
    <w:rsid w:val="29D1EB85"/>
    <w:rsid w:val="29E93CE3"/>
    <w:rsid w:val="29E9A340"/>
    <w:rsid w:val="2A75D095"/>
    <w:rsid w:val="2A7AA4F9"/>
    <w:rsid w:val="2AB20FE2"/>
    <w:rsid w:val="2AF2D706"/>
    <w:rsid w:val="2AFB5DC5"/>
    <w:rsid w:val="2AFED71B"/>
    <w:rsid w:val="2B59B956"/>
    <w:rsid w:val="2B61D273"/>
    <w:rsid w:val="2BAE9707"/>
    <w:rsid w:val="2BEE752B"/>
    <w:rsid w:val="2BFD29C9"/>
    <w:rsid w:val="2C54BC55"/>
    <w:rsid w:val="2CA92E5D"/>
    <w:rsid w:val="2D487F48"/>
    <w:rsid w:val="2DDF6D33"/>
    <w:rsid w:val="2E853CED"/>
    <w:rsid w:val="2EF79211"/>
    <w:rsid w:val="307EC9DC"/>
    <w:rsid w:val="3128C4F0"/>
    <w:rsid w:val="31B0F6D6"/>
    <w:rsid w:val="31BAA2F8"/>
    <w:rsid w:val="32053B5B"/>
    <w:rsid w:val="321BF06B"/>
    <w:rsid w:val="3251BF93"/>
    <w:rsid w:val="329C2BE3"/>
    <w:rsid w:val="32B08F9D"/>
    <w:rsid w:val="32F83627"/>
    <w:rsid w:val="33185FD8"/>
    <w:rsid w:val="3373FAE8"/>
    <w:rsid w:val="33A8FF8D"/>
    <w:rsid w:val="33CEE726"/>
    <w:rsid w:val="3407332C"/>
    <w:rsid w:val="342F1D0C"/>
    <w:rsid w:val="34588944"/>
    <w:rsid w:val="352A11EB"/>
    <w:rsid w:val="354264C5"/>
    <w:rsid w:val="35523AFF"/>
    <w:rsid w:val="360BD7A1"/>
    <w:rsid w:val="36509C5D"/>
    <w:rsid w:val="36EE0B60"/>
    <w:rsid w:val="37680CF6"/>
    <w:rsid w:val="37A4631F"/>
    <w:rsid w:val="3865EA85"/>
    <w:rsid w:val="388B31EF"/>
    <w:rsid w:val="388BCAEE"/>
    <w:rsid w:val="38F051C4"/>
    <w:rsid w:val="39437863"/>
    <w:rsid w:val="39456E78"/>
    <w:rsid w:val="3948770C"/>
    <w:rsid w:val="395E4A26"/>
    <w:rsid w:val="3A38ED39"/>
    <w:rsid w:val="3A508CBE"/>
    <w:rsid w:val="3A5695D9"/>
    <w:rsid w:val="3ACDC2D7"/>
    <w:rsid w:val="3AE39D4E"/>
    <w:rsid w:val="3B22075C"/>
    <w:rsid w:val="3B43EBF2"/>
    <w:rsid w:val="3B633A72"/>
    <w:rsid w:val="3BA9AA54"/>
    <w:rsid w:val="3C6B8391"/>
    <w:rsid w:val="3D15AAEE"/>
    <w:rsid w:val="3D92C49A"/>
    <w:rsid w:val="3E0B85F3"/>
    <w:rsid w:val="3E6F2D81"/>
    <w:rsid w:val="3F3E9872"/>
    <w:rsid w:val="3F4358D3"/>
    <w:rsid w:val="3F99147D"/>
    <w:rsid w:val="40555D5C"/>
    <w:rsid w:val="40AB9A21"/>
    <w:rsid w:val="4167F84E"/>
    <w:rsid w:val="41783598"/>
    <w:rsid w:val="4206053D"/>
    <w:rsid w:val="435FDEC0"/>
    <w:rsid w:val="440A83A6"/>
    <w:rsid w:val="44D24189"/>
    <w:rsid w:val="45EFA3C9"/>
    <w:rsid w:val="46042C2F"/>
    <w:rsid w:val="461FC879"/>
    <w:rsid w:val="46BBA064"/>
    <w:rsid w:val="47151429"/>
    <w:rsid w:val="473D3AC0"/>
    <w:rsid w:val="483D262B"/>
    <w:rsid w:val="483FDD69"/>
    <w:rsid w:val="48C543A5"/>
    <w:rsid w:val="48DC9F64"/>
    <w:rsid w:val="49FD5B4A"/>
    <w:rsid w:val="4A90C782"/>
    <w:rsid w:val="4B094CEC"/>
    <w:rsid w:val="4B60D18D"/>
    <w:rsid w:val="4B99DBA9"/>
    <w:rsid w:val="4C531466"/>
    <w:rsid w:val="4C8A11CF"/>
    <w:rsid w:val="4CF54CDB"/>
    <w:rsid w:val="4D40EB2F"/>
    <w:rsid w:val="4D564772"/>
    <w:rsid w:val="4DE18005"/>
    <w:rsid w:val="4DE5A2D6"/>
    <w:rsid w:val="4ECDC860"/>
    <w:rsid w:val="4EFE0638"/>
    <w:rsid w:val="4F1A6EFC"/>
    <w:rsid w:val="4F2F72D2"/>
    <w:rsid w:val="501D8AA5"/>
    <w:rsid w:val="5141D5CD"/>
    <w:rsid w:val="5196B468"/>
    <w:rsid w:val="519F9E71"/>
    <w:rsid w:val="52C9192C"/>
    <w:rsid w:val="52D3C042"/>
    <w:rsid w:val="52EBA6BB"/>
    <w:rsid w:val="531B877B"/>
    <w:rsid w:val="533CCED8"/>
    <w:rsid w:val="53D1775B"/>
    <w:rsid w:val="541DECB6"/>
    <w:rsid w:val="547C2BF4"/>
    <w:rsid w:val="548A42CC"/>
    <w:rsid w:val="54F31721"/>
    <w:rsid w:val="5577AF4B"/>
    <w:rsid w:val="55887590"/>
    <w:rsid w:val="55F9456E"/>
    <w:rsid w:val="565A7357"/>
    <w:rsid w:val="5697EAAF"/>
    <w:rsid w:val="56E10F4C"/>
    <w:rsid w:val="570A6E4B"/>
    <w:rsid w:val="574BAB51"/>
    <w:rsid w:val="5790BE63"/>
    <w:rsid w:val="57C0C26D"/>
    <w:rsid w:val="57EBB9E2"/>
    <w:rsid w:val="5873A3EF"/>
    <w:rsid w:val="588BC021"/>
    <w:rsid w:val="58A1C58C"/>
    <w:rsid w:val="590B40E1"/>
    <w:rsid w:val="59BB9AA5"/>
    <w:rsid w:val="5AD6509F"/>
    <w:rsid w:val="5B34340F"/>
    <w:rsid w:val="5B660635"/>
    <w:rsid w:val="5BE25329"/>
    <w:rsid w:val="5C4727FC"/>
    <w:rsid w:val="5C627138"/>
    <w:rsid w:val="5C73DFEC"/>
    <w:rsid w:val="5C96B121"/>
    <w:rsid w:val="5CB4714A"/>
    <w:rsid w:val="5D97838B"/>
    <w:rsid w:val="5E48EBAE"/>
    <w:rsid w:val="5E5C44D0"/>
    <w:rsid w:val="5EBE4984"/>
    <w:rsid w:val="5F69E22F"/>
    <w:rsid w:val="5FA15493"/>
    <w:rsid w:val="609276D5"/>
    <w:rsid w:val="60B7A026"/>
    <w:rsid w:val="60DF33B2"/>
    <w:rsid w:val="6168951E"/>
    <w:rsid w:val="61C4C070"/>
    <w:rsid w:val="62D5212A"/>
    <w:rsid w:val="637F01BD"/>
    <w:rsid w:val="63CD2113"/>
    <w:rsid w:val="63FB83F9"/>
    <w:rsid w:val="63FF5C7F"/>
    <w:rsid w:val="640BD1F4"/>
    <w:rsid w:val="6449E84D"/>
    <w:rsid w:val="65349528"/>
    <w:rsid w:val="653AA790"/>
    <w:rsid w:val="65500641"/>
    <w:rsid w:val="662DB78B"/>
    <w:rsid w:val="67175B83"/>
    <w:rsid w:val="67739EC8"/>
    <w:rsid w:val="67B4BCC9"/>
    <w:rsid w:val="683C5F19"/>
    <w:rsid w:val="68729852"/>
    <w:rsid w:val="69447C57"/>
    <w:rsid w:val="699F488C"/>
    <w:rsid w:val="69F577E4"/>
    <w:rsid w:val="6A0D52ED"/>
    <w:rsid w:val="6A3E9A59"/>
    <w:rsid w:val="6A5103B0"/>
    <w:rsid w:val="6AC734BE"/>
    <w:rsid w:val="6B2E0160"/>
    <w:rsid w:val="6BB45FF1"/>
    <w:rsid w:val="6BF4D966"/>
    <w:rsid w:val="6C98FE6A"/>
    <w:rsid w:val="6D7DF1E7"/>
    <w:rsid w:val="6D86E442"/>
    <w:rsid w:val="6D88FDB6"/>
    <w:rsid w:val="6DB562C0"/>
    <w:rsid w:val="6DC59A57"/>
    <w:rsid w:val="6DEFC1AB"/>
    <w:rsid w:val="6DF231C5"/>
    <w:rsid w:val="6E6C46E3"/>
    <w:rsid w:val="6EF0D1B4"/>
    <w:rsid w:val="6FEBC005"/>
    <w:rsid w:val="700CF616"/>
    <w:rsid w:val="705A1534"/>
    <w:rsid w:val="70AA208C"/>
    <w:rsid w:val="70AE95DE"/>
    <w:rsid w:val="70DAC444"/>
    <w:rsid w:val="711FF1F2"/>
    <w:rsid w:val="71301C34"/>
    <w:rsid w:val="7187ED72"/>
    <w:rsid w:val="718F2856"/>
    <w:rsid w:val="71B596AF"/>
    <w:rsid w:val="722E4C1F"/>
    <w:rsid w:val="7281F346"/>
    <w:rsid w:val="73097F28"/>
    <w:rsid w:val="730C11A4"/>
    <w:rsid w:val="7313CF2F"/>
    <w:rsid w:val="7329A496"/>
    <w:rsid w:val="73B0265D"/>
    <w:rsid w:val="74474356"/>
    <w:rsid w:val="74BBC217"/>
    <w:rsid w:val="74D9AFB3"/>
    <w:rsid w:val="74E64E66"/>
    <w:rsid w:val="75A8EB92"/>
    <w:rsid w:val="764E53A3"/>
    <w:rsid w:val="76B02B61"/>
    <w:rsid w:val="76BB9035"/>
    <w:rsid w:val="77C4A0EC"/>
    <w:rsid w:val="77EAF495"/>
    <w:rsid w:val="782B6B92"/>
    <w:rsid w:val="78E08C54"/>
    <w:rsid w:val="7AA92F49"/>
    <w:rsid w:val="7B6485C5"/>
    <w:rsid w:val="7C121AEB"/>
    <w:rsid w:val="7D51324E"/>
    <w:rsid w:val="7E69C8D9"/>
    <w:rsid w:val="7F259D75"/>
    <w:rsid w:val="7FF2BBD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C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before="360" w:after="360" w:line="360" w:lineRule="auto"/>
        <w:ind w:left="85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1488"/>
    <w:rPr>
      <w:rFonts w:eastAsia="Times New Roman" w:cs="Times New Roman"/>
      <w:kern w:val="0"/>
      <w:sz w:val="24"/>
      <w:szCs w:val="20"/>
      <w:lang w:eastAsia="pl-PL"/>
      <w14:ligatures w14:val="none"/>
    </w:rPr>
  </w:style>
  <w:style w:type="paragraph" w:styleId="Nagwek1">
    <w:name w:val="heading 1"/>
    <w:basedOn w:val="Normalny"/>
    <w:next w:val="Normalny"/>
    <w:link w:val="Nagwek1Znak"/>
    <w:qFormat/>
    <w:rsid w:val="001F6B4D"/>
    <w:pPr>
      <w:spacing w:before="840" w:after="840" w:line="276" w:lineRule="auto"/>
      <w:jc w:val="center"/>
      <w:outlineLvl w:val="0"/>
    </w:pPr>
    <w:rPr>
      <w:rFonts w:cstheme="minorBidi"/>
      <w:b/>
      <w:bCs/>
      <w:color w:val="1F3864" w:themeColor="accent1" w:themeShade="80"/>
      <w:sz w:val="26"/>
      <w:szCs w:val="36"/>
    </w:rPr>
  </w:style>
  <w:style w:type="paragraph" w:styleId="Nagwek2">
    <w:name w:val="heading 2"/>
    <w:basedOn w:val="Nagwek1"/>
    <w:next w:val="Normalny"/>
    <w:link w:val="Nagwek2Znak"/>
    <w:uiPriority w:val="9"/>
    <w:unhideWhenUsed/>
    <w:qFormat/>
    <w:rsid w:val="00B34B45"/>
    <w:pPr>
      <w:spacing w:before="480" w:after="480"/>
      <w:outlineLvl w:val="1"/>
    </w:pPr>
    <w:rPr>
      <w:szCs w:val="26"/>
    </w:rPr>
  </w:style>
  <w:style w:type="paragraph" w:styleId="Nagwek3">
    <w:name w:val="heading 3"/>
    <w:basedOn w:val="Normalny"/>
    <w:next w:val="Normalny"/>
    <w:link w:val="Nagwek3Znak"/>
    <w:uiPriority w:val="9"/>
    <w:unhideWhenUsed/>
    <w:qFormat/>
    <w:rsid w:val="005E2FE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F6B4D"/>
    <w:rPr>
      <w:rFonts w:eastAsia="Times New Roman"/>
      <w:b/>
      <w:bCs/>
      <w:color w:val="1F3864" w:themeColor="accent1" w:themeShade="80"/>
      <w:kern w:val="0"/>
      <w:sz w:val="26"/>
      <w:szCs w:val="36"/>
      <w:lang w:eastAsia="pl-PL"/>
      <w14:ligatures w14:val="none"/>
    </w:rPr>
  </w:style>
  <w:style w:type="paragraph" w:styleId="Tekstpodstawowy">
    <w:name w:val="Body Text"/>
    <w:basedOn w:val="Normalny"/>
    <w:link w:val="TekstpodstawowyZnak"/>
    <w:rsid w:val="004A67E6"/>
    <w:pPr>
      <w:jc w:val="both"/>
    </w:pPr>
  </w:style>
  <w:style w:type="character" w:customStyle="1" w:styleId="TekstpodstawowyZnak">
    <w:name w:val="Tekst podstawowy Znak"/>
    <w:basedOn w:val="Domylnaczcionkaakapitu"/>
    <w:link w:val="Tekstpodstawowy"/>
    <w:rsid w:val="004A67E6"/>
    <w:rPr>
      <w:rFonts w:ascii="Times New Roman" w:eastAsia="Times New Roman" w:hAnsi="Times New Roman" w:cs="Times New Roman"/>
      <w:kern w:val="0"/>
      <w:sz w:val="24"/>
      <w:szCs w:val="20"/>
      <w:lang w:eastAsia="pl-PL"/>
      <w14:ligatures w14:val="none"/>
    </w:rPr>
  </w:style>
  <w:style w:type="paragraph" w:styleId="Nagwek">
    <w:name w:val="header"/>
    <w:aliases w:val="Znak Znak"/>
    <w:basedOn w:val="Normalny"/>
    <w:link w:val="NagwekZnak"/>
    <w:rsid w:val="004A67E6"/>
    <w:pPr>
      <w:tabs>
        <w:tab w:val="center" w:pos="4536"/>
        <w:tab w:val="right" w:pos="9072"/>
      </w:tabs>
    </w:pPr>
  </w:style>
  <w:style w:type="character" w:customStyle="1" w:styleId="NagwekZnak">
    <w:name w:val="Nagłówek Znak"/>
    <w:aliases w:val="Znak Znak Znak"/>
    <w:basedOn w:val="Domylnaczcionkaakapitu"/>
    <w:link w:val="Nagwek"/>
    <w:rsid w:val="004A67E6"/>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rsid w:val="004A67E6"/>
    <w:pPr>
      <w:tabs>
        <w:tab w:val="center" w:pos="4536"/>
        <w:tab w:val="right" w:pos="9072"/>
      </w:tabs>
    </w:pPr>
  </w:style>
  <w:style w:type="character" w:customStyle="1" w:styleId="StopkaZnak">
    <w:name w:val="Stopka Znak"/>
    <w:basedOn w:val="Domylnaczcionkaakapitu"/>
    <w:link w:val="Stopka"/>
    <w:uiPriority w:val="99"/>
    <w:rsid w:val="004A67E6"/>
    <w:rPr>
      <w:rFonts w:ascii="Times New Roman" w:eastAsia="Times New Roman" w:hAnsi="Times New Roman" w:cs="Times New Roman"/>
      <w:kern w:val="0"/>
      <w:sz w:val="20"/>
      <w:szCs w:val="20"/>
      <w:lang w:eastAsia="pl-PL"/>
      <w14:ligatures w14:val="none"/>
    </w:rPr>
  </w:style>
  <w:style w:type="paragraph" w:customStyle="1" w:styleId="Tekstpodstawowywcity21">
    <w:name w:val="Tekst podstawowy wcięty 21"/>
    <w:basedOn w:val="Normalny"/>
    <w:rsid w:val="004A67E6"/>
    <w:pPr>
      <w:suppressAutoHyphens/>
      <w:ind w:left="360"/>
      <w:jc w:val="both"/>
    </w:pPr>
    <w:rPr>
      <w:szCs w:val="24"/>
      <w:lang w:eastAsia="ar-SA"/>
    </w:rPr>
  </w:style>
  <w:style w:type="paragraph" w:customStyle="1" w:styleId="Default">
    <w:name w:val="Default"/>
    <w:rsid w:val="004A67E6"/>
    <w:pPr>
      <w:autoSpaceDE w:val="0"/>
      <w:autoSpaceDN w:val="0"/>
      <w:adjustRightInd w:val="0"/>
      <w:spacing w:after="0" w:line="240" w:lineRule="auto"/>
    </w:pPr>
    <w:rPr>
      <w:rFonts w:ascii="Tahoma" w:eastAsia="Times New Roman" w:hAnsi="Tahoma" w:cs="Tahoma"/>
      <w:color w:val="000000"/>
      <w:kern w:val="0"/>
      <w:sz w:val="24"/>
      <w:szCs w:val="24"/>
      <w:lang w:eastAsia="pl-PL"/>
      <w14:ligatures w14:val="none"/>
    </w:rPr>
  </w:style>
  <w:style w:type="paragraph" w:styleId="Akapitzlist">
    <w:name w:val="List Paragraph"/>
    <w:basedOn w:val="Normalny"/>
    <w:uiPriority w:val="34"/>
    <w:qFormat/>
    <w:rsid w:val="009033DC"/>
    <w:pPr>
      <w:ind w:left="720"/>
      <w:contextualSpacing/>
    </w:pPr>
  </w:style>
  <w:style w:type="table" w:styleId="Tabela-Siatka">
    <w:name w:val="Table Grid"/>
    <w:basedOn w:val="Standardowy"/>
    <w:uiPriority w:val="39"/>
    <w:rsid w:val="0011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96EC8"/>
    <w:rPr>
      <w:color w:val="0563C1" w:themeColor="hyperlink"/>
      <w:u w:val="single"/>
    </w:rPr>
  </w:style>
  <w:style w:type="character" w:styleId="Nierozpoznanawzmianka">
    <w:name w:val="Unresolved Mention"/>
    <w:basedOn w:val="Domylnaczcionkaakapitu"/>
    <w:uiPriority w:val="99"/>
    <w:semiHidden/>
    <w:unhideWhenUsed/>
    <w:rsid w:val="00896EC8"/>
    <w:rPr>
      <w:color w:val="605E5C"/>
      <w:shd w:val="clear" w:color="auto" w:fill="E1DFDD"/>
    </w:rPr>
  </w:style>
  <w:style w:type="character" w:styleId="Odwoaniedokomentarza">
    <w:name w:val="annotation reference"/>
    <w:basedOn w:val="Domylnaczcionkaakapitu"/>
    <w:uiPriority w:val="99"/>
    <w:semiHidden/>
    <w:unhideWhenUsed/>
    <w:rsid w:val="00613989"/>
    <w:rPr>
      <w:sz w:val="16"/>
      <w:szCs w:val="16"/>
    </w:rPr>
  </w:style>
  <w:style w:type="paragraph" w:styleId="Tekstkomentarza">
    <w:name w:val="annotation text"/>
    <w:basedOn w:val="Normalny"/>
    <w:link w:val="TekstkomentarzaZnak"/>
    <w:uiPriority w:val="99"/>
    <w:unhideWhenUsed/>
    <w:rsid w:val="00613989"/>
  </w:style>
  <w:style w:type="character" w:customStyle="1" w:styleId="TekstkomentarzaZnak">
    <w:name w:val="Tekst komentarza Znak"/>
    <w:basedOn w:val="Domylnaczcionkaakapitu"/>
    <w:link w:val="Tekstkomentarza"/>
    <w:uiPriority w:val="99"/>
    <w:rsid w:val="00613989"/>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13989"/>
    <w:rPr>
      <w:b/>
      <w:bCs/>
    </w:rPr>
  </w:style>
  <w:style w:type="character" w:customStyle="1" w:styleId="TematkomentarzaZnak">
    <w:name w:val="Temat komentarza Znak"/>
    <w:basedOn w:val="TekstkomentarzaZnak"/>
    <w:link w:val="Tematkomentarza"/>
    <w:uiPriority w:val="99"/>
    <w:semiHidden/>
    <w:rsid w:val="00613989"/>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C055DF"/>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markedcontent">
    <w:name w:val="markedcontent"/>
    <w:basedOn w:val="Domylnaczcionkaakapitu"/>
    <w:rsid w:val="00BE3EC2"/>
  </w:style>
  <w:style w:type="character" w:customStyle="1" w:styleId="highlight">
    <w:name w:val="highlight"/>
    <w:basedOn w:val="Domylnaczcionkaakapitu"/>
    <w:rsid w:val="00BE3EC2"/>
  </w:style>
  <w:style w:type="character" w:styleId="UyteHipercze">
    <w:name w:val="FollowedHyperlink"/>
    <w:basedOn w:val="Domylnaczcionkaakapitu"/>
    <w:uiPriority w:val="99"/>
    <w:semiHidden/>
    <w:unhideWhenUsed/>
    <w:rsid w:val="00E67CB8"/>
    <w:rPr>
      <w:color w:val="954F72" w:themeColor="followedHyperlink"/>
      <w:u w:val="single"/>
    </w:rPr>
  </w:style>
  <w:style w:type="paragraph" w:styleId="Tekstprzypisudolnego">
    <w:name w:val="footnote text"/>
    <w:basedOn w:val="Normalny"/>
    <w:link w:val="TekstprzypisudolnegoZnak"/>
    <w:uiPriority w:val="99"/>
    <w:semiHidden/>
    <w:unhideWhenUsed/>
    <w:rsid w:val="00774B3C"/>
  </w:style>
  <w:style w:type="character" w:customStyle="1" w:styleId="TekstprzypisudolnegoZnak">
    <w:name w:val="Tekst przypisu dolnego Znak"/>
    <w:basedOn w:val="Domylnaczcionkaakapitu"/>
    <w:link w:val="Tekstprzypisudolnego"/>
    <w:uiPriority w:val="99"/>
    <w:semiHidden/>
    <w:rsid w:val="00774B3C"/>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774B3C"/>
    <w:rPr>
      <w:vertAlign w:val="superscript"/>
    </w:rPr>
  </w:style>
  <w:style w:type="paragraph" w:styleId="Nagwekspisutreci">
    <w:name w:val="TOC Heading"/>
    <w:basedOn w:val="Nagwek1"/>
    <w:next w:val="Normalny"/>
    <w:uiPriority w:val="39"/>
    <w:unhideWhenUsed/>
    <w:qFormat/>
    <w:rsid w:val="00AB0357"/>
    <w:pPr>
      <w:keepLines/>
      <w:spacing w:before="240" w:line="259" w:lineRule="auto"/>
      <w:jc w:val="left"/>
      <w:outlineLvl w:val="9"/>
    </w:pPr>
    <w:rPr>
      <w:rFonts w:asciiTheme="majorHAnsi" w:eastAsiaTheme="majorEastAsia" w:hAnsiTheme="majorHAnsi" w:cstheme="majorBidi"/>
      <w:b w:val="0"/>
      <w:i/>
      <w:color w:val="2F5496" w:themeColor="accent1" w:themeShade="BF"/>
      <w:sz w:val="32"/>
      <w:szCs w:val="32"/>
    </w:rPr>
  </w:style>
  <w:style w:type="paragraph" w:styleId="Spistreci1">
    <w:name w:val="toc 1"/>
    <w:basedOn w:val="Normalny"/>
    <w:next w:val="Normalny"/>
    <w:autoRedefine/>
    <w:uiPriority w:val="39"/>
    <w:unhideWhenUsed/>
    <w:rsid w:val="00FF17D8"/>
    <w:pPr>
      <w:tabs>
        <w:tab w:val="right" w:leader="dot" w:pos="9202"/>
      </w:tabs>
      <w:spacing w:after="100"/>
    </w:pPr>
  </w:style>
  <w:style w:type="character" w:customStyle="1" w:styleId="cf01">
    <w:name w:val="cf01"/>
    <w:basedOn w:val="Domylnaczcionkaakapitu"/>
    <w:rsid w:val="00CC5EB6"/>
    <w:rPr>
      <w:rFonts w:ascii="Segoe UI" w:hAnsi="Segoe UI" w:cs="Segoe UI" w:hint="default"/>
      <w:sz w:val="18"/>
      <w:szCs w:val="18"/>
      <w:shd w:val="clear" w:color="auto" w:fill="FFFF00"/>
    </w:rPr>
  </w:style>
  <w:style w:type="character" w:customStyle="1" w:styleId="cf11">
    <w:name w:val="cf11"/>
    <w:basedOn w:val="Domylnaczcionkaakapitu"/>
    <w:rsid w:val="00CC5EB6"/>
    <w:rPr>
      <w:rFonts w:ascii="Segoe UI" w:hAnsi="Segoe UI" w:cs="Segoe UI" w:hint="default"/>
      <w:sz w:val="18"/>
      <w:szCs w:val="18"/>
      <w:shd w:val="clear" w:color="auto" w:fill="FFFF00"/>
    </w:rPr>
  </w:style>
  <w:style w:type="character" w:customStyle="1" w:styleId="Nagwek2Znak">
    <w:name w:val="Nagłówek 2 Znak"/>
    <w:basedOn w:val="Domylnaczcionkaakapitu"/>
    <w:link w:val="Nagwek2"/>
    <w:uiPriority w:val="9"/>
    <w:rsid w:val="00B34B45"/>
    <w:rPr>
      <w:rFonts w:eastAsia="Times New Roman"/>
      <w:b/>
      <w:bCs/>
      <w:color w:val="000000" w:themeColor="text1"/>
      <w:kern w:val="0"/>
      <w:sz w:val="26"/>
      <w:szCs w:val="26"/>
      <w:lang w:eastAsia="pl-PL"/>
      <w14:ligatures w14:val="none"/>
    </w:rPr>
  </w:style>
  <w:style w:type="paragraph" w:styleId="Spistreci2">
    <w:name w:val="toc 2"/>
    <w:basedOn w:val="Normalny"/>
    <w:next w:val="Normalny"/>
    <w:autoRedefine/>
    <w:uiPriority w:val="39"/>
    <w:unhideWhenUsed/>
    <w:rsid w:val="00F57B82"/>
    <w:pPr>
      <w:spacing w:after="100"/>
      <w:ind w:left="240"/>
    </w:pPr>
  </w:style>
  <w:style w:type="character" w:customStyle="1" w:styleId="Nagwek3Znak">
    <w:name w:val="Nagłówek 3 Znak"/>
    <w:basedOn w:val="Domylnaczcionkaakapitu"/>
    <w:link w:val="Nagwek3"/>
    <w:uiPriority w:val="9"/>
    <w:rsid w:val="005E2FE9"/>
    <w:rPr>
      <w:rFonts w:asciiTheme="majorHAnsi" w:eastAsiaTheme="majorEastAsia" w:hAnsiTheme="majorHAnsi" w:cstheme="majorBidi"/>
      <w:color w:val="1F3763" w:themeColor="accent1" w:themeShade="7F"/>
      <w:kern w:val="0"/>
      <w:sz w:val="24"/>
      <w:szCs w:val="24"/>
      <w:lang w:eastAsia="pl-PL"/>
      <w14:ligatures w14:val="none"/>
    </w:rPr>
  </w:style>
  <w:style w:type="paragraph" w:styleId="NormalnyWeb">
    <w:name w:val="Normal (Web)"/>
    <w:basedOn w:val="Normalny"/>
    <w:uiPriority w:val="99"/>
    <w:unhideWhenUsed/>
    <w:rsid w:val="002A4508"/>
    <w:pPr>
      <w:spacing w:before="100" w:beforeAutospacing="1" w:after="100" w:afterAutospacing="1"/>
    </w:pPr>
    <w:rPr>
      <w:rFonts w:ascii="Aptos" w:eastAsiaTheme="minorHAnsi" w:hAnsi="Aptos" w:cs="Aptos"/>
      <w:szCs w:val="24"/>
    </w:rPr>
  </w:style>
  <w:style w:type="paragraph" w:styleId="Zwykytekst">
    <w:name w:val="Plain Text"/>
    <w:basedOn w:val="Normalny"/>
    <w:link w:val="ZwykytekstZnak"/>
    <w:uiPriority w:val="99"/>
    <w:unhideWhenUsed/>
    <w:rsid w:val="002A4508"/>
    <w:rPr>
      <w:rFonts w:ascii="Calibri" w:hAnsi="Calibri" w:cstheme="minorBidi"/>
      <w:kern w:val="2"/>
      <w:sz w:val="22"/>
      <w:szCs w:val="21"/>
      <w:lang w:eastAsia="en-US"/>
      <w14:ligatures w14:val="standardContextual"/>
    </w:rPr>
  </w:style>
  <w:style w:type="character" w:customStyle="1" w:styleId="ZwykytekstZnak">
    <w:name w:val="Zwykły tekst Znak"/>
    <w:basedOn w:val="Domylnaczcionkaakapitu"/>
    <w:link w:val="Zwykytekst"/>
    <w:uiPriority w:val="99"/>
    <w:rsid w:val="002A4508"/>
    <w:rPr>
      <w:rFonts w:ascii="Calibri" w:eastAsia="Times New Roman" w:hAnsi="Calibri"/>
      <w:szCs w:val="21"/>
    </w:rPr>
  </w:style>
  <w:style w:type="character" w:customStyle="1" w:styleId="ui-provider">
    <w:name w:val="ui-provider"/>
    <w:basedOn w:val="Domylnaczcionkaakapitu"/>
    <w:rsid w:val="008634C9"/>
  </w:style>
  <w:style w:type="character" w:styleId="Pogrubienie">
    <w:name w:val="Strong"/>
    <w:basedOn w:val="Domylnaczcionkaakapitu"/>
    <w:uiPriority w:val="22"/>
    <w:qFormat/>
    <w:rsid w:val="007C5ED7"/>
    <w:rPr>
      <w:b/>
      <w:bCs/>
    </w:rPr>
  </w:style>
  <w:style w:type="paragraph" w:customStyle="1" w:styleId="a">
    <w:uiPriority w:val="32"/>
    <w:qFormat/>
    <w:rsid w:val="00671488"/>
    <w:pPr>
      <w:ind w:left="720"/>
      <w:contextualSpacing/>
    </w:pPr>
  </w:style>
  <w:style w:type="character" w:styleId="Odwoanieintensywne">
    <w:name w:val="Intense Reference"/>
    <w:basedOn w:val="Domylnaczcionkaakapitu"/>
    <w:uiPriority w:val="32"/>
    <w:qFormat/>
    <w:rsid w:val="00671488"/>
    <w:rPr>
      <w:b/>
      <w:bCs/>
      <w:smallCaps/>
      <w:color w:val="4472C4" w:themeColor="accent1"/>
      <w:spacing w:val="5"/>
    </w:rPr>
  </w:style>
  <w:style w:type="paragraph" w:customStyle="1" w:styleId="a0">
    <w:uiPriority w:val="32"/>
    <w:qFormat/>
    <w:rsid w:val="00671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837">
      <w:bodyDiv w:val="1"/>
      <w:marLeft w:val="0"/>
      <w:marRight w:val="0"/>
      <w:marTop w:val="0"/>
      <w:marBottom w:val="0"/>
      <w:divBdr>
        <w:top w:val="none" w:sz="0" w:space="0" w:color="auto"/>
        <w:left w:val="none" w:sz="0" w:space="0" w:color="auto"/>
        <w:bottom w:val="none" w:sz="0" w:space="0" w:color="auto"/>
        <w:right w:val="none" w:sz="0" w:space="0" w:color="auto"/>
      </w:divBdr>
    </w:div>
    <w:div w:id="50616713">
      <w:bodyDiv w:val="1"/>
      <w:marLeft w:val="0"/>
      <w:marRight w:val="0"/>
      <w:marTop w:val="0"/>
      <w:marBottom w:val="0"/>
      <w:divBdr>
        <w:top w:val="none" w:sz="0" w:space="0" w:color="auto"/>
        <w:left w:val="none" w:sz="0" w:space="0" w:color="auto"/>
        <w:bottom w:val="none" w:sz="0" w:space="0" w:color="auto"/>
        <w:right w:val="none" w:sz="0" w:space="0" w:color="auto"/>
      </w:divBdr>
    </w:div>
    <w:div w:id="77561018">
      <w:bodyDiv w:val="1"/>
      <w:marLeft w:val="0"/>
      <w:marRight w:val="0"/>
      <w:marTop w:val="0"/>
      <w:marBottom w:val="0"/>
      <w:divBdr>
        <w:top w:val="none" w:sz="0" w:space="0" w:color="auto"/>
        <w:left w:val="none" w:sz="0" w:space="0" w:color="auto"/>
        <w:bottom w:val="none" w:sz="0" w:space="0" w:color="auto"/>
        <w:right w:val="none" w:sz="0" w:space="0" w:color="auto"/>
      </w:divBdr>
    </w:div>
    <w:div w:id="114449468">
      <w:bodyDiv w:val="1"/>
      <w:marLeft w:val="0"/>
      <w:marRight w:val="0"/>
      <w:marTop w:val="0"/>
      <w:marBottom w:val="0"/>
      <w:divBdr>
        <w:top w:val="none" w:sz="0" w:space="0" w:color="auto"/>
        <w:left w:val="none" w:sz="0" w:space="0" w:color="auto"/>
        <w:bottom w:val="none" w:sz="0" w:space="0" w:color="auto"/>
        <w:right w:val="none" w:sz="0" w:space="0" w:color="auto"/>
      </w:divBdr>
    </w:div>
    <w:div w:id="115485558">
      <w:bodyDiv w:val="1"/>
      <w:marLeft w:val="0"/>
      <w:marRight w:val="0"/>
      <w:marTop w:val="0"/>
      <w:marBottom w:val="0"/>
      <w:divBdr>
        <w:top w:val="none" w:sz="0" w:space="0" w:color="auto"/>
        <w:left w:val="none" w:sz="0" w:space="0" w:color="auto"/>
        <w:bottom w:val="none" w:sz="0" w:space="0" w:color="auto"/>
        <w:right w:val="none" w:sz="0" w:space="0" w:color="auto"/>
      </w:divBdr>
    </w:div>
    <w:div w:id="119418852">
      <w:bodyDiv w:val="1"/>
      <w:marLeft w:val="0"/>
      <w:marRight w:val="0"/>
      <w:marTop w:val="0"/>
      <w:marBottom w:val="0"/>
      <w:divBdr>
        <w:top w:val="none" w:sz="0" w:space="0" w:color="auto"/>
        <w:left w:val="none" w:sz="0" w:space="0" w:color="auto"/>
        <w:bottom w:val="none" w:sz="0" w:space="0" w:color="auto"/>
        <w:right w:val="none" w:sz="0" w:space="0" w:color="auto"/>
      </w:divBdr>
    </w:div>
    <w:div w:id="142360193">
      <w:bodyDiv w:val="1"/>
      <w:marLeft w:val="0"/>
      <w:marRight w:val="0"/>
      <w:marTop w:val="0"/>
      <w:marBottom w:val="0"/>
      <w:divBdr>
        <w:top w:val="none" w:sz="0" w:space="0" w:color="auto"/>
        <w:left w:val="none" w:sz="0" w:space="0" w:color="auto"/>
        <w:bottom w:val="none" w:sz="0" w:space="0" w:color="auto"/>
        <w:right w:val="none" w:sz="0" w:space="0" w:color="auto"/>
      </w:divBdr>
    </w:div>
    <w:div w:id="181433611">
      <w:bodyDiv w:val="1"/>
      <w:marLeft w:val="0"/>
      <w:marRight w:val="0"/>
      <w:marTop w:val="0"/>
      <w:marBottom w:val="0"/>
      <w:divBdr>
        <w:top w:val="none" w:sz="0" w:space="0" w:color="auto"/>
        <w:left w:val="none" w:sz="0" w:space="0" w:color="auto"/>
        <w:bottom w:val="none" w:sz="0" w:space="0" w:color="auto"/>
        <w:right w:val="none" w:sz="0" w:space="0" w:color="auto"/>
      </w:divBdr>
    </w:div>
    <w:div w:id="184908376">
      <w:bodyDiv w:val="1"/>
      <w:marLeft w:val="0"/>
      <w:marRight w:val="0"/>
      <w:marTop w:val="0"/>
      <w:marBottom w:val="0"/>
      <w:divBdr>
        <w:top w:val="none" w:sz="0" w:space="0" w:color="auto"/>
        <w:left w:val="none" w:sz="0" w:space="0" w:color="auto"/>
        <w:bottom w:val="none" w:sz="0" w:space="0" w:color="auto"/>
        <w:right w:val="none" w:sz="0" w:space="0" w:color="auto"/>
      </w:divBdr>
    </w:div>
    <w:div w:id="194512546">
      <w:bodyDiv w:val="1"/>
      <w:marLeft w:val="0"/>
      <w:marRight w:val="0"/>
      <w:marTop w:val="0"/>
      <w:marBottom w:val="0"/>
      <w:divBdr>
        <w:top w:val="none" w:sz="0" w:space="0" w:color="auto"/>
        <w:left w:val="none" w:sz="0" w:space="0" w:color="auto"/>
        <w:bottom w:val="none" w:sz="0" w:space="0" w:color="auto"/>
        <w:right w:val="none" w:sz="0" w:space="0" w:color="auto"/>
      </w:divBdr>
    </w:div>
    <w:div w:id="238709420">
      <w:bodyDiv w:val="1"/>
      <w:marLeft w:val="0"/>
      <w:marRight w:val="0"/>
      <w:marTop w:val="0"/>
      <w:marBottom w:val="0"/>
      <w:divBdr>
        <w:top w:val="none" w:sz="0" w:space="0" w:color="auto"/>
        <w:left w:val="none" w:sz="0" w:space="0" w:color="auto"/>
        <w:bottom w:val="none" w:sz="0" w:space="0" w:color="auto"/>
        <w:right w:val="none" w:sz="0" w:space="0" w:color="auto"/>
      </w:divBdr>
    </w:div>
    <w:div w:id="264309893">
      <w:bodyDiv w:val="1"/>
      <w:marLeft w:val="0"/>
      <w:marRight w:val="0"/>
      <w:marTop w:val="0"/>
      <w:marBottom w:val="0"/>
      <w:divBdr>
        <w:top w:val="none" w:sz="0" w:space="0" w:color="auto"/>
        <w:left w:val="none" w:sz="0" w:space="0" w:color="auto"/>
        <w:bottom w:val="none" w:sz="0" w:space="0" w:color="auto"/>
        <w:right w:val="none" w:sz="0" w:space="0" w:color="auto"/>
      </w:divBdr>
    </w:div>
    <w:div w:id="278802766">
      <w:bodyDiv w:val="1"/>
      <w:marLeft w:val="0"/>
      <w:marRight w:val="0"/>
      <w:marTop w:val="0"/>
      <w:marBottom w:val="0"/>
      <w:divBdr>
        <w:top w:val="none" w:sz="0" w:space="0" w:color="auto"/>
        <w:left w:val="none" w:sz="0" w:space="0" w:color="auto"/>
        <w:bottom w:val="none" w:sz="0" w:space="0" w:color="auto"/>
        <w:right w:val="none" w:sz="0" w:space="0" w:color="auto"/>
      </w:divBdr>
    </w:div>
    <w:div w:id="296229192">
      <w:bodyDiv w:val="1"/>
      <w:marLeft w:val="0"/>
      <w:marRight w:val="0"/>
      <w:marTop w:val="0"/>
      <w:marBottom w:val="0"/>
      <w:divBdr>
        <w:top w:val="none" w:sz="0" w:space="0" w:color="auto"/>
        <w:left w:val="none" w:sz="0" w:space="0" w:color="auto"/>
        <w:bottom w:val="none" w:sz="0" w:space="0" w:color="auto"/>
        <w:right w:val="none" w:sz="0" w:space="0" w:color="auto"/>
      </w:divBdr>
    </w:div>
    <w:div w:id="309601292">
      <w:bodyDiv w:val="1"/>
      <w:marLeft w:val="0"/>
      <w:marRight w:val="0"/>
      <w:marTop w:val="0"/>
      <w:marBottom w:val="0"/>
      <w:divBdr>
        <w:top w:val="none" w:sz="0" w:space="0" w:color="auto"/>
        <w:left w:val="none" w:sz="0" w:space="0" w:color="auto"/>
        <w:bottom w:val="none" w:sz="0" w:space="0" w:color="auto"/>
        <w:right w:val="none" w:sz="0" w:space="0" w:color="auto"/>
      </w:divBdr>
    </w:div>
    <w:div w:id="352656063">
      <w:bodyDiv w:val="1"/>
      <w:marLeft w:val="0"/>
      <w:marRight w:val="0"/>
      <w:marTop w:val="0"/>
      <w:marBottom w:val="0"/>
      <w:divBdr>
        <w:top w:val="none" w:sz="0" w:space="0" w:color="auto"/>
        <w:left w:val="none" w:sz="0" w:space="0" w:color="auto"/>
        <w:bottom w:val="none" w:sz="0" w:space="0" w:color="auto"/>
        <w:right w:val="none" w:sz="0" w:space="0" w:color="auto"/>
      </w:divBdr>
    </w:div>
    <w:div w:id="417292006">
      <w:bodyDiv w:val="1"/>
      <w:marLeft w:val="0"/>
      <w:marRight w:val="0"/>
      <w:marTop w:val="0"/>
      <w:marBottom w:val="0"/>
      <w:divBdr>
        <w:top w:val="none" w:sz="0" w:space="0" w:color="auto"/>
        <w:left w:val="none" w:sz="0" w:space="0" w:color="auto"/>
        <w:bottom w:val="none" w:sz="0" w:space="0" w:color="auto"/>
        <w:right w:val="none" w:sz="0" w:space="0" w:color="auto"/>
      </w:divBdr>
    </w:div>
    <w:div w:id="422342051">
      <w:bodyDiv w:val="1"/>
      <w:marLeft w:val="0"/>
      <w:marRight w:val="0"/>
      <w:marTop w:val="0"/>
      <w:marBottom w:val="0"/>
      <w:divBdr>
        <w:top w:val="none" w:sz="0" w:space="0" w:color="auto"/>
        <w:left w:val="none" w:sz="0" w:space="0" w:color="auto"/>
        <w:bottom w:val="none" w:sz="0" w:space="0" w:color="auto"/>
        <w:right w:val="none" w:sz="0" w:space="0" w:color="auto"/>
      </w:divBdr>
    </w:div>
    <w:div w:id="450978222">
      <w:bodyDiv w:val="1"/>
      <w:marLeft w:val="0"/>
      <w:marRight w:val="0"/>
      <w:marTop w:val="0"/>
      <w:marBottom w:val="0"/>
      <w:divBdr>
        <w:top w:val="none" w:sz="0" w:space="0" w:color="auto"/>
        <w:left w:val="none" w:sz="0" w:space="0" w:color="auto"/>
        <w:bottom w:val="none" w:sz="0" w:space="0" w:color="auto"/>
        <w:right w:val="none" w:sz="0" w:space="0" w:color="auto"/>
      </w:divBdr>
    </w:div>
    <w:div w:id="451361225">
      <w:bodyDiv w:val="1"/>
      <w:marLeft w:val="0"/>
      <w:marRight w:val="0"/>
      <w:marTop w:val="0"/>
      <w:marBottom w:val="0"/>
      <w:divBdr>
        <w:top w:val="none" w:sz="0" w:space="0" w:color="auto"/>
        <w:left w:val="none" w:sz="0" w:space="0" w:color="auto"/>
        <w:bottom w:val="none" w:sz="0" w:space="0" w:color="auto"/>
        <w:right w:val="none" w:sz="0" w:space="0" w:color="auto"/>
      </w:divBdr>
    </w:div>
    <w:div w:id="468402213">
      <w:bodyDiv w:val="1"/>
      <w:marLeft w:val="0"/>
      <w:marRight w:val="0"/>
      <w:marTop w:val="0"/>
      <w:marBottom w:val="0"/>
      <w:divBdr>
        <w:top w:val="none" w:sz="0" w:space="0" w:color="auto"/>
        <w:left w:val="none" w:sz="0" w:space="0" w:color="auto"/>
        <w:bottom w:val="none" w:sz="0" w:space="0" w:color="auto"/>
        <w:right w:val="none" w:sz="0" w:space="0" w:color="auto"/>
      </w:divBdr>
    </w:div>
    <w:div w:id="481435069">
      <w:bodyDiv w:val="1"/>
      <w:marLeft w:val="0"/>
      <w:marRight w:val="0"/>
      <w:marTop w:val="0"/>
      <w:marBottom w:val="0"/>
      <w:divBdr>
        <w:top w:val="none" w:sz="0" w:space="0" w:color="auto"/>
        <w:left w:val="none" w:sz="0" w:space="0" w:color="auto"/>
        <w:bottom w:val="none" w:sz="0" w:space="0" w:color="auto"/>
        <w:right w:val="none" w:sz="0" w:space="0" w:color="auto"/>
      </w:divBdr>
    </w:div>
    <w:div w:id="487719426">
      <w:bodyDiv w:val="1"/>
      <w:marLeft w:val="0"/>
      <w:marRight w:val="0"/>
      <w:marTop w:val="0"/>
      <w:marBottom w:val="0"/>
      <w:divBdr>
        <w:top w:val="none" w:sz="0" w:space="0" w:color="auto"/>
        <w:left w:val="none" w:sz="0" w:space="0" w:color="auto"/>
        <w:bottom w:val="none" w:sz="0" w:space="0" w:color="auto"/>
        <w:right w:val="none" w:sz="0" w:space="0" w:color="auto"/>
      </w:divBdr>
    </w:div>
    <w:div w:id="531307894">
      <w:bodyDiv w:val="1"/>
      <w:marLeft w:val="0"/>
      <w:marRight w:val="0"/>
      <w:marTop w:val="0"/>
      <w:marBottom w:val="0"/>
      <w:divBdr>
        <w:top w:val="none" w:sz="0" w:space="0" w:color="auto"/>
        <w:left w:val="none" w:sz="0" w:space="0" w:color="auto"/>
        <w:bottom w:val="none" w:sz="0" w:space="0" w:color="auto"/>
        <w:right w:val="none" w:sz="0" w:space="0" w:color="auto"/>
      </w:divBdr>
    </w:div>
    <w:div w:id="555090625">
      <w:bodyDiv w:val="1"/>
      <w:marLeft w:val="0"/>
      <w:marRight w:val="0"/>
      <w:marTop w:val="0"/>
      <w:marBottom w:val="0"/>
      <w:divBdr>
        <w:top w:val="none" w:sz="0" w:space="0" w:color="auto"/>
        <w:left w:val="none" w:sz="0" w:space="0" w:color="auto"/>
        <w:bottom w:val="none" w:sz="0" w:space="0" w:color="auto"/>
        <w:right w:val="none" w:sz="0" w:space="0" w:color="auto"/>
      </w:divBdr>
    </w:div>
    <w:div w:id="566038418">
      <w:bodyDiv w:val="1"/>
      <w:marLeft w:val="0"/>
      <w:marRight w:val="0"/>
      <w:marTop w:val="0"/>
      <w:marBottom w:val="0"/>
      <w:divBdr>
        <w:top w:val="none" w:sz="0" w:space="0" w:color="auto"/>
        <w:left w:val="none" w:sz="0" w:space="0" w:color="auto"/>
        <w:bottom w:val="none" w:sz="0" w:space="0" w:color="auto"/>
        <w:right w:val="none" w:sz="0" w:space="0" w:color="auto"/>
      </w:divBdr>
    </w:div>
    <w:div w:id="590698295">
      <w:bodyDiv w:val="1"/>
      <w:marLeft w:val="0"/>
      <w:marRight w:val="0"/>
      <w:marTop w:val="0"/>
      <w:marBottom w:val="0"/>
      <w:divBdr>
        <w:top w:val="none" w:sz="0" w:space="0" w:color="auto"/>
        <w:left w:val="none" w:sz="0" w:space="0" w:color="auto"/>
        <w:bottom w:val="none" w:sz="0" w:space="0" w:color="auto"/>
        <w:right w:val="none" w:sz="0" w:space="0" w:color="auto"/>
      </w:divBdr>
    </w:div>
    <w:div w:id="600068859">
      <w:bodyDiv w:val="1"/>
      <w:marLeft w:val="0"/>
      <w:marRight w:val="0"/>
      <w:marTop w:val="0"/>
      <w:marBottom w:val="0"/>
      <w:divBdr>
        <w:top w:val="none" w:sz="0" w:space="0" w:color="auto"/>
        <w:left w:val="none" w:sz="0" w:space="0" w:color="auto"/>
        <w:bottom w:val="none" w:sz="0" w:space="0" w:color="auto"/>
        <w:right w:val="none" w:sz="0" w:space="0" w:color="auto"/>
      </w:divBdr>
    </w:div>
    <w:div w:id="693847990">
      <w:bodyDiv w:val="1"/>
      <w:marLeft w:val="0"/>
      <w:marRight w:val="0"/>
      <w:marTop w:val="0"/>
      <w:marBottom w:val="0"/>
      <w:divBdr>
        <w:top w:val="none" w:sz="0" w:space="0" w:color="auto"/>
        <w:left w:val="none" w:sz="0" w:space="0" w:color="auto"/>
        <w:bottom w:val="none" w:sz="0" w:space="0" w:color="auto"/>
        <w:right w:val="none" w:sz="0" w:space="0" w:color="auto"/>
      </w:divBdr>
    </w:div>
    <w:div w:id="708073803">
      <w:bodyDiv w:val="1"/>
      <w:marLeft w:val="0"/>
      <w:marRight w:val="0"/>
      <w:marTop w:val="0"/>
      <w:marBottom w:val="0"/>
      <w:divBdr>
        <w:top w:val="none" w:sz="0" w:space="0" w:color="auto"/>
        <w:left w:val="none" w:sz="0" w:space="0" w:color="auto"/>
        <w:bottom w:val="none" w:sz="0" w:space="0" w:color="auto"/>
        <w:right w:val="none" w:sz="0" w:space="0" w:color="auto"/>
      </w:divBdr>
    </w:div>
    <w:div w:id="741146923">
      <w:bodyDiv w:val="1"/>
      <w:marLeft w:val="0"/>
      <w:marRight w:val="0"/>
      <w:marTop w:val="0"/>
      <w:marBottom w:val="0"/>
      <w:divBdr>
        <w:top w:val="none" w:sz="0" w:space="0" w:color="auto"/>
        <w:left w:val="none" w:sz="0" w:space="0" w:color="auto"/>
        <w:bottom w:val="none" w:sz="0" w:space="0" w:color="auto"/>
        <w:right w:val="none" w:sz="0" w:space="0" w:color="auto"/>
      </w:divBdr>
    </w:div>
    <w:div w:id="746150732">
      <w:bodyDiv w:val="1"/>
      <w:marLeft w:val="0"/>
      <w:marRight w:val="0"/>
      <w:marTop w:val="0"/>
      <w:marBottom w:val="0"/>
      <w:divBdr>
        <w:top w:val="none" w:sz="0" w:space="0" w:color="auto"/>
        <w:left w:val="none" w:sz="0" w:space="0" w:color="auto"/>
        <w:bottom w:val="none" w:sz="0" w:space="0" w:color="auto"/>
        <w:right w:val="none" w:sz="0" w:space="0" w:color="auto"/>
      </w:divBdr>
    </w:div>
    <w:div w:id="761411806">
      <w:bodyDiv w:val="1"/>
      <w:marLeft w:val="0"/>
      <w:marRight w:val="0"/>
      <w:marTop w:val="0"/>
      <w:marBottom w:val="0"/>
      <w:divBdr>
        <w:top w:val="none" w:sz="0" w:space="0" w:color="auto"/>
        <w:left w:val="none" w:sz="0" w:space="0" w:color="auto"/>
        <w:bottom w:val="none" w:sz="0" w:space="0" w:color="auto"/>
        <w:right w:val="none" w:sz="0" w:space="0" w:color="auto"/>
      </w:divBdr>
    </w:div>
    <w:div w:id="780152402">
      <w:bodyDiv w:val="1"/>
      <w:marLeft w:val="0"/>
      <w:marRight w:val="0"/>
      <w:marTop w:val="0"/>
      <w:marBottom w:val="0"/>
      <w:divBdr>
        <w:top w:val="none" w:sz="0" w:space="0" w:color="auto"/>
        <w:left w:val="none" w:sz="0" w:space="0" w:color="auto"/>
        <w:bottom w:val="none" w:sz="0" w:space="0" w:color="auto"/>
        <w:right w:val="none" w:sz="0" w:space="0" w:color="auto"/>
      </w:divBdr>
    </w:div>
    <w:div w:id="796334709">
      <w:bodyDiv w:val="1"/>
      <w:marLeft w:val="0"/>
      <w:marRight w:val="0"/>
      <w:marTop w:val="0"/>
      <w:marBottom w:val="0"/>
      <w:divBdr>
        <w:top w:val="none" w:sz="0" w:space="0" w:color="auto"/>
        <w:left w:val="none" w:sz="0" w:space="0" w:color="auto"/>
        <w:bottom w:val="none" w:sz="0" w:space="0" w:color="auto"/>
        <w:right w:val="none" w:sz="0" w:space="0" w:color="auto"/>
      </w:divBdr>
    </w:div>
    <w:div w:id="832255677">
      <w:bodyDiv w:val="1"/>
      <w:marLeft w:val="0"/>
      <w:marRight w:val="0"/>
      <w:marTop w:val="0"/>
      <w:marBottom w:val="0"/>
      <w:divBdr>
        <w:top w:val="none" w:sz="0" w:space="0" w:color="auto"/>
        <w:left w:val="none" w:sz="0" w:space="0" w:color="auto"/>
        <w:bottom w:val="none" w:sz="0" w:space="0" w:color="auto"/>
        <w:right w:val="none" w:sz="0" w:space="0" w:color="auto"/>
      </w:divBdr>
    </w:div>
    <w:div w:id="837622341">
      <w:bodyDiv w:val="1"/>
      <w:marLeft w:val="0"/>
      <w:marRight w:val="0"/>
      <w:marTop w:val="0"/>
      <w:marBottom w:val="0"/>
      <w:divBdr>
        <w:top w:val="none" w:sz="0" w:space="0" w:color="auto"/>
        <w:left w:val="none" w:sz="0" w:space="0" w:color="auto"/>
        <w:bottom w:val="none" w:sz="0" w:space="0" w:color="auto"/>
        <w:right w:val="none" w:sz="0" w:space="0" w:color="auto"/>
      </w:divBdr>
    </w:div>
    <w:div w:id="840004575">
      <w:bodyDiv w:val="1"/>
      <w:marLeft w:val="0"/>
      <w:marRight w:val="0"/>
      <w:marTop w:val="0"/>
      <w:marBottom w:val="0"/>
      <w:divBdr>
        <w:top w:val="none" w:sz="0" w:space="0" w:color="auto"/>
        <w:left w:val="none" w:sz="0" w:space="0" w:color="auto"/>
        <w:bottom w:val="none" w:sz="0" w:space="0" w:color="auto"/>
        <w:right w:val="none" w:sz="0" w:space="0" w:color="auto"/>
      </w:divBdr>
    </w:div>
    <w:div w:id="849954327">
      <w:bodyDiv w:val="1"/>
      <w:marLeft w:val="0"/>
      <w:marRight w:val="0"/>
      <w:marTop w:val="0"/>
      <w:marBottom w:val="0"/>
      <w:divBdr>
        <w:top w:val="none" w:sz="0" w:space="0" w:color="auto"/>
        <w:left w:val="none" w:sz="0" w:space="0" w:color="auto"/>
        <w:bottom w:val="none" w:sz="0" w:space="0" w:color="auto"/>
        <w:right w:val="none" w:sz="0" w:space="0" w:color="auto"/>
      </w:divBdr>
    </w:div>
    <w:div w:id="905338954">
      <w:bodyDiv w:val="1"/>
      <w:marLeft w:val="0"/>
      <w:marRight w:val="0"/>
      <w:marTop w:val="0"/>
      <w:marBottom w:val="0"/>
      <w:divBdr>
        <w:top w:val="none" w:sz="0" w:space="0" w:color="auto"/>
        <w:left w:val="none" w:sz="0" w:space="0" w:color="auto"/>
        <w:bottom w:val="none" w:sz="0" w:space="0" w:color="auto"/>
        <w:right w:val="none" w:sz="0" w:space="0" w:color="auto"/>
      </w:divBdr>
      <w:divsChild>
        <w:div w:id="2066950662">
          <w:marLeft w:val="0"/>
          <w:marRight w:val="0"/>
          <w:marTop w:val="0"/>
          <w:marBottom w:val="0"/>
          <w:divBdr>
            <w:top w:val="none" w:sz="0" w:space="0" w:color="auto"/>
            <w:left w:val="none" w:sz="0" w:space="0" w:color="auto"/>
            <w:bottom w:val="none" w:sz="0" w:space="0" w:color="auto"/>
            <w:right w:val="none" w:sz="0" w:space="0" w:color="auto"/>
          </w:divBdr>
        </w:div>
      </w:divsChild>
    </w:div>
    <w:div w:id="917833025">
      <w:bodyDiv w:val="1"/>
      <w:marLeft w:val="0"/>
      <w:marRight w:val="0"/>
      <w:marTop w:val="0"/>
      <w:marBottom w:val="0"/>
      <w:divBdr>
        <w:top w:val="none" w:sz="0" w:space="0" w:color="auto"/>
        <w:left w:val="none" w:sz="0" w:space="0" w:color="auto"/>
        <w:bottom w:val="none" w:sz="0" w:space="0" w:color="auto"/>
        <w:right w:val="none" w:sz="0" w:space="0" w:color="auto"/>
      </w:divBdr>
    </w:div>
    <w:div w:id="918366043">
      <w:bodyDiv w:val="1"/>
      <w:marLeft w:val="0"/>
      <w:marRight w:val="0"/>
      <w:marTop w:val="0"/>
      <w:marBottom w:val="0"/>
      <w:divBdr>
        <w:top w:val="none" w:sz="0" w:space="0" w:color="auto"/>
        <w:left w:val="none" w:sz="0" w:space="0" w:color="auto"/>
        <w:bottom w:val="none" w:sz="0" w:space="0" w:color="auto"/>
        <w:right w:val="none" w:sz="0" w:space="0" w:color="auto"/>
      </w:divBdr>
    </w:div>
    <w:div w:id="922646363">
      <w:bodyDiv w:val="1"/>
      <w:marLeft w:val="0"/>
      <w:marRight w:val="0"/>
      <w:marTop w:val="0"/>
      <w:marBottom w:val="0"/>
      <w:divBdr>
        <w:top w:val="none" w:sz="0" w:space="0" w:color="auto"/>
        <w:left w:val="none" w:sz="0" w:space="0" w:color="auto"/>
        <w:bottom w:val="none" w:sz="0" w:space="0" w:color="auto"/>
        <w:right w:val="none" w:sz="0" w:space="0" w:color="auto"/>
      </w:divBdr>
    </w:div>
    <w:div w:id="938683330">
      <w:bodyDiv w:val="1"/>
      <w:marLeft w:val="0"/>
      <w:marRight w:val="0"/>
      <w:marTop w:val="0"/>
      <w:marBottom w:val="0"/>
      <w:divBdr>
        <w:top w:val="none" w:sz="0" w:space="0" w:color="auto"/>
        <w:left w:val="none" w:sz="0" w:space="0" w:color="auto"/>
        <w:bottom w:val="none" w:sz="0" w:space="0" w:color="auto"/>
        <w:right w:val="none" w:sz="0" w:space="0" w:color="auto"/>
      </w:divBdr>
    </w:div>
    <w:div w:id="951284430">
      <w:bodyDiv w:val="1"/>
      <w:marLeft w:val="0"/>
      <w:marRight w:val="0"/>
      <w:marTop w:val="0"/>
      <w:marBottom w:val="0"/>
      <w:divBdr>
        <w:top w:val="none" w:sz="0" w:space="0" w:color="auto"/>
        <w:left w:val="none" w:sz="0" w:space="0" w:color="auto"/>
        <w:bottom w:val="none" w:sz="0" w:space="0" w:color="auto"/>
        <w:right w:val="none" w:sz="0" w:space="0" w:color="auto"/>
      </w:divBdr>
    </w:div>
    <w:div w:id="978414061">
      <w:bodyDiv w:val="1"/>
      <w:marLeft w:val="0"/>
      <w:marRight w:val="0"/>
      <w:marTop w:val="0"/>
      <w:marBottom w:val="0"/>
      <w:divBdr>
        <w:top w:val="none" w:sz="0" w:space="0" w:color="auto"/>
        <w:left w:val="none" w:sz="0" w:space="0" w:color="auto"/>
        <w:bottom w:val="none" w:sz="0" w:space="0" w:color="auto"/>
        <w:right w:val="none" w:sz="0" w:space="0" w:color="auto"/>
      </w:divBdr>
    </w:div>
    <w:div w:id="1040781300">
      <w:bodyDiv w:val="1"/>
      <w:marLeft w:val="0"/>
      <w:marRight w:val="0"/>
      <w:marTop w:val="0"/>
      <w:marBottom w:val="0"/>
      <w:divBdr>
        <w:top w:val="none" w:sz="0" w:space="0" w:color="auto"/>
        <w:left w:val="none" w:sz="0" w:space="0" w:color="auto"/>
        <w:bottom w:val="none" w:sz="0" w:space="0" w:color="auto"/>
        <w:right w:val="none" w:sz="0" w:space="0" w:color="auto"/>
      </w:divBdr>
    </w:div>
    <w:div w:id="1061636455">
      <w:bodyDiv w:val="1"/>
      <w:marLeft w:val="0"/>
      <w:marRight w:val="0"/>
      <w:marTop w:val="0"/>
      <w:marBottom w:val="0"/>
      <w:divBdr>
        <w:top w:val="none" w:sz="0" w:space="0" w:color="auto"/>
        <w:left w:val="none" w:sz="0" w:space="0" w:color="auto"/>
        <w:bottom w:val="none" w:sz="0" w:space="0" w:color="auto"/>
        <w:right w:val="none" w:sz="0" w:space="0" w:color="auto"/>
      </w:divBdr>
    </w:div>
    <w:div w:id="1072967370">
      <w:bodyDiv w:val="1"/>
      <w:marLeft w:val="0"/>
      <w:marRight w:val="0"/>
      <w:marTop w:val="0"/>
      <w:marBottom w:val="0"/>
      <w:divBdr>
        <w:top w:val="none" w:sz="0" w:space="0" w:color="auto"/>
        <w:left w:val="none" w:sz="0" w:space="0" w:color="auto"/>
        <w:bottom w:val="none" w:sz="0" w:space="0" w:color="auto"/>
        <w:right w:val="none" w:sz="0" w:space="0" w:color="auto"/>
      </w:divBdr>
    </w:div>
    <w:div w:id="1093864188">
      <w:bodyDiv w:val="1"/>
      <w:marLeft w:val="0"/>
      <w:marRight w:val="0"/>
      <w:marTop w:val="0"/>
      <w:marBottom w:val="0"/>
      <w:divBdr>
        <w:top w:val="none" w:sz="0" w:space="0" w:color="auto"/>
        <w:left w:val="none" w:sz="0" w:space="0" w:color="auto"/>
        <w:bottom w:val="none" w:sz="0" w:space="0" w:color="auto"/>
        <w:right w:val="none" w:sz="0" w:space="0" w:color="auto"/>
      </w:divBdr>
    </w:div>
    <w:div w:id="1150246138">
      <w:bodyDiv w:val="1"/>
      <w:marLeft w:val="0"/>
      <w:marRight w:val="0"/>
      <w:marTop w:val="0"/>
      <w:marBottom w:val="0"/>
      <w:divBdr>
        <w:top w:val="none" w:sz="0" w:space="0" w:color="auto"/>
        <w:left w:val="none" w:sz="0" w:space="0" w:color="auto"/>
        <w:bottom w:val="none" w:sz="0" w:space="0" w:color="auto"/>
        <w:right w:val="none" w:sz="0" w:space="0" w:color="auto"/>
      </w:divBdr>
    </w:div>
    <w:div w:id="1162543510">
      <w:bodyDiv w:val="1"/>
      <w:marLeft w:val="0"/>
      <w:marRight w:val="0"/>
      <w:marTop w:val="0"/>
      <w:marBottom w:val="0"/>
      <w:divBdr>
        <w:top w:val="none" w:sz="0" w:space="0" w:color="auto"/>
        <w:left w:val="none" w:sz="0" w:space="0" w:color="auto"/>
        <w:bottom w:val="none" w:sz="0" w:space="0" w:color="auto"/>
        <w:right w:val="none" w:sz="0" w:space="0" w:color="auto"/>
      </w:divBdr>
    </w:div>
    <w:div w:id="1166900977">
      <w:bodyDiv w:val="1"/>
      <w:marLeft w:val="0"/>
      <w:marRight w:val="0"/>
      <w:marTop w:val="0"/>
      <w:marBottom w:val="0"/>
      <w:divBdr>
        <w:top w:val="none" w:sz="0" w:space="0" w:color="auto"/>
        <w:left w:val="none" w:sz="0" w:space="0" w:color="auto"/>
        <w:bottom w:val="none" w:sz="0" w:space="0" w:color="auto"/>
        <w:right w:val="none" w:sz="0" w:space="0" w:color="auto"/>
      </w:divBdr>
    </w:div>
    <w:div w:id="1170756612">
      <w:bodyDiv w:val="1"/>
      <w:marLeft w:val="0"/>
      <w:marRight w:val="0"/>
      <w:marTop w:val="0"/>
      <w:marBottom w:val="0"/>
      <w:divBdr>
        <w:top w:val="none" w:sz="0" w:space="0" w:color="auto"/>
        <w:left w:val="none" w:sz="0" w:space="0" w:color="auto"/>
        <w:bottom w:val="none" w:sz="0" w:space="0" w:color="auto"/>
        <w:right w:val="none" w:sz="0" w:space="0" w:color="auto"/>
      </w:divBdr>
    </w:div>
    <w:div w:id="1187019965">
      <w:bodyDiv w:val="1"/>
      <w:marLeft w:val="0"/>
      <w:marRight w:val="0"/>
      <w:marTop w:val="0"/>
      <w:marBottom w:val="0"/>
      <w:divBdr>
        <w:top w:val="none" w:sz="0" w:space="0" w:color="auto"/>
        <w:left w:val="none" w:sz="0" w:space="0" w:color="auto"/>
        <w:bottom w:val="none" w:sz="0" w:space="0" w:color="auto"/>
        <w:right w:val="none" w:sz="0" w:space="0" w:color="auto"/>
      </w:divBdr>
    </w:div>
    <w:div w:id="1222979440">
      <w:bodyDiv w:val="1"/>
      <w:marLeft w:val="0"/>
      <w:marRight w:val="0"/>
      <w:marTop w:val="0"/>
      <w:marBottom w:val="0"/>
      <w:divBdr>
        <w:top w:val="none" w:sz="0" w:space="0" w:color="auto"/>
        <w:left w:val="none" w:sz="0" w:space="0" w:color="auto"/>
        <w:bottom w:val="none" w:sz="0" w:space="0" w:color="auto"/>
        <w:right w:val="none" w:sz="0" w:space="0" w:color="auto"/>
      </w:divBdr>
    </w:div>
    <w:div w:id="1240991070">
      <w:bodyDiv w:val="1"/>
      <w:marLeft w:val="0"/>
      <w:marRight w:val="0"/>
      <w:marTop w:val="0"/>
      <w:marBottom w:val="0"/>
      <w:divBdr>
        <w:top w:val="none" w:sz="0" w:space="0" w:color="auto"/>
        <w:left w:val="none" w:sz="0" w:space="0" w:color="auto"/>
        <w:bottom w:val="none" w:sz="0" w:space="0" w:color="auto"/>
        <w:right w:val="none" w:sz="0" w:space="0" w:color="auto"/>
      </w:divBdr>
    </w:div>
    <w:div w:id="1255550493">
      <w:bodyDiv w:val="1"/>
      <w:marLeft w:val="0"/>
      <w:marRight w:val="0"/>
      <w:marTop w:val="0"/>
      <w:marBottom w:val="0"/>
      <w:divBdr>
        <w:top w:val="none" w:sz="0" w:space="0" w:color="auto"/>
        <w:left w:val="none" w:sz="0" w:space="0" w:color="auto"/>
        <w:bottom w:val="none" w:sz="0" w:space="0" w:color="auto"/>
        <w:right w:val="none" w:sz="0" w:space="0" w:color="auto"/>
      </w:divBdr>
    </w:div>
    <w:div w:id="1280138933">
      <w:bodyDiv w:val="1"/>
      <w:marLeft w:val="0"/>
      <w:marRight w:val="0"/>
      <w:marTop w:val="0"/>
      <w:marBottom w:val="0"/>
      <w:divBdr>
        <w:top w:val="none" w:sz="0" w:space="0" w:color="auto"/>
        <w:left w:val="none" w:sz="0" w:space="0" w:color="auto"/>
        <w:bottom w:val="none" w:sz="0" w:space="0" w:color="auto"/>
        <w:right w:val="none" w:sz="0" w:space="0" w:color="auto"/>
      </w:divBdr>
    </w:div>
    <w:div w:id="1286501537">
      <w:bodyDiv w:val="1"/>
      <w:marLeft w:val="0"/>
      <w:marRight w:val="0"/>
      <w:marTop w:val="0"/>
      <w:marBottom w:val="0"/>
      <w:divBdr>
        <w:top w:val="none" w:sz="0" w:space="0" w:color="auto"/>
        <w:left w:val="none" w:sz="0" w:space="0" w:color="auto"/>
        <w:bottom w:val="none" w:sz="0" w:space="0" w:color="auto"/>
        <w:right w:val="none" w:sz="0" w:space="0" w:color="auto"/>
      </w:divBdr>
    </w:div>
    <w:div w:id="1288780856">
      <w:bodyDiv w:val="1"/>
      <w:marLeft w:val="0"/>
      <w:marRight w:val="0"/>
      <w:marTop w:val="0"/>
      <w:marBottom w:val="0"/>
      <w:divBdr>
        <w:top w:val="none" w:sz="0" w:space="0" w:color="auto"/>
        <w:left w:val="none" w:sz="0" w:space="0" w:color="auto"/>
        <w:bottom w:val="none" w:sz="0" w:space="0" w:color="auto"/>
        <w:right w:val="none" w:sz="0" w:space="0" w:color="auto"/>
      </w:divBdr>
    </w:div>
    <w:div w:id="1291521268">
      <w:bodyDiv w:val="1"/>
      <w:marLeft w:val="0"/>
      <w:marRight w:val="0"/>
      <w:marTop w:val="0"/>
      <w:marBottom w:val="0"/>
      <w:divBdr>
        <w:top w:val="none" w:sz="0" w:space="0" w:color="auto"/>
        <w:left w:val="none" w:sz="0" w:space="0" w:color="auto"/>
        <w:bottom w:val="none" w:sz="0" w:space="0" w:color="auto"/>
        <w:right w:val="none" w:sz="0" w:space="0" w:color="auto"/>
      </w:divBdr>
    </w:div>
    <w:div w:id="1348412175">
      <w:bodyDiv w:val="1"/>
      <w:marLeft w:val="0"/>
      <w:marRight w:val="0"/>
      <w:marTop w:val="0"/>
      <w:marBottom w:val="0"/>
      <w:divBdr>
        <w:top w:val="none" w:sz="0" w:space="0" w:color="auto"/>
        <w:left w:val="none" w:sz="0" w:space="0" w:color="auto"/>
        <w:bottom w:val="none" w:sz="0" w:space="0" w:color="auto"/>
        <w:right w:val="none" w:sz="0" w:space="0" w:color="auto"/>
      </w:divBdr>
    </w:div>
    <w:div w:id="1412963783">
      <w:bodyDiv w:val="1"/>
      <w:marLeft w:val="0"/>
      <w:marRight w:val="0"/>
      <w:marTop w:val="0"/>
      <w:marBottom w:val="0"/>
      <w:divBdr>
        <w:top w:val="none" w:sz="0" w:space="0" w:color="auto"/>
        <w:left w:val="none" w:sz="0" w:space="0" w:color="auto"/>
        <w:bottom w:val="none" w:sz="0" w:space="0" w:color="auto"/>
        <w:right w:val="none" w:sz="0" w:space="0" w:color="auto"/>
      </w:divBdr>
      <w:divsChild>
        <w:div w:id="1490058478">
          <w:marLeft w:val="0"/>
          <w:marRight w:val="0"/>
          <w:marTop w:val="0"/>
          <w:marBottom w:val="0"/>
          <w:divBdr>
            <w:top w:val="none" w:sz="0" w:space="0" w:color="auto"/>
            <w:left w:val="none" w:sz="0" w:space="0" w:color="auto"/>
            <w:bottom w:val="none" w:sz="0" w:space="0" w:color="auto"/>
            <w:right w:val="none" w:sz="0" w:space="0" w:color="auto"/>
          </w:divBdr>
        </w:div>
      </w:divsChild>
    </w:div>
    <w:div w:id="1417170908">
      <w:bodyDiv w:val="1"/>
      <w:marLeft w:val="0"/>
      <w:marRight w:val="0"/>
      <w:marTop w:val="0"/>
      <w:marBottom w:val="0"/>
      <w:divBdr>
        <w:top w:val="none" w:sz="0" w:space="0" w:color="auto"/>
        <w:left w:val="none" w:sz="0" w:space="0" w:color="auto"/>
        <w:bottom w:val="none" w:sz="0" w:space="0" w:color="auto"/>
        <w:right w:val="none" w:sz="0" w:space="0" w:color="auto"/>
      </w:divBdr>
    </w:div>
    <w:div w:id="1425882453">
      <w:bodyDiv w:val="1"/>
      <w:marLeft w:val="0"/>
      <w:marRight w:val="0"/>
      <w:marTop w:val="0"/>
      <w:marBottom w:val="0"/>
      <w:divBdr>
        <w:top w:val="none" w:sz="0" w:space="0" w:color="auto"/>
        <w:left w:val="none" w:sz="0" w:space="0" w:color="auto"/>
        <w:bottom w:val="none" w:sz="0" w:space="0" w:color="auto"/>
        <w:right w:val="none" w:sz="0" w:space="0" w:color="auto"/>
      </w:divBdr>
    </w:div>
    <w:div w:id="1435326117">
      <w:bodyDiv w:val="1"/>
      <w:marLeft w:val="0"/>
      <w:marRight w:val="0"/>
      <w:marTop w:val="0"/>
      <w:marBottom w:val="0"/>
      <w:divBdr>
        <w:top w:val="none" w:sz="0" w:space="0" w:color="auto"/>
        <w:left w:val="none" w:sz="0" w:space="0" w:color="auto"/>
        <w:bottom w:val="none" w:sz="0" w:space="0" w:color="auto"/>
        <w:right w:val="none" w:sz="0" w:space="0" w:color="auto"/>
      </w:divBdr>
    </w:div>
    <w:div w:id="1466698880">
      <w:bodyDiv w:val="1"/>
      <w:marLeft w:val="0"/>
      <w:marRight w:val="0"/>
      <w:marTop w:val="0"/>
      <w:marBottom w:val="0"/>
      <w:divBdr>
        <w:top w:val="none" w:sz="0" w:space="0" w:color="auto"/>
        <w:left w:val="none" w:sz="0" w:space="0" w:color="auto"/>
        <w:bottom w:val="none" w:sz="0" w:space="0" w:color="auto"/>
        <w:right w:val="none" w:sz="0" w:space="0" w:color="auto"/>
      </w:divBdr>
    </w:div>
    <w:div w:id="1476752631">
      <w:bodyDiv w:val="1"/>
      <w:marLeft w:val="0"/>
      <w:marRight w:val="0"/>
      <w:marTop w:val="0"/>
      <w:marBottom w:val="0"/>
      <w:divBdr>
        <w:top w:val="none" w:sz="0" w:space="0" w:color="auto"/>
        <w:left w:val="none" w:sz="0" w:space="0" w:color="auto"/>
        <w:bottom w:val="none" w:sz="0" w:space="0" w:color="auto"/>
        <w:right w:val="none" w:sz="0" w:space="0" w:color="auto"/>
      </w:divBdr>
    </w:div>
    <w:div w:id="1512377239">
      <w:bodyDiv w:val="1"/>
      <w:marLeft w:val="0"/>
      <w:marRight w:val="0"/>
      <w:marTop w:val="0"/>
      <w:marBottom w:val="0"/>
      <w:divBdr>
        <w:top w:val="none" w:sz="0" w:space="0" w:color="auto"/>
        <w:left w:val="none" w:sz="0" w:space="0" w:color="auto"/>
        <w:bottom w:val="none" w:sz="0" w:space="0" w:color="auto"/>
        <w:right w:val="none" w:sz="0" w:space="0" w:color="auto"/>
      </w:divBdr>
    </w:div>
    <w:div w:id="1525971678">
      <w:bodyDiv w:val="1"/>
      <w:marLeft w:val="0"/>
      <w:marRight w:val="0"/>
      <w:marTop w:val="0"/>
      <w:marBottom w:val="0"/>
      <w:divBdr>
        <w:top w:val="none" w:sz="0" w:space="0" w:color="auto"/>
        <w:left w:val="none" w:sz="0" w:space="0" w:color="auto"/>
        <w:bottom w:val="none" w:sz="0" w:space="0" w:color="auto"/>
        <w:right w:val="none" w:sz="0" w:space="0" w:color="auto"/>
      </w:divBdr>
    </w:div>
    <w:div w:id="1529681730">
      <w:bodyDiv w:val="1"/>
      <w:marLeft w:val="0"/>
      <w:marRight w:val="0"/>
      <w:marTop w:val="0"/>
      <w:marBottom w:val="0"/>
      <w:divBdr>
        <w:top w:val="none" w:sz="0" w:space="0" w:color="auto"/>
        <w:left w:val="none" w:sz="0" w:space="0" w:color="auto"/>
        <w:bottom w:val="none" w:sz="0" w:space="0" w:color="auto"/>
        <w:right w:val="none" w:sz="0" w:space="0" w:color="auto"/>
      </w:divBdr>
    </w:div>
    <w:div w:id="1567689119">
      <w:bodyDiv w:val="1"/>
      <w:marLeft w:val="0"/>
      <w:marRight w:val="0"/>
      <w:marTop w:val="0"/>
      <w:marBottom w:val="0"/>
      <w:divBdr>
        <w:top w:val="none" w:sz="0" w:space="0" w:color="auto"/>
        <w:left w:val="none" w:sz="0" w:space="0" w:color="auto"/>
        <w:bottom w:val="none" w:sz="0" w:space="0" w:color="auto"/>
        <w:right w:val="none" w:sz="0" w:space="0" w:color="auto"/>
      </w:divBdr>
    </w:div>
    <w:div w:id="1614094241">
      <w:bodyDiv w:val="1"/>
      <w:marLeft w:val="0"/>
      <w:marRight w:val="0"/>
      <w:marTop w:val="0"/>
      <w:marBottom w:val="0"/>
      <w:divBdr>
        <w:top w:val="none" w:sz="0" w:space="0" w:color="auto"/>
        <w:left w:val="none" w:sz="0" w:space="0" w:color="auto"/>
        <w:bottom w:val="none" w:sz="0" w:space="0" w:color="auto"/>
        <w:right w:val="none" w:sz="0" w:space="0" w:color="auto"/>
      </w:divBdr>
    </w:div>
    <w:div w:id="1618484553">
      <w:bodyDiv w:val="1"/>
      <w:marLeft w:val="0"/>
      <w:marRight w:val="0"/>
      <w:marTop w:val="0"/>
      <w:marBottom w:val="0"/>
      <w:divBdr>
        <w:top w:val="none" w:sz="0" w:space="0" w:color="auto"/>
        <w:left w:val="none" w:sz="0" w:space="0" w:color="auto"/>
        <w:bottom w:val="none" w:sz="0" w:space="0" w:color="auto"/>
        <w:right w:val="none" w:sz="0" w:space="0" w:color="auto"/>
      </w:divBdr>
    </w:div>
    <w:div w:id="1624386761">
      <w:bodyDiv w:val="1"/>
      <w:marLeft w:val="0"/>
      <w:marRight w:val="0"/>
      <w:marTop w:val="0"/>
      <w:marBottom w:val="0"/>
      <w:divBdr>
        <w:top w:val="none" w:sz="0" w:space="0" w:color="auto"/>
        <w:left w:val="none" w:sz="0" w:space="0" w:color="auto"/>
        <w:bottom w:val="none" w:sz="0" w:space="0" w:color="auto"/>
        <w:right w:val="none" w:sz="0" w:space="0" w:color="auto"/>
      </w:divBdr>
    </w:div>
    <w:div w:id="1651211172">
      <w:bodyDiv w:val="1"/>
      <w:marLeft w:val="0"/>
      <w:marRight w:val="0"/>
      <w:marTop w:val="0"/>
      <w:marBottom w:val="0"/>
      <w:divBdr>
        <w:top w:val="none" w:sz="0" w:space="0" w:color="auto"/>
        <w:left w:val="none" w:sz="0" w:space="0" w:color="auto"/>
        <w:bottom w:val="none" w:sz="0" w:space="0" w:color="auto"/>
        <w:right w:val="none" w:sz="0" w:space="0" w:color="auto"/>
      </w:divBdr>
    </w:div>
    <w:div w:id="1692682350">
      <w:bodyDiv w:val="1"/>
      <w:marLeft w:val="0"/>
      <w:marRight w:val="0"/>
      <w:marTop w:val="0"/>
      <w:marBottom w:val="0"/>
      <w:divBdr>
        <w:top w:val="none" w:sz="0" w:space="0" w:color="auto"/>
        <w:left w:val="none" w:sz="0" w:space="0" w:color="auto"/>
        <w:bottom w:val="none" w:sz="0" w:space="0" w:color="auto"/>
        <w:right w:val="none" w:sz="0" w:space="0" w:color="auto"/>
      </w:divBdr>
    </w:div>
    <w:div w:id="1746805301">
      <w:bodyDiv w:val="1"/>
      <w:marLeft w:val="0"/>
      <w:marRight w:val="0"/>
      <w:marTop w:val="0"/>
      <w:marBottom w:val="0"/>
      <w:divBdr>
        <w:top w:val="none" w:sz="0" w:space="0" w:color="auto"/>
        <w:left w:val="none" w:sz="0" w:space="0" w:color="auto"/>
        <w:bottom w:val="none" w:sz="0" w:space="0" w:color="auto"/>
        <w:right w:val="none" w:sz="0" w:space="0" w:color="auto"/>
      </w:divBdr>
    </w:div>
    <w:div w:id="1756051740">
      <w:bodyDiv w:val="1"/>
      <w:marLeft w:val="0"/>
      <w:marRight w:val="0"/>
      <w:marTop w:val="0"/>
      <w:marBottom w:val="0"/>
      <w:divBdr>
        <w:top w:val="none" w:sz="0" w:space="0" w:color="auto"/>
        <w:left w:val="none" w:sz="0" w:space="0" w:color="auto"/>
        <w:bottom w:val="none" w:sz="0" w:space="0" w:color="auto"/>
        <w:right w:val="none" w:sz="0" w:space="0" w:color="auto"/>
      </w:divBdr>
    </w:div>
    <w:div w:id="1759012515">
      <w:bodyDiv w:val="1"/>
      <w:marLeft w:val="0"/>
      <w:marRight w:val="0"/>
      <w:marTop w:val="0"/>
      <w:marBottom w:val="0"/>
      <w:divBdr>
        <w:top w:val="none" w:sz="0" w:space="0" w:color="auto"/>
        <w:left w:val="none" w:sz="0" w:space="0" w:color="auto"/>
        <w:bottom w:val="none" w:sz="0" w:space="0" w:color="auto"/>
        <w:right w:val="none" w:sz="0" w:space="0" w:color="auto"/>
      </w:divBdr>
    </w:div>
    <w:div w:id="1761021236">
      <w:bodyDiv w:val="1"/>
      <w:marLeft w:val="0"/>
      <w:marRight w:val="0"/>
      <w:marTop w:val="0"/>
      <w:marBottom w:val="0"/>
      <w:divBdr>
        <w:top w:val="none" w:sz="0" w:space="0" w:color="auto"/>
        <w:left w:val="none" w:sz="0" w:space="0" w:color="auto"/>
        <w:bottom w:val="none" w:sz="0" w:space="0" w:color="auto"/>
        <w:right w:val="none" w:sz="0" w:space="0" w:color="auto"/>
      </w:divBdr>
    </w:div>
    <w:div w:id="1763254076">
      <w:bodyDiv w:val="1"/>
      <w:marLeft w:val="0"/>
      <w:marRight w:val="0"/>
      <w:marTop w:val="0"/>
      <w:marBottom w:val="0"/>
      <w:divBdr>
        <w:top w:val="none" w:sz="0" w:space="0" w:color="auto"/>
        <w:left w:val="none" w:sz="0" w:space="0" w:color="auto"/>
        <w:bottom w:val="none" w:sz="0" w:space="0" w:color="auto"/>
        <w:right w:val="none" w:sz="0" w:space="0" w:color="auto"/>
      </w:divBdr>
    </w:div>
    <w:div w:id="1774283655">
      <w:bodyDiv w:val="1"/>
      <w:marLeft w:val="0"/>
      <w:marRight w:val="0"/>
      <w:marTop w:val="0"/>
      <w:marBottom w:val="0"/>
      <w:divBdr>
        <w:top w:val="none" w:sz="0" w:space="0" w:color="auto"/>
        <w:left w:val="none" w:sz="0" w:space="0" w:color="auto"/>
        <w:bottom w:val="none" w:sz="0" w:space="0" w:color="auto"/>
        <w:right w:val="none" w:sz="0" w:space="0" w:color="auto"/>
      </w:divBdr>
    </w:div>
    <w:div w:id="1804614160">
      <w:bodyDiv w:val="1"/>
      <w:marLeft w:val="0"/>
      <w:marRight w:val="0"/>
      <w:marTop w:val="0"/>
      <w:marBottom w:val="0"/>
      <w:divBdr>
        <w:top w:val="none" w:sz="0" w:space="0" w:color="auto"/>
        <w:left w:val="none" w:sz="0" w:space="0" w:color="auto"/>
        <w:bottom w:val="none" w:sz="0" w:space="0" w:color="auto"/>
        <w:right w:val="none" w:sz="0" w:space="0" w:color="auto"/>
      </w:divBdr>
    </w:div>
    <w:div w:id="1806117010">
      <w:bodyDiv w:val="1"/>
      <w:marLeft w:val="0"/>
      <w:marRight w:val="0"/>
      <w:marTop w:val="0"/>
      <w:marBottom w:val="0"/>
      <w:divBdr>
        <w:top w:val="none" w:sz="0" w:space="0" w:color="auto"/>
        <w:left w:val="none" w:sz="0" w:space="0" w:color="auto"/>
        <w:bottom w:val="none" w:sz="0" w:space="0" w:color="auto"/>
        <w:right w:val="none" w:sz="0" w:space="0" w:color="auto"/>
      </w:divBdr>
    </w:div>
    <w:div w:id="1814786263">
      <w:bodyDiv w:val="1"/>
      <w:marLeft w:val="0"/>
      <w:marRight w:val="0"/>
      <w:marTop w:val="0"/>
      <w:marBottom w:val="0"/>
      <w:divBdr>
        <w:top w:val="none" w:sz="0" w:space="0" w:color="auto"/>
        <w:left w:val="none" w:sz="0" w:space="0" w:color="auto"/>
        <w:bottom w:val="none" w:sz="0" w:space="0" w:color="auto"/>
        <w:right w:val="none" w:sz="0" w:space="0" w:color="auto"/>
      </w:divBdr>
    </w:div>
    <w:div w:id="1864400767">
      <w:bodyDiv w:val="1"/>
      <w:marLeft w:val="0"/>
      <w:marRight w:val="0"/>
      <w:marTop w:val="0"/>
      <w:marBottom w:val="0"/>
      <w:divBdr>
        <w:top w:val="none" w:sz="0" w:space="0" w:color="auto"/>
        <w:left w:val="none" w:sz="0" w:space="0" w:color="auto"/>
        <w:bottom w:val="none" w:sz="0" w:space="0" w:color="auto"/>
        <w:right w:val="none" w:sz="0" w:space="0" w:color="auto"/>
      </w:divBdr>
    </w:div>
    <w:div w:id="1889609438">
      <w:bodyDiv w:val="1"/>
      <w:marLeft w:val="0"/>
      <w:marRight w:val="0"/>
      <w:marTop w:val="0"/>
      <w:marBottom w:val="0"/>
      <w:divBdr>
        <w:top w:val="none" w:sz="0" w:space="0" w:color="auto"/>
        <w:left w:val="none" w:sz="0" w:space="0" w:color="auto"/>
        <w:bottom w:val="none" w:sz="0" w:space="0" w:color="auto"/>
        <w:right w:val="none" w:sz="0" w:space="0" w:color="auto"/>
      </w:divBdr>
    </w:div>
    <w:div w:id="1916234205">
      <w:bodyDiv w:val="1"/>
      <w:marLeft w:val="0"/>
      <w:marRight w:val="0"/>
      <w:marTop w:val="0"/>
      <w:marBottom w:val="0"/>
      <w:divBdr>
        <w:top w:val="none" w:sz="0" w:space="0" w:color="auto"/>
        <w:left w:val="none" w:sz="0" w:space="0" w:color="auto"/>
        <w:bottom w:val="none" w:sz="0" w:space="0" w:color="auto"/>
        <w:right w:val="none" w:sz="0" w:space="0" w:color="auto"/>
      </w:divBdr>
    </w:div>
    <w:div w:id="1924604357">
      <w:bodyDiv w:val="1"/>
      <w:marLeft w:val="0"/>
      <w:marRight w:val="0"/>
      <w:marTop w:val="0"/>
      <w:marBottom w:val="0"/>
      <w:divBdr>
        <w:top w:val="none" w:sz="0" w:space="0" w:color="auto"/>
        <w:left w:val="none" w:sz="0" w:space="0" w:color="auto"/>
        <w:bottom w:val="none" w:sz="0" w:space="0" w:color="auto"/>
        <w:right w:val="none" w:sz="0" w:space="0" w:color="auto"/>
      </w:divBdr>
    </w:div>
    <w:div w:id="1938827419">
      <w:bodyDiv w:val="1"/>
      <w:marLeft w:val="0"/>
      <w:marRight w:val="0"/>
      <w:marTop w:val="0"/>
      <w:marBottom w:val="0"/>
      <w:divBdr>
        <w:top w:val="none" w:sz="0" w:space="0" w:color="auto"/>
        <w:left w:val="none" w:sz="0" w:space="0" w:color="auto"/>
        <w:bottom w:val="none" w:sz="0" w:space="0" w:color="auto"/>
        <w:right w:val="none" w:sz="0" w:space="0" w:color="auto"/>
      </w:divBdr>
    </w:div>
    <w:div w:id="1950161420">
      <w:bodyDiv w:val="1"/>
      <w:marLeft w:val="0"/>
      <w:marRight w:val="0"/>
      <w:marTop w:val="0"/>
      <w:marBottom w:val="0"/>
      <w:divBdr>
        <w:top w:val="none" w:sz="0" w:space="0" w:color="auto"/>
        <w:left w:val="none" w:sz="0" w:space="0" w:color="auto"/>
        <w:bottom w:val="none" w:sz="0" w:space="0" w:color="auto"/>
        <w:right w:val="none" w:sz="0" w:space="0" w:color="auto"/>
      </w:divBdr>
    </w:div>
    <w:div w:id="1976331601">
      <w:bodyDiv w:val="1"/>
      <w:marLeft w:val="0"/>
      <w:marRight w:val="0"/>
      <w:marTop w:val="0"/>
      <w:marBottom w:val="0"/>
      <w:divBdr>
        <w:top w:val="none" w:sz="0" w:space="0" w:color="auto"/>
        <w:left w:val="none" w:sz="0" w:space="0" w:color="auto"/>
        <w:bottom w:val="none" w:sz="0" w:space="0" w:color="auto"/>
        <w:right w:val="none" w:sz="0" w:space="0" w:color="auto"/>
      </w:divBdr>
    </w:div>
    <w:div w:id="1996294367">
      <w:bodyDiv w:val="1"/>
      <w:marLeft w:val="0"/>
      <w:marRight w:val="0"/>
      <w:marTop w:val="0"/>
      <w:marBottom w:val="0"/>
      <w:divBdr>
        <w:top w:val="none" w:sz="0" w:space="0" w:color="auto"/>
        <w:left w:val="none" w:sz="0" w:space="0" w:color="auto"/>
        <w:bottom w:val="none" w:sz="0" w:space="0" w:color="auto"/>
        <w:right w:val="none" w:sz="0" w:space="0" w:color="auto"/>
      </w:divBdr>
    </w:div>
    <w:div w:id="1997953383">
      <w:bodyDiv w:val="1"/>
      <w:marLeft w:val="0"/>
      <w:marRight w:val="0"/>
      <w:marTop w:val="0"/>
      <w:marBottom w:val="0"/>
      <w:divBdr>
        <w:top w:val="none" w:sz="0" w:space="0" w:color="auto"/>
        <w:left w:val="none" w:sz="0" w:space="0" w:color="auto"/>
        <w:bottom w:val="none" w:sz="0" w:space="0" w:color="auto"/>
        <w:right w:val="none" w:sz="0" w:space="0" w:color="auto"/>
      </w:divBdr>
    </w:div>
    <w:div w:id="2002850000">
      <w:bodyDiv w:val="1"/>
      <w:marLeft w:val="0"/>
      <w:marRight w:val="0"/>
      <w:marTop w:val="0"/>
      <w:marBottom w:val="0"/>
      <w:divBdr>
        <w:top w:val="none" w:sz="0" w:space="0" w:color="auto"/>
        <w:left w:val="none" w:sz="0" w:space="0" w:color="auto"/>
        <w:bottom w:val="none" w:sz="0" w:space="0" w:color="auto"/>
        <w:right w:val="none" w:sz="0" w:space="0" w:color="auto"/>
      </w:divBdr>
    </w:div>
    <w:div w:id="2008359872">
      <w:bodyDiv w:val="1"/>
      <w:marLeft w:val="0"/>
      <w:marRight w:val="0"/>
      <w:marTop w:val="0"/>
      <w:marBottom w:val="0"/>
      <w:divBdr>
        <w:top w:val="none" w:sz="0" w:space="0" w:color="auto"/>
        <w:left w:val="none" w:sz="0" w:space="0" w:color="auto"/>
        <w:bottom w:val="none" w:sz="0" w:space="0" w:color="auto"/>
        <w:right w:val="none" w:sz="0" w:space="0" w:color="auto"/>
      </w:divBdr>
    </w:div>
    <w:div w:id="2015110158">
      <w:bodyDiv w:val="1"/>
      <w:marLeft w:val="0"/>
      <w:marRight w:val="0"/>
      <w:marTop w:val="0"/>
      <w:marBottom w:val="0"/>
      <w:divBdr>
        <w:top w:val="none" w:sz="0" w:space="0" w:color="auto"/>
        <w:left w:val="none" w:sz="0" w:space="0" w:color="auto"/>
        <w:bottom w:val="none" w:sz="0" w:space="0" w:color="auto"/>
        <w:right w:val="none" w:sz="0" w:space="0" w:color="auto"/>
      </w:divBdr>
    </w:div>
    <w:div w:id="2034769767">
      <w:bodyDiv w:val="1"/>
      <w:marLeft w:val="0"/>
      <w:marRight w:val="0"/>
      <w:marTop w:val="0"/>
      <w:marBottom w:val="0"/>
      <w:divBdr>
        <w:top w:val="none" w:sz="0" w:space="0" w:color="auto"/>
        <w:left w:val="none" w:sz="0" w:space="0" w:color="auto"/>
        <w:bottom w:val="none" w:sz="0" w:space="0" w:color="auto"/>
        <w:right w:val="none" w:sz="0" w:space="0" w:color="auto"/>
      </w:divBdr>
    </w:div>
    <w:div w:id="2078703209">
      <w:bodyDiv w:val="1"/>
      <w:marLeft w:val="0"/>
      <w:marRight w:val="0"/>
      <w:marTop w:val="0"/>
      <w:marBottom w:val="0"/>
      <w:divBdr>
        <w:top w:val="none" w:sz="0" w:space="0" w:color="auto"/>
        <w:left w:val="none" w:sz="0" w:space="0" w:color="auto"/>
        <w:bottom w:val="none" w:sz="0" w:space="0" w:color="auto"/>
        <w:right w:val="none" w:sz="0" w:space="0" w:color="auto"/>
      </w:divBdr>
    </w:div>
    <w:div w:id="2079471497">
      <w:bodyDiv w:val="1"/>
      <w:marLeft w:val="0"/>
      <w:marRight w:val="0"/>
      <w:marTop w:val="0"/>
      <w:marBottom w:val="0"/>
      <w:divBdr>
        <w:top w:val="none" w:sz="0" w:space="0" w:color="auto"/>
        <w:left w:val="none" w:sz="0" w:space="0" w:color="auto"/>
        <w:bottom w:val="none" w:sz="0" w:space="0" w:color="auto"/>
        <w:right w:val="none" w:sz="0" w:space="0" w:color="auto"/>
      </w:divBdr>
    </w:div>
    <w:div w:id="2080397863">
      <w:bodyDiv w:val="1"/>
      <w:marLeft w:val="0"/>
      <w:marRight w:val="0"/>
      <w:marTop w:val="0"/>
      <w:marBottom w:val="0"/>
      <w:divBdr>
        <w:top w:val="none" w:sz="0" w:space="0" w:color="auto"/>
        <w:left w:val="none" w:sz="0" w:space="0" w:color="auto"/>
        <w:bottom w:val="none" w:sz="0" w:space="0" w:color="auto"/>
        <w:right w:val="none" w:sz="0" w:space="0" w:color="auto"/>
      </w:divBdr>
    </w:div>
    <w:div w:id="2099792843">
      <w:bodyDiv w:val="1"/>
      <w:marLeft w:val="0"/>
      <w:marRight w:val="0"/>
      <w:marTop w:val="0"/>
      <w:marBottom w:val="0"/>
      <w:divBdr>
        <w:top w:val="none" w:sz="0" w:space="0" w:color="auto"/>
        <w:left w:val="none" w:sz="0" w:space="0" w:color="auto"/>
        <w:bottom w:val="none" w:sz="0" w:space="0" w:color="auto"/>
        <w:right w:val="none" w:sz="0" w:space="0" w:color="auto"/>
      </w:divBdr>
    </w:div>
    <w:div w:id="2099906983">
      <w:bodyDiv w:val="1"/>
      <w:marLeft w:val="0"/>
      <w:marRight w:val="0"/>
      <w:marTop w:val="0"/>
      <w:marBottom w:val="0"/>
      <w:divBdr>
        <w:top w:val="none" w:sz="0" w:space="0" w:color="auto"/>
        <w:left w:val="none" w:sz="0" w:space="0" w:color="auto"/>
        <w:bottom w:val="none" w:sz="0" w:space="0" w:color="auto"/>
        <w:right w:val="none" w:sz="0" w:space="0" w:color="auto"/>
      </w:divBdr>
    </w:div>
    <w:div w:id="2116904517">
      <w:bodyDiv w:val="1"/>
      <w:marLeft w:val="0"/>
      <w:marRight w:val="0"/>
      <w:marTop w:val="0"/>
      <w:marBottom w:val="0"/>
      <w:divBdr>
        <w:top w:val="none" w:sz="0" w:space="0" w:color="auto"/>
        <w:left w:val="none" w:sz="0" w:space="0" w:color="auto"/>
        <w:bottom w:val="none" w:sz="0" w:space="0" w:color="auto"/>
        <w:right w:val="none" w:sz="0" w:space="0" w:color="auto"/>
      </w:divBdr>
    </w:div>
    <w:div w:id="2129228623">
      <w:bodyDiv w:val="1"/>
      <w:marLeft w:val="0"/>
      <w:marRight w:val="0"/>
      <w:marTop w:val="0"/>
      <w:marBottom w:val="0"/>
      <w:divBdr>
        <w:top w:val="none" w:sz="0" w:space="0" w:color="auto"/>
        <w:left w:val="none" w:sz="0" w:space="0" w:color="auto"/>
        <w:bottom w:val="none" w:sz="0" w:space="0" w:color="auto"/>
        <w:right w:val="none" w:sz="0" w:space="0" w:color="auto"/>
      </w:divBdr>
    </w:div>
    <w:div w:id="2131823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attachment/c23005f5-2703-4278-a579-b2c3e6071d9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D0D1C-FD76-4482-ABEA-D3B0464C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11992</Words>
  <Characters>71957</Characters>
  <Application>Microsoft Office Word</Application>
  <DocSecurity>0</DocSecurity>
  <Lines>599</Lines>
  <Paragraphs>167</Paragraphs>
  <ScaleCrop>false</ScaleCrop>
  <Company/>
  <LinksUpToDate>false</LinksUpToDate>
  <CharactersWithSpaces>83782</CharactersWithSpaces>
  <SharedDoc>false</SharedDoc>
  <HLinks>
    <vt:vector size="6" baseType="variant">
      <vt:variant>
        <vt:i4>3538995</vt:i4>
      </vt:variant>
      <vt:variant>
        <vt:i4>0</vt:i4>
      </vt:variant>
      <vt:variant>
        <vt:i4>0</vt:i4>
      </vt:variant>
      <vt:variant>
        <vt:i4>5</vt:i4>
      </vt:variant>
      <vt:variant>
        <vt:lpwstr>https://www.gov.pl/attachment/c23005f5-2703-4278-a579-b2c3e6071d91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2025-04-10T05:08:00Z</dcterms:created>
  <dcterms:modified xsi:type="dcterms:W3CDTF">2025-04-10T05:08:00Z</dcterms:modified>
</cp:coreProperties>
</file>