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F3" w:rsidRPr="00586653" w:rsidRDefault="000569F3" w:rsidP="00586653">
      <w:pPr>
        <w:pStyle w:val="Akapitzlist"/>
        <w:numPr>
          <w:ilvl w:val="0"/>
          <w:numId w:val="6"/>
        </w:numPr>
        <w:spacing w:after="240" w:line="307" w:lineRule="exact"/>
        <w:ind w:right="40"/>
        <w:jc w:val="both"/>
        <w:rPr>
          <w:rFonts w:ascii="Verdana" w:hAnsi="Verdana"/>
          <w:b/>
          <w:sz w:val="24"/>
          <w:szCs w:val="24"/>
        </w:rPr>
      </w:pPr>
      <w:bookmarkStart w:id="0" w:name="_GoBack"/>
      <w:bookmarkEnd w:id="0"/>
      <w:r w:rsidRPr="00586653">
        <w:rPr>
          <w:rFonts w:ascii="Verdana" w:hAnsi="Verdana"/>
          <w:b/>
          <w:sz w:val="24"/>
          <w:szCs w:val="24"/>
        </w:rPr>
        <w:t xml:space="preserve">Informacje o realizacji kontraktu pn „Budowie autostrady </w:t>
      </w:r>
      <w:r w:rsidRPr="00586653">
        <w:rPr>
          <w:rFonts w:ascii="Verdana" w:hAnsi="Verdana"/>
          <w:b/>
          <w:sz w:val="24"/>
          <w:szCs w:val="24"/>
        </w:rPr>
        <w:br/>
        <w:t>A-4 Tarnów — Rzeszów na odcinku od węzła Rzeszów Centralny do węzła Rzeszów Wschód km około 574+300 do około 581+250"</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 xml:space="preserve">W dniu 26 lutego 2010 r. pomiędzy Skarbem Państwa - Generalnym Dyrektorem Dróg Krajowych i Autostrad jako Zamawiającym, a konsorcjum firm Mostostal Warszawa S.A. z siedzibą w Warszawie oraz </w:t>
      </w:r>
      <w:r w:rsidRPr="000569F3">
        <w:rPr>
          <w:rFonts w:ascii="Verdana" w:hAnsi="Verdana"/>
          <w:sz w:val="20"/>
          <w:szCs w:val="20"/>
          <w:lang w:val="es-ES_tradnl" w:eastAsia="es-ES_tradnl"/>
        </w:rPr>
        <w:t xml:space="preserve">Acciona Infraestructuras </w:t>
      </w:r>
      <w:r w:rsidRPr="000569F3">
        <w:rPr>
          <w:rFonts w:ascii="Verdana" w:hAnsi="Verdana"/>
          <w:sz w:val="20"/>
          <w:szCs w:val="20"/>
        </w:rPr>
        <w:t>S.A. z siedzibą w Madrycie, jako Wykonawcą, została zawarta Umowa nr 2811/3/2010 (zwana również</w:t>
      </w:r>
      <w:r w:rsidRPr="000569F3">
        <w:rPr>
          <w:rStyle w:val="BodytextBold"/>
          <w:rFonts w:ascii="Verdana" w:hAnsi="Verdana"/>
          <w:sz w:val="20"/>
          <w:szCs w:val="20"/>
        </w:rPr>
        <w:t xml:space="preserve"> „Umowa"</w:t>
      </w:r>
      <w:r w:rsidRPr="000569F3">
        <w:rPr>
          <w:rFonts w:ascii="Verdana" w:hAnsi="Verdana"/>
          <w:sz w:val="20"/>
          <w:szCs w:val="20"/>
        </w:rPr>
        <w:t xml:space="preserve"> lub </w:t>
      </w:r>
      <w:r w:rsidRPr="000569F3">
        <w:rPr>
          <w:rStyle w:val="BodytextBold"/>
          <w:rFonts w:ascii="Verdana" w:hAnsi="Verdana"/>
          <w:sz w:val="20"/>
          <w:szCs w:val="20"/>
        </w:rPr>
        <w:t>„Kontrakt"),</w:t>
      </w:r>
      <w:r w:rsidRPr="000569F3">
        <w:rPr>
          <w:rFonts w:ascii="Verdana" w:hAnsi="Verdana"/>
          <w:sz w:val="20"/>
          <w:szCs w:val="20"/>
        </w:rPr>
        <w:t xml:space="preserve"> na podstawie której, Powodowie zobowiązali się do wykonania robót polegających na: „Budowie autostrady A-4 Tarnów — Rzeszów na odcinku od węzła Rzeszów Centralny do węzła Rzeszów Wschód km około 574+300 do około 581+250" (zwanych również</w:t>
      </w:r>
      <w:r w:rsidRPr="000569F3">
        <w:rPr>
          <w:rStyle w:val="BodytextBold"/>
          <w:rFonts w:ascii="Verdana" w:hAnsi="Verdana"/>
          <w:sz w:val="20"/>
          <w:szCs w:val="20"/>
        </w:rPr>
        <w:t xml:space="preserve"> „Inwestycja"</w:t>
      </w:r>
      <w:r w:rsidRPr="000569F3">
        <w:rPr>
          <w:rFonts w:ascii="Verdana" w:hAnsi="Verdana"/>
          <w:sz w:val="20"/>
          <w:szCs w:val="20"/>
        </w:rPr>
        <w:t xml:space="preserve"> lub</w:t>
      </w:r>
      <w:r w:rsidRPr="000569F3">
        <w:rPr>
          <w:rStyle w:val="BodytextBold"/>
          <w:rFonts w:ascii="Verdana" w:hAnsi="Verdana"/>
          <w:sz w:val="20"/>
          <w:szCs w:val="20"/>
        </w:rPr>
        <w:t xml:space="preserve"> „Roboty").</w:t>
      </w:r>
      <w:r w:rsidRPr="000569F3">
        <w:rPr>
          <w:rFonts w:ascii="Verdana" w:hAnsi="Verdana"/>
          <w:sz w:val="20"/>
          <w:szCs w:val="20"/>
        </w:rPr>
        <w:t xml:space="preserve"> Zgodnie z pierwotnym brzmieniem jego par. 5</w:t>
      </w:r>
      <w:r>
        <w:rPr>
          <w:rFonts w:ascii="Verdana" w:hAnsi="Verdana"/>
          <w:sz w:val="20"/>
          <w:szCs w:val="20"/>
        </w:rPr>
        <w:t xml:space="preserve"> Kontraktu, przedmiot Umowy miał</w:t>
      </w:r>
      <w:r w:rsidRPr="000569F3">
        <w:rPr>
          <w:rFonts w:ascii="Verdana" w:hAnsi="Verdana"/>
          <w:sz w:val="20"/>
          <w:szCs w:val="20"/>
        </w:rPr>
        <w:t xml:space="preserve"> zostać ukończony w terminie 18 miesięcy od Daty Rozpoczęcia. Rozpoczęcie Robót nastąpiło w dniu 29 marca 2009 r. Od tego dnia należało liczyć upływ 18-miesięcznego terminu na wykonanie robót budowlanych.</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W dniu 28 lipca 2010 r. Wykonawca złożył Roszczenie nr 1 o przesunięcie terminu wykonania Wymaganej Minimalnej Ilości Wykonania z dnia 28 sierpnia 2010 r. na dzień 28 października 2010r., przedłużenie Czasu na Ukończenie oraz dodatkową płatność w wydłużonym okresie realizacji Kontraktu. W dniu 17 września 2010 r. Inżynier Kontraktu rozstrzygnął Roszczenie nr 1, w którym zgodził się na przesunięcie terminu wykonania Wymaganej Minimalnej Ilości Wykonania o 31 dni ze względu na wybitnie niesprzyjające warunki klimatyczne w okresie od 15 maja do 20 czerwca. W pozostałej części Roszczenie zostało zawieszone.</w:t>
      </w:r>
    </w:p>
    <w:p w:rsid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W dniu 3 września 2010 r. Wykonawca zgłosił Roszczenie nr 2 z tytułu ponadnormatywnych opadów deszczu w lipcu 2010 r. i wniósł o przesunięcie terminu</w:t>
      </w:r>
      <w:r>
        <w:rPr>
          <w:rFonts w:ascii="Verdana" w:hAnsi="Verdana"/>
          <w:sz w:val="20"/>
          <w:szCs w:val="20"/>
        </w:rPr>
        <w:t xml:space="preserve"> </w:t>
      </w:r>
      <w:r w:rsidRPr="000569F3">
        <w:rPr>
          <w:rFonts w:ascii="Verdana" w:hAnsi="Verdana"/>
          <w:sz w:val="20"/>
          <w:szCs w:val="20"/>
        </w:rPr>
        <w:t>wykonania kamienia milowego, przedłużenie Czasu na Ukończenie, dodatkową płatność i zwrot kosztów za odpompowywanie wody, wskazując Sub klauzule 8.4 lit.c), 17.3 lit.h), 17.4, 19.1 i 20.1 Warunków Kontraktu. W ostatecznym rozstrzygnięciu, po uzgodnieniu z Zamawiającym Inżynier odrzucił roszczenie stwierdzając, że jest ono bezzasadne i wnioskowane przez Wykonawcę opóźnienie jest możliwe do nadrobienia w ciągu trwania Kontraktu</w:t>
      </w:r>
      <w:r>
        <w:rPr>
          <w:rFonts w:ascii="Verdana" w:hAnsi="Verdana"/>
          <w:sz w:val="20"/>
          <w:szCs w:val="20"/>
        </w:rPr>
        <w:t>.</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W dniu 10 listopada 2010 r. Strony zawarły Aneks nr 1 do Umowy, w którym zmieniły postanowienie zawarte w Załączniku do oferty w Formularzu 2.1. i ustaliły, że Wymagana Minimalna Ilość Wykonania stanowi wykonanie w terminie do 04 października 2010 r. zaakceptowanych Robót o wartości nie mniejszej niż 10% Zaakceptowanej Kwoty Kontraktowej, zaś pozostałe postanowienia Umowy pozostają bez zmian.</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 xml:space="preserve">W dniu 28 stycznia 2011 r. Wykonawca złożył Roszczenie nr 3 o przedłużenie Czasu na Ukończenie o 8 miesięcy, dodatkową płatność z tytułu kosztów ogólnych oraz zwrot kosztów za osuszanie terenu. Inżynier wyraził zgodę na 35 dni roboczych przedłużenia Czasu na Ukończenie oraz dodatkową płatność z tytułu kosztów ogólnych za 24 dni </w:t>
      </w:r>
      <w:r w:rsidRPr="000569F3">
        <w:rPr>
          <w:rFonts w:ascii="Verdana" w:hAnsi="Verdana"/>
          <w:sz w:val="20"/>
          <w:szCs w:val="20"/>
        </w:rPr>
        <w:lastRenderedPageBreak/>
        <w:t>robocze uznane na podstawie Subklauzuli 17.4 Warunków Kontraktu w kwocie 243.943,09 złotych.</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W dniu 13 września 2011 r. Wykonawca złożył Roszczenie nr 6 o przedłużenie Czasu na Ukończenie i dodatkową płatność, w oparciu o Subklazule 17.3, 17.4, 19.1, 19.2, 19.4 i 20.1 Warunków Kontraktu.</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Po uzgodnieniu z Zamawiającym na podstawie Subklazuli 3.1, Inżynier wyraził zgodę na 17 dni roboczych przedłużenia Czasu na Ukończenie oraz dodatkową płatność z tytułu kosztów ogólnych za 9 dni roboczych uznanych na podstawie Subklazuli 17.4 Warunków Kontraktu w kwocie 63.299,94 złotych.</w:t>
      </w:r>
    </w:p>
    <w:p w:rsidR="000569F3" w:rsidRP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Z uwagi na zmianę stawki podatku od towarów i usług z dotychczasowej 22% na stawkę 23% w dniu 8 września 2011 r. Strony zawarły Aneks nr 2, w którym postanowiły, że zaakceptowana kwota kontraktowa wynosi netto 360.195.330,93 zł plus podatek Vat liczony od kwoty netto 89.336.024,46 zł wg. stawki 22% oraz od kwoty 270.859.306,47 zł według stawki 23 %, oraz określiły maksymalną wysokość zobowiązania na kwotę 505.354.049,29 zł. Strony postanowiły także, że za część Kontraktu uważane będą dodatkowo Aneks nr 1 i Aneks nr 2, oraz potwierdziły, że pozostałe postanowienia umowy i warunki umowy nr 2811/3/2010 z dnia 26.02.2010 r. pozostają bez zmian.</w:t>
      </w:r>
    </w:p>
    <w:p w:rsidR="000569F3" w:rsidRDefault="000569F3"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sidRPr="000569F3">
        <w:rPr>
          <w:rFonts w:ascii="Verdana" w:hAnsi="Verdana"/>
          <w:sz w:val="20"/>
          <w:szCs w:val="20"/>
        </w:rPr>
        <w:t>W dniu 22 września 2011 r. Strony zawarły Aneks nr 3, w którym wskazały, że w związku z falami powodziowymi na przełomie maja i czerwca oraz w lipcu 2010 r., które to spowodowały zalanie i podtopienia Placu Budowy, w związku z czym Wykonawca doznał opóźnień, po rozpatrzeniu zgłaszanych z tego tytułu roszczeń, Strony postanowiły przedłużyć Czas na Ukończenie i Wykonawca zobowiązał się wobec Zamawiającego do zakończenia przedmiotu umowy w terminie 18 miesięcy i 35 dni roboczych od Daty Rozpoczęcia. Jednocześnie Strony postanowiły, że za część Kontraktu będzie uważany</w:t>
      </w:r>
      <w:r>
        <w:rPr>
          <w:rFonts w:ascii="Verdana" w:hAnsi="Verdana"/>
          <w:sz w:val="20"/>
          <w:szCs w:val="20"/>
        </w:rPr>
        <w:t xml:space="preserve"> </w:t>
      </w:r>
      <w:r w:rsidRPr="000569F3">
        <w:rPr>
          <w:rFonts w:ascii="Verdana" w:hAnsi="Verdana"/>
          <w:sz w:val="20"/>
          <w:szCs w:val="20"/>
        </w:rPr>
        <w:t>dodatkowo Aneks nr 3 oraz oświadczyły, że pozostałe postanowienia umowy i warunki umowy nr 2811 /</w:t>
      </w:r>
      <w:r>
        <w:rPr>
          <w:rFonts w:ascii="Verdana" w:hAnsi="Verdana"/>
          <w:sz w:val="20"/>
          <w:szCs w:val="20"/>
        </w:rPr>
        <w:t>3/2010 z</w:t>
      </w:r>
      <w:r w:rsidRPr="000569F3">
        <w:rPr>
          <w:rFonts w:ascii="Verdana" w:hAnsi="Verdana"/>
          <w:sz w:val="20"/>
          <w:szCs w:val="20"/>
        </w:rPr>
        <w:t xml:space="preserve"> dnia 26.02.2010 r. pozostają </w:t>
      </w:r>
      <w:r>
        <w:rPr>
          <w:rFonts w:ascii="Verdana" w:hAnsi="Verdana"/>
          <w:sz w:val="20"/>
          <w:szCs w:val="20"/>
        </w:rPr>
        <w:t>bez z</w:t>
      </w:r>
      <w:r w:rsidRPr="000569F3">
        <w:rPr>
          <w:rFonts w:ascii="Verdana" w:hAnsi="Verdana"/>
          <w:sz w:val="20"/>
          <w:szCs w:val="20"/>
        </w:rPr>
        <w:t>mian.</w:t>
      </w:r>
    </w:p>
    <w:p w:rsidR="000569F3" w:rsidRDefault="00BD70C2" w:rsidP="000569F3">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000569F3" w:rsidRPr="000569F3">
        <w:rPr>
          <w:rFonts w:ascii="Verdana" w:hAnsi="Verdana"/>
          <w:sz w:val="20"/>
          <w:szCs w:val="20"/>
        </w:rPr>
        <w:t>W dniu 17 listopada 2011 r. Strony zawarły Aneks nr 4, w preambule którego wskazywały, że:</w:t>
      </w:r>
    </w:p>
    <w:p w:rsidR="000569F3" w:rsidRPr="000569F3" w:rsidRDefault="000569F3" w:rsidP="000569F3">
      <w:pPr>
        <w:pStyle w:val="Tekstpodstawowy"/>
        <w:numPr>
          <w:ilvl w:val="0"/>
          <w:numId w:val="4"/>
        </w:numPr>
        <w:shd w:val="clear" w:color="auto" w:fill="auto"/>
        <w:tabs>
          <w:tab w:val="left" w:pos="866"/>
        </w:tabs>
        <w:spacing w:after="240" w:line="307" w:lineRule="exact"/>
        <w:ind w:right="40"/>
        <w:jc w:val="both"/>
        <w:rPr>
          <w:rFonts w:ascii="Verdana" w:hAnsi="Verdana"/>
          <w:sz w:val="20"/>
          <w:szCs w:val="20"/>
        </w:rPr>
      </w:pPr>
      <w:r w:rsidRPr="000569F3">
        <w:rPr>
          <w:rFonts w:ascii="Verdana" w:hAnsi="Verdana"/>
          <w:sz w:val="20"/>
          <w:szCs w:val="20"/>
        </w:rPr>
        <w:t>Wykonawca złożył roszczenie, w związku z ponadnormatywnymi opadami w lipcu. Wystąpienie ponadnormatywnych opadów atmosferycznych spowodowało uszkodzenie wykonanych robót oraz uniemożliwiło Wykonawcy osiągnięcie zakładanych przerobów, w związku z czym Wykonawca doznał niezależnych od niego opóźnień w realizacji robót.</w:t>
      </w:r>
    </w:p>
    <w:p w:rsidR="000569F3" w:rsidRPr="000569F3" w:rsidRDefault="000569F3" w:rsidP="000569F3">
      <w:pPr>
        <w:pStyle w:val="Tekstpodstawowy"/>
        <w:numPr>
          <w:ilvl w:val="0"/>
          <w:numId w:val="4"/>
        </w:numPr>
        <w:shd w:val="clear" w:color="auto" w:fill="auto"/>
        <w:tabs>
          <w:tab w:val="left" w:pos="866"/>
        </w:tabs>
        <w:spacing w:after="240" w:line="307" w:lineRule="exact"/>
        <w:ind w:right="40"/>
        <w:jc w:val="both"/>
        <w:rPr>
          <w:rFonts w:ascii="Verdana" w:hAnsi="Verdana"/>
          <w:sz w:val="20"/>
          <w:szCs w:val="20"/>
        </w:rPr>
      </w:pPr>
      <w:r w:rsidRPr="000569F3">
        <w:rPr>
          <w:rFonts w:ascii="Verdana" w:hAnsi="Verdana"/>
          <w:sz w:val="20"/>
          <w:szCs w:val="20"/>
        </w:rPr>
        <w:t>Po rozpatrzeniu roszczeń uznano, zgodnie z Subklauzulą 8.4 Warunków Kontraktu 17 dni roboczych Przedłużenia Czasu na Ukończenie, Zamawiający przyznał dodatkowe koszty z tytułu zwiększenia Kosztów Ogólnych za dni uznane na podstawie Subklauzuli 17.4 Warunków Kontraktu w wysokości 63.299,94 zł, co zostało uregulowane poprzez wprowadzenie zmiany do Kontraktu w trybie Klauzuli 13 Warunków Kontraktu i usankcjonowane przedmiotowym Aneksem.</w:t>
      </w:r>
    </w:p>
    <w:p w:rsidR="000569F3" w:rsidRPr="000569F3" w:rsidRDefault="000569F3" w:rsidP="00BD70C2">
      <w:pPr>
        <w:pStyle w:val="Tekstpodstawowy"/>
        <w:tabs>
          <w:tab w:val="left" w:pos="866"/>
        </w:tabs>
        <w:spacing w:after="240" w:line="307" w:lineRule="exact"/>
        <w:ind w:right="40" w:firstLine="0"/>
        <w:jc w:val="both"/>
        <w:rPr>
          <w:rFonts w:ascii="Verdana" w:hAnsi="Verdana"/>
          <w:sz w:val="20"/>
          <w:szCs w:val="20"/>
        </w:rPr>
      </w:pPr>
      <w:r w:rsidRPr="000569F3">
        <w:rPr>
          <w:rFonts w:ascii="Verdana" w:hAnsi="Verdana"/>
          <w:sz w:val="20"/>
          <w:szCs w:val="20"/>
        </w:rPr>
        <w:lastRenderedPageBreak/>
        <w:t>W związku z ww. okolicznościami Strony przedłużyły Czas na Ukończenie i Wykonawca zobowiązał się do zakończenia przedmiotu Umowy w terminie 18 miesięcy i 52 dni roboczych od Daty Rozpoczęcia Robót. Jednocześnie Strony postanowiły, że za część Kontraktu będzie uważany dodatkowo Aneks nr 4 i potwierdziły, że pozostałe postanowienia umowy i warunki umowy nr 2811/3/2010 z dnia 26.02.2010 r. pozostają bez zmian.</w:t>
      </w:r>
    </w:p>
    <w:p w:rsidR="000569F3" w:rsidRPr="000569F3" w:rsidRDefault="000569F3" w:rsidP="00BD70C2">
      <w:pPr>
        <w:pStyle w:val="Tekstpodstawowy"/>
        <w:tabs>
          <w:tab w:val="left" w:pos="866"/>
        </w:tabs>
        <w:spacing w:after="240" w:line="307" w:lineRule="exact"/>
        <w:ind w:right="40" w:firstLine="0"/>
        <w:jc w:val="both"/>
        <w:rPr>
          <w:rFonts w:ascii="Verdana" w:hAnsi="Verdana"/>
          <w:sz w:val="20"/>
          <w:szCs w:val="20"/>
        </w:rPr>
      </w:pPr>
      <w:r w:rsidRPr="000569F3">
        <w:rPr>
          <w:rFonts w:ascii="Verdana" w:hAnsi="Verdana"/>
          <w:sz w:val="20"/>
          <w:szCs w:val="20"/>
        </w:rPr>
        <w:t>W wyniku zmian dokonanych Aneksem nr 3 i 4 ostatecznie Strony ustaliły, że Wykonawca powinien ukończyć przedmiot Umowy w terminie do dnia 01 grudnia 2011 r. Wykonawca nie ukończył jednak robót w terminie kontraktowym.</w:t>
      </w:r>
    </w:p>
    <w:p w:rsidR="00BD70C2" w:rsidRPr="00BD70C2" w:rsidRDefault="00BD70C2" w:rsidP="00BD70C2">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Pr="00BD70C2">
        <w:rPr>
          <w:rFonts w:ascii="Verdana" w:hAnsi="Verdana"/>
          <w:sz w:val="20"/>
          <w:szCs w:val="20"/>
        </w:rPr>
        <w:t>W dniu 25 listopada 2011 r. Wykonawca złożył Roszczenie nr 7 o przedłużenie Czasu na Ukończenie o 32 dni w związku z brakiem dostępności do placu budowy dla kontynuowania robót przy budowie ciągu głównego autostrady i łącznic.</w:t>
      </w:r>
    </w:p>
    <w:p w:rsidR="00BD70C2" w:rsidRPr="00BD70C2" w:rsidRDefault="00BD70C2" w:rsidP="00BD70C2">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Pr="00BD70C2">
        <w:rPr>
          <w:rFonts w:ascii="Verdana" w:hAnsi="Verdana"/>
          <w:sz w:val="20"/>
          <w:szCs w:val="20"/>
        </w:rPr>
        <w:t>W dniu 31 stycznia 2012 r. Inżynier przekazał Raport Roszczenia wraz z informacją że rozstrzygnięcie roszczenia w zakresie przedłużenia Czasu na Ukończenie do 30 maja 2012 r. będzie możliwe do rozpatrzenia po przedłożeniu przez Wykonawcę oddzielnego Roszczenia, zawierającego szczegółową analizę zdarzeń wynikłych na Kontrakcie oraz uznanych Roszczeń terminowych wraz ze szczegółową analizą ścieżki krytycznej w odniesieniu do dotychczasowego wykonania robót.</w:t>
      </w:r>
    </w:p>
    <w:p w:rsidR="00BD70C2" w:rsidRPr="00BD70C2" w:rsidRDefault="00BD70C2" w:rsidP="00BD70C2">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Pr="00BD70C2">
        <w:rPr>
          <w:rFonts w:ascii="Verdana" w:hAnsi="Verdana"/>
          <w:sz w:val="20"/>
          <w:szCs w:val="20"/>
        </w:rPr>
        <w:t>W dniu 28 lutego 2012 r. Wykonawca przekazał uzupełnienie Roszczenia nr 7, zawierające szczegółową analizę zdarzeń w czasie trwania Kontraktu.</w:t>
      </w:r>
    </w:p>
    <w:p w:rsidR="00BD70C2" w:rsidRPr="00BD70C2" w:rsidRDefault="00BD70C2" w:rsidP="00BD70C2">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Pr="00BD70C2">
        <w:rPr>
          <w:rFonts w:ascii="Verdana" w:hAnsi="Verdana"/>
          <w:sz w:val="20"/>
          <w:szCs w:val="20"/>
        </w:rPr>
        <w:t>Inżynier Kontraktu sporządził Raport Roszczenia nr 7b, w którym wskazał, że w wyniku analizy przedłożonych przez Wykonawcę dokumentów oraz analizy ścieżki krytycznej uznał, że Roszczenie Wykonawcy nr 7b jest uzasadnione i postanowił uznać przesunięcie Czasu na Ukończenie poza okres zimowy tj. do 31 maja 2012 r.</w:t>
      </w:r>
    </w:p>
    <w:p w:rsidR="00BD70C2" w:rsidRPr="00BD70C2" w:rsidRDefault="00BD70C2" w:rsidP="00BD70C2">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Pr="00BD70C2">
        <w:rPr>
          <w:rFonts w:ascii="Verdana" w:hAnsi="Verdana"/>
          <w:sz w:val="20"/>
          <w:szCs w:val="20"/>
        </w:rPr>
        <w:t>Zamawiający nie uzgodnił stanowiska Inżyniera w zakresie rozstrzygnięcia przedmiotowego roszczenia.</w:t>
      </w:r>
    </w:p>
    <w:p w:rsidR="000569F3" w:rsidRDefault="00BD70C2" w:rsidP="00BD70C2">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w:t>
      </w:r>
      <w:r w:rsidRPr="00BD70C2">
        <w:rPr>
          <w:rFonts w:ascii="Verdana" w:hAnsi="Verdana"/>
          <w:sz w:val="20"/>
          <w:szCs w:val="20"/>
        </w:rPr>
        <w:t>Świadectwo Przejęcia zostało wydane w dniu 4 lipca 2012 r., gdzie wskazane zostało, iż roboty kontraktowe zostały zasadniczo zakończone w dniu 22 czerwca 2012 r. Następnie w dniu 27 listopada 2013 r. zostało wystawione przez Inżyniera Świadectwo Wykonania.</w:t>
      </w:r>
    </w:p>
    <w:p w:rsidR="00D66C3E" w:rsidRPr="00D66C3E" w:rsidRDefault="00BD70C2" w:rsidP="00D66C3E">
      <w:pPr>
        <w:pStyle w:val="Tekstpodstawowy"/>
        <w:numPr>
          <w:ilvl w:val="0"/>
          <w:numId w:val="3"/>
        </w:numPr>
        <w:shd w:val="clear" w:color="auto" w:fill="auto"/>
        <w:tabs>
          <w:tab w:val="left" w:pos="866"/>
        </w:tabs>
        <w:spacing w:after="240" w:line="307" w:lineRule="exact"/>
        <w:ind w:left="0" w:right="40"/>
        <w:jc w:val="both"/>
        <w:rPr>
          <w:rFonts w:ascii="Verdana" w:hAnsi="Verdana"/>
          <w:sz w:val="20"/>
          <w:szCs w:val="20"/>
        </w:rPr>
      </w:pPr>
      <w:r>
        <w:rPr>
          <w:rFonts w:ascii="Verdana" w:hAnsi="Verdana"/>
          <w:sz w:val="20"/>
          <w:szCs w:val="20"/>
        </w:rPr>
        <w:t xml:space="preserve"> Zamawiający za okres od 02.12.2011 r. do 26.06.2012 r. naliczył Kary umowne za przekroczenie Czasu na Ukończenie </w:t>
      </w:r>
      <w:r w:rsidR="00D66C3E">
        <w:rPr>
          <w:rFonts w:ascii="Verdana" w:hAnsi="Verdana"/>
          <w:sz w:val="20"/>
          <w:szCs w:val="20"/>
        </w:rPr>
        <w:t xml:space="preserve">w  wysokości </w:t>
      </w:r>
      <w:r w:rsidR="004F063F">
        <w:rPr>
          <w:rFonts w:ascii="Verdana" w:hAnsi="Verdana"/>
          <w:sz w:val="20"/>
          <w:szCs w:val="20"/>
        </w:rPr>
        <w:t>17.909.</w:t>
      </w:r>
      <w:r w:rsidR="00D66C3E" w:rsidRPr="00D66C3E">
        <w:rPr>
          <w:rFonts w:ascii="Verdana" w:hAnsi="Verdana"/>
          <w:sz w:val="20"/>
          <w:szCs w:val="20"/>
        </w:rPr>
        <w:t>400,95 z</w:t>
      </w:r>
      <w:r w:rsidR="00D66C3E">
        <w:rPr>
          <w:rFonts w:ascii="Verdana" w:hAnsi="Verdana"/>
          <w:sz w:val="20"/>
          <w:szCs w:val="20"/>
        </w:rPr>
        <w:t>ł, z czego potrącił z faktur Wykonawcy kwotę: 13</w:t>
      </w:r>
      <w:r w:rsidR="004F063F">
        <w:rPr>
          <w:rFonts w:ascii="Verdana" w:hAnsi="Verdana"/>
          <w:sz w:val="20"/>
          <w:szCs w:val="20"/>
        </w:rPr>
        <w:t>.</w:t>
      </w:r>
      <w:r w:rsidR="00D66C3E">
        <w:rPr>
          <w:rFonts w:ascii="Verdana" w:hAnsi="Verdana"/>
          <w:sz w:val="20"/>
          <w:szCs w:val="20"/>
        </w:rPr>
        <w:t>243</w:t>
      </w:r>
      <w:r w:rsidR="004F063F">
        <w:rPr>
          <w:rFonts w:ascii="Verdana" w:hAnsi="Verdana"/>
          <w:sz w:val="20"/>
          <w:szCs w:val="20"/>
        </w:rPr>
        <w:t>.</w:t>
      </w:r>
      <w:r w:rsidR="00D66C3E">
        <w:rPr>
          <w:rFonts w:ascii="Verdana" w:hAnsi="Verdana"/>
          <w:sz w:val="20"/>
          <w:szCs w:val="20"/>
        </w:rPr>
        <w:t>744,50 zł.</w:t>
      </w:r>
    </w:p>
    <w:p w:rsidR="000569F3" w:rsidRDefault="000569F3" w:rsidP="000569F3">
      <w:pPr>
        <w:pStyle w:val="Tekstpodstawowy"/>
        <w:shd w:val="clear" w:color="auto" w:fill="auto"/>
        <w:tabs>
          <w:tab w:val="left" w:pos="866"/>
        </w:tabs>
        <w:spacing w:after="240" w:line="307" w:lineRule="exact"/>
        <w:ind w:right="40" w:firstLine="0"/>
        <w:jc w:val="both"/>
        <w:rPr>
          <w:rFonts w:ascii="Verdana" w:hAnsi="Verdana"/>
          <w:sz w:val="20"/>
          <w:szCs w:val="20"/>
        </w:rPr>
      </w:pPr>
    </w:p>
    <w:p w:rsidR="00D10950" w:rsidRDefault="00D10950" w:rsidP="000569F3">
      <w:pPr>
        <w:pStyle w:val="Tekstpodstawowy"/>
        <w:shd w:val="clear" w:color="auto" w:fill="auto"/>
        <w:tabs>
          <w:tab w:val="left" w:pos="866"/>
        </w:tabs>
        <w:spacing w:after="240" w:line="307" w:lineRule="exact"/>
        <w:ind w:right="40" w:firstLine="0"/>
        <w:jc w:val="both"/>
        <w:rPr>
          <w:rFonts w:ascii="Verdana" w:hAnsi="Verdana"/>
          <w:sz w:val="20"/>
          <w:szCs w:val="20"/>
        </w:rPr>
      </w:pPr>
    </w:p>
    <w:p w:rsidR="00D10950" w:rsidRDefault="00D10950" w:rsidP="000569F3">
      <w:pPr>
        <w:pStyle w:val="Tekstpodstawowy"/>
        <w:shd w:val="clear" w:color="auto" w:fill="auto"/>
        <w:tabs>
          <w:tab w:val="left" w:pos="866"/>
        </w:tabs>
        <w:spacing w:after="240" w:line="307" w:lineRule="exact"/>
        <w:ind w:right="40" w:firstLine="0"/>
        <w:jc w:val="both"/>
        <w:rPr>
          <w:rFonts w:ascii="Verdana" w:hAnsi="Verdana"/>
          <w:sz w:val="20"/>
          <w:szCs w:val="20"/>
        </w:rPr>
      </w:pPr>
    </w:p>
    <w:p w:rsidR="00D64BE6" w:rsidRDefault="00D64BE6" w:rsidP="00D64BE6">
      <w:pPr>
        <w:pStyle w:val="Akapitzlist"/>
        <w:spacing w:after="240" w:line="307" w:lineRule="exact"/>
        <w:ind w:left="1080" w:right="40"/>
        <w:jc w:val="center"/>
        <w:rPr>
          <w:rFonts w:ascii="Verdana" w:hAnsi="Verdana"/>
          <w:b/>
          <w:sz w:val="24"/>
          <w:szCs w:val="24"/>
        </w:rPr>
      </w:pPr>
      <w:r>
        <w:rPr>
          <w:rFonts w:ascii="Verdana" w:hAnsi="Verdana"/>
          <w:b/>
          <w:sz w:val="24"/>
          <w:szCs w:val="24"/>
        </w:rPr>
        <w:lastRenderedPageBreak/>
        <w:t>POSTĘPOWANIA SĄDOWE</w:t>
      </w:r>
    </w:p>
    <w:p w:rsidR="00D64BE6" w:rsidRDefault="00D64BE6" w:rsidP="00D64BE6">
      <w:pPr>
        <w:pStyle w:val="Akapitzlist"/>
        <w:spacing w:after="240" w:line="307" w:lineRule="exact"/>
        <w:ind w:left="1080" w:right="40"/>
        <w:jc w:val="both"/>
        <w:rPr>
          <w:rFonts w:ascii="Verdana" w:hAnsi="Verdana"/>
          <w:b/>
          <w:sz w:val="24"/>
          <w:szCs w:val="24"/>
        </w:rPr>
      </w:pPr>
    </w:p>
    <w:p w:rsidR="00586653" w:rsidRDefault="00586653" w:rsidP="00586653">
      <w:pPr>
        <w:pStyle w:val="Akapitzlist"/>
        <w:numPr>
          <w:ilvl w:val="0"/>
          <w:numId w:val="6"/>
        </w:numPr>
        <w:spacing w:after="240" w:line="307" w:lineRule="exact"/>
        <w:ind w:right="40"/>
        <w:jc w:val="both"/>
        <w:rPr>
          <w:rFonts w:ascii="Verdana" w:hAnsi="Verdana"/>
          <w:b/>
          <w:sz w:val="24"/>
          <w:szCs w:val="24"/>
        </w:rPr>
      </w:pPr>
      <w:r w:rsidRPr="00586653">
        <w:rPr>
          <w:rFonts w:ascii="Verdana" w:hAnsi="Verdana"/>
          <w:b/>
          <w:sz w:val="24"/>
          <w:szCs w:val="24"/>
        </w:rPr>
        <w:t xml:space="preserve">Przebieg postępowania sądowego, zawisłego przed Sądem Okręgowym w Warszawie, XXV Wydziałem Cywilnym, </w:t>
      </w:r>
      <w:r>
        <w:rPr>
          <w:rFonts w:ascii="Verdana" w:hAnsi="Verdana"/>
          <w:b/>
          <w:sz w:val="24"/>
          <w:szCs w:val="24"/>
        </w:rPr>
        <w:br/>
      </w:r>
      <w:r w:rsidRPr="00586653">
        <w:rPr>
          <w:rFonts w:ascii="Verdana" w:hAnsi="Verdana"/>
          <w:b/>
          <w:sz w:val="24"/>
          <w:szCs w:val="24"/>
        </w:rPr>
        <w:t>sygn. akt XXV C 1227/12 (obecnie przed Sądem Apelacyjnym w Warszawie, VI Wydziałem Cywilny, sygn. akt VI ACa 101/17).</w:t>
      </w:r>
    </w:p>
    <w:p w:rsidR="00586653" w:rsidRDefault="00586653" w:rsidP="00586653">
      <w:pPr>
        <w:spacing w:after="240" w:line="307" w:lineRule="exact"/>
        <w:ind w:right="40"/>
        <w:jc w:val="both"/>
        <w:rPr>
          <w:rFonts w:ascii="Verdana" w:hAnsi="Verdana" w:cs="Garamond"/>
          <w:spacing w:val="3"/>
          <w:sz w:val="20"/>
          <w:szCs w:val="20"/>
        </w:rPr>
      </w:pPr>
      <w:r>
        <w:rPr>
          <w:rFonts w:ascii="Verdana" w:hAnsi="Verdana" w:cs="Garamond"/>
          <w:spacing w:val="3"/>
          <w:sz w:val="20"/>
          <w:szCs w:val="20"/>
        </w:rPr>
        <w:t>P</w:t>
      </w:r>
      <w:r w:rsidRPr="00586653">
        <w:rPr>
          <w:rFonts w:ascii="Verdana" w:hAnsi="Verdana" w:cs="Garamond"/>
          <w:spacing w:val="3"/>
          <w:sz w:val="20"/>
          <w:szCs w:val="20"/>
        </w:rPr>
        <w:t>ozwem z dnia 31 maja 2012 r. strona powodowa Mostostal Warszawa S.A. z siedzibą w Warszawie oraz Acciona Infraestructuras S.A. z siedzibą w miejscowości Alcobendas zażądała zmiany treści umowy nr 2811/3/2010 zawartej dnia 26 lutego 2010 r. przez Powodów ze Skarbem Państwa - Generalnym Dyrektorem Dróg Krajowych i Autostrad w Warszawie o wykonanie robót polegających na budowie autostrady A-4 Tarnów-Rzeszów na odcinku od węzła Rzeszów Centralny do węzła Rzeszów Wschód km ok. 574+300 do ok. 581+250 poprzez podwyższenie wysokości świadczenia z tytułu wynagrodzenia za wykonanie robót o kwotę 77.345.957,40 zł brutto (62.882.892,20 zł netto) oraz zasądzenia kosztów procesu. Jako podstawę prawną swoich roszczeń Powodowie wskazali art. 3571 k.c.</w:t>
      </w:r>
    </w:p>
    <w:p w:rsidR="00586653" w:rsidRPr="00586653" w:rsidRDefault="00586653" w:rsidP="00586653">
      <w:pPr>
        <w:spacing w:after="240" w:line="307" w:lineRule="exact"/>
        <w:ind w:right="40"/>
        <w:jc w:val="both"/>
        <w:rPr>
          <w:rFonts w:ascii="Verdana" w:hAnsi="Verdana" w:cs="Garamond"/>
          <w:spacing w:val="3"/>
          <w:sz w:val="20"/>
          <w:szCs w:val="20"/>
        </w:rPr>
      </w:pPr>
      <w:r w:rsidRPr="00586653">
        <w:rPr>
          <w:rFonts w:ascii="Verdana" w:hAnsi="Verdana" w:cs="Garamond"/>
          <w:spacing w:val="3"/>
          <w:sz w:val="20"/>
          <w:szCs w:val="20"/>
        </w:rPr>
        <w:t xml:space="preserve">Przedmiotowa sprawa prowadzona była w I instancji przed Sądem Okręgowym </w:t>
      </w:r>
      <w:r>
        <w:rPr>
          <w:rFonts w:ascii="Verdana" w:hAnsi="Verdana" w:cs="Garamond"/>
          <w:spacing w:val="3"/>
          <w:sz w:val="20"/>
          <w:szCs w:val="20"/>
        </w:rPr>
        <w:br/>
      </w:r>
      <w:r w:rsidRPr="00586653">
        <w:rPr>
          <w:rFonts w:ascii="Verdana" w:hAnsi="Verdana" w:cs="Garamond"/>
          <w:spacing w:val="3"/>
          <w:sz w:val="20"/>
          <w:szCs w:val="20"/>
        </w:rPr>
        <w:t>w Warszawie, XXV Wydziałem Cywilnym, sygn. akt XXV C 1227/12, a obecnie jest prowadzona przed Sądem Apelacyjnym w Warszawie, VI Wydziałem Cywilnym pod sygn. akt VI ACa 101/17.</w:t>
      </w:r>
    </w:p>
    <w:p w:rsidR="00586653" w:rsidRPr="00586653" w:rsidRDefault="00586653" w:rsidP="00586653">
      <w:pPr>
        <w:spacing w:after="240" w:line="307" w:lineRule="exact"/>
        <w:ind w:right="40"/>
        <w:jc w:val="both"/>
        <w:rPr>
          <w:rFonts w:ascii="Verdana" w:hAnsi="Verdana" w:cs="Garamond"/>
          <w:spacing w:val="3"/>
          <w:sz w:val="20"/>
          <w:szCs w:val="20"/>
        </w:rPr>
      </w:pPr>
      <w:r w:rsidRPr="00586653">
        <w:rPr>
          <w:rFonts w:ascii="Verdana" w:hAnsi="Verdana" w:cs="Garamond"/>
          <w:spacing w:val="3"/>
          <w:sz w:val="20"/>
          <w:szCs w:val="20"/>
        </w:rPr>
        <w:t>Roszczenia Powodów dochodzone w ww. procesie były zmieniane (rozszerzane i ograniczane) i ostatecznie Powodowie dochodzili:</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1)</w:t>
      </w:r>
      <w:r w:rsidRPr="00586653">
        <w:rPr>
          <w:rFonts w:ascii="Verdana" w:hAnsi="Verdana" w:cs="Garamond"/>
          <w:spacing w:val="3"/>
          <w:sz w:val="20"/>
          <w:szCs w:val="20"/>
        </w:rPr>
        <w:tab/>
        <w:t>żądania ustalenia, że Pozwanemu nie przysługuje prawo do żądania od Powodów kary umownej za przekroczenie Czasu na Ukończenie robót w związku z realizacją odcinka autostrady A-4 Rzeszów Centralny - Rzeszów Wschodni objętego umową nr 2811/3/2010 z 26 lutego 2010 r.;</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2)</w:t>
      </w:r>
      <w:r w:rsidRPr="00586653">
        <w:rPr>
          <w:rFonts w:ascii="Verdana" w:hAnsi="Verdana" w:cs="Garamond"/>
          <w:spacing w:val="3"/>
          <w:sz w:val="20"/>
          <w:szCs w:val="20"/>
        </w:rPr>
        <w:tab/>
        <w:t>żądania zasądzenia od Pozwanego na rzecz Powodów solidarnie sumy 13.243.744,50 zł z odsetkami za opóźnienie w wysokości ustawowej, liczonymi w następujący sposób: a) od kwoty 11.368.609,66 zł od dnia 11 sierpnia 2012 r. do dnia zapłaty; b) od kwoty 1.875.134,84 zł od dnia 5 lutego 2013 r. do dnia zapłaty;</w:t>
      </w:r>
    </w:p>
    <w:p w:rsid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3)</w:t>
      </w:r>
      <w:r w:rsidRPr="00586653">
        <w:rPr>
          <w:rFonts w:ascii="Verdana" w:hAnsi="Verdana" w:cs="Garamond"/>
          <w:spacing w:val="3"/>
          <w:sz w:val="20"/>
          <w:szCs w:val="20"/>
        </w:rPr>
        <w:tab/>
        <w:t>żądania ewentualnego w stosunku do pkt 2) powyżej, w przypadku zasądzenia roszczenia z pkt 2) nie na zasadzie solidarnej, ale rozdzielonego między Powodów, o zasądzenie na rzecz Powoda ad 1 (Mostostal Warszawa S.A.) 99% ww. sumy, tj. 13.111.307,05 zł z odsetkami ustawowymi za opóźnienie od kwoty 11.254.923,56 zł od 11 sierpnia 2012 r.</w:t>
      </w:r>
      <w:r>
        <w:rPr>
          <w:rFonts w:ascii="Verdana" w:hAnsi="Verdana" w:cs="Garamond"/>
          <w:spacing w:val="3"/>
          <w:sz w:val="20"/>
          <w:szCs w:val="20"/>
        </w:rPr>
        <w:t xml:space="preserve"> </w:t>
      </w:r>
      <w:r w:rsidRPr="00586653">
        <w:rPr>
          <w:rFonts w:ascii="Verdana" w:hAnsi="Verdana" w:cs="Garamond"/>
          <w:spacing w:val="3"/>
          <w:sz w:val="20"/>
          <w:szCs w:val="20"/>
        </w:rPr>
        <w:t xml:space="preserve">do dnia zapłaty i od sumy 1.856.383,50 zł od 5 lutego 2013 r. do dnia zapłaty, a na rzecz Powoda ad 2 (Acciona Infraestructuras S.A.) sumy 132.437,45 zł z odsetkami ustawowymi za opóźnienie od </w:t>
      </w:r>
      <w:r w:rsidRPr="00586653">
        <w:rPr>
          <w:rFonts w:ascii="Verdana" w:hAnsi="Verdana" w:cs="Garamond"/>
          <w:spacing w:val="3"/>
          <w:sz w:val="20"/>
          <w:szCs w:val="20"/>
        </w:rPr>
        <w:lastRenderedPageBreak/>
        <w:t>kwoty 113.686,10 zł od dnia 11 sierpnia 2012 r. do dnia zapłaty oraz od kwoty 18.751 zł od dnia 5 lutego 2013 r. do dnia zapłaty.</w:t>
      </w:r>
    </w:p>
    <w:p w:rsidR="00586653" w:rsidRPr="00586653" w:rsidRDefault="00586653" w:rsidP="00586653">
      <w:pPr>
        <w:spacing w:after="240" w:line="307" w:lineRule="exact"/>
        <w:ind w:right="40"/>
        <w:jc w:val="both"/>
        <w:rPr>
          <w:rFonts w:ascii="Verdana" w:hAnsi="Verdana" w:cs="Garamond"/>
          <w:spacing w:val="3"/>
          <w:sz w:val="20"/>
          <w:szCs w:val="20"/>
        </w:rPr>
      </w:pPr>
      <w:r w:rsidRPr="00586653">
        <w:rPr>
          <w:rFonts w:ascii="Verdana" w:hAnsi="Verdana" w:cs="Garamond"/>
          <w:spacing w:val="3"/>
          <w:sz w:val="20"/>
          <w:szCs w:val="20"/>
        </w:rPr>
        <w:t>Dodatkowo strona powodowa dochodziła zmiany treści Kontraktu poprzez podwyższenie wysokości świadczenia z tytułu wynagrodzenia za wykonanie Robót o kwotę 194.196.000,30 zł brutto.</w:t>
      </w:r>
    </w:p>
    <w:p w:rsidR="00586653" w:rsidRDefault="00586653" w:rsidP="00586653">
      <w:pPr>
        <w:spacing w:after="240" w:line="307" w:lineRule="exact"/>
        <w:ind w:right="40"/>
        <w:jc w:val="both"/>
        <w:rPr>
          <w:rFonts w:ascii="Verdana" w:hAnsi="Verdana" w:cs="Garamond"/>
          <w:spacing w:val="3"/>
          <w:sz w:val="20"/>
          <w:szCs w:val="20"/>
        </w:rPr>
      </w:pPr>
      <w:r w:rsidRPr="00586653">
        <w:rPr>
          <w:rFonts w:ascii="Verdana" w:hAnsi="Verdana" w:cs="Garamond"/>
          <w:spacing w:val="3"/>
          <w:sz w:val="20"/>
          <w:szCs w:val="20"/>
        </w:rPr>
        <w:t>Powodowie domagali się podwyższenia wynagrodzenia o równowartość rzekomo zwiększonych kosztów wykonania obowiązków Powodów, w następujących obszarach:</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1)</w:t>
      </w:r>
      <w:r w:rsidRPr="00586653">
        <w:rPr>
          <w:rFonts w:ascii="Verdana" w:hAnsi="Verdana" w:cs="Garamond"/>
          <w:spacing w:val="3"/>
          <w:sz w:val="20"/>
          <w:szCs w:val="20"/>
        </w:rPr>
        <w:tab/>
        <w:t>Zwiększone koszty paliwa w wyniku nadzwyczajnej i nieprzewidywalnej podwyżki cen ww. surowca wynoszące 8.787.418,61 zł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2)</w:t>
      </w:r>
      <w:r w:rsidRPr="00586653">
        <w:rPr>
          <w:rFonts w:ascii="Verdana" w:hAnsi="Verdana" w:cs="Garamond"/>
          <w:spacing w:val="3"/>
          <w:sz w:val="20"/>
          <w:szCs w:val="20"/>
        </w:rPr>
        <w:tab/>
        <w:t>Zwiększone koszty wynikające z nadzwyczajnego i nieprzewidywalnego wzrostu cen asfaltu wynoszące 5.941.076,05 zl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3)</w:t>
      </w:r>
      <w:r w:rsidRPr="00586653">
        <w:rPr>
          <w:rFonts w:ascii="Verdana" w:hAnsi="Verdana" w:cs="Garamond"/>
          <w:spacing w:val="3"/>
          <w:sz w:val="20"/>
          <w:szCs w:val="20"/>
        </w:rPr>
        <w:tab/>
        <w:t>Zwiększone koszty pozyskania surowców do robót ziemnych (piasku i innych kruszyw) wskutek wzrostu kosztu transportu wynikającego ze zmian organizacji ruchu przez lokalne jednostki samorządu terytorialnego na terenach przyległych do odcinka wynoszące 5.468.458,76 zł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4)</w:t>
      </w:r>
      <w:r w:rsidRPr="00586653">
        <w:rPr>
          <w:rFonts w:ascii="Verdana" w:hAnsi="Verdana" w:cs="Garamond"/>
          <w:spacing w:val="3"/>
          <w:sz w:val="20"/>
          <w:szCs w:val="20"/>
        </w:rPr>
        <w:tab/>
        <w:t>Zwiększone koszty pozyskania surowców do robót ziemnych (piasku i innych kruszyw) wskutek wzrostu cen i kosztu transportu spowodowanego nadzwyczajnymi i nieprzewidywalnymi zjawiskami ekonomicznymi, wynikającymi z nadzwyczajnego skumulowania budowy autostrad i dróg w rejonie przylegającym do odcinka oraz wystąpienia nadzwyczajnych warunków klimatycznych w roku 2010 i 2011 oraz ich konsekwencji dla możliwości pozyskania kruszyw oraz zmniejszenia przydatności materiału ziemnego, których wartość wyniosła 75.824.853,75 zł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5)</w:t>
      </w:r>
      <w:r w:rsidRPr="00586653">
        <w:rPr>
          <w:rFonts w:ascii="Verdana" w:hAnsi="Verdana" w:cs="Garamond"/>
          <w:spacing w:val="3"/>
          <w:sz w:val="20"/>
          <w:szCs w:val="20"/>
        </w:rPr>
        <w:tab/>
        <w:t>Koszty osuszania terenu w trakcie prowadzenia Robót, wynikające z ponadnormatywnych opadów atmosferycznych, podstopień i powodzi na terenie odcinka, tj. nadzwyczajnych i nieprzewidywalnych okoliczności o charakterze klęski żywiołowej, wynoszące 7.006.957,97 zł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6)</w:t>
      </w:r>
      <w:r w:rsidRPr="00586653">
        <w:rPr>
          <w:rFonts w:ascii="Verdana" w:hAnsi="Verdana" w:cs="Garamond"/>
          <w:spacing w:val="3"/>
          <w:sz w:val="20"/>
          <w:szCs w:val="20"/>
        </w:rPr>
        <w:tab/>
        <w:t>Koszty factoringu, wynikające z konieczności znalezienia alternatywnego źródła finansowania wobec przedłużenia i utrudnienia realizacji odcinka spowodowanego nadzwyczajnymi warunkami klimatycznymi oraz innymi nadzwyczajnymi przeszkodami podnoszonymi w niniejszym postępowaniu wynoszące 684.703,89 zl brutto,</w:t>
      </w:r>
    </w:p>
    <w:p w:rsid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7)</w:t>
      </w:r>
      <w:r w:rsidRPr="00586653">
        <w:rPr>
          <w:rFonts w:ascii="Verdana" w:hAnsi="Verdana" w:cs="Garamond"/>
          <w:spacing w:val="3"/>
          <w:sz w:val="20"/>
          <w:szCs w:val="20"/>
        </w:rPr>
        <w:tab/>
        <w:t>Zwiększone koszty wykonania mostów, wynikające z zalania i innych przyczyn ograniczających dostęp do placu budowy, ponadnormatywnego wzrostu kosztów wykonania pali wierconych oraz wzrostu cen stali zbrojeniowej, wynoszące 11.271.625,03 zł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lastRenderedPageBreak/>
        <w:t>8)</w:t>
      </w:r>
      <w:r w:rsidRPr="00586653">
        <w:rPr>
          <w:rFonts w:ascii="Verdana" w:hAnsi="Verdana" w:cs="Garamond"/>
          <w:spacing w:val="3"/>
          <w:sz w:val="20"/>
          <w:szCs w:val="20"/>
        </w:rPr>
        <w:tab/>
        <w:t>Zwiększone koszty robót bitumicznych (innych niż koszty asfaltu), wynikające z kumulacji inwestycji oraz dezorganizacji budowy z powodu deszczy, powodzi i podstopień w okolicy odcinka, wynoszące 6.391.244,36 zł brutto,</w:t>
      </w:r>
    </w:p>
    <w:p w:rsidR="00586653" w:rsidRP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9)</w:t>
      </w:r>
      <w:r w:rsidRPr="00586653">
        <w:rPr>
          <w:rFonts w:ascii="Verdana" w:hAnsi="Verdana" w:cs="Garamond"/>
          <w:spacing w:val="3"/>
          <w:sz w:val="20"/>
          <w:szCs w:val="20"/>
        </w:rPr>
        <w:tab/>
        <w:t>Zwiększone koszty bezpośrednie wykonania robót ziemnych (inne niż koszty materiałów), wynikające z nadzwyczajnych warunków klimatycznych oraz innych nadzwyczajnych przeszkód które wystąpiły w 2010 r. i 2011 r. i ich konsekwencji dla terenów odcinka, wynoszące 53.487.899,47 zł brutto,</w:t>
      </w:r>
    </w:p>
    <w:p w:rsidR="00586653" w:rsidRDefault="00586653" w:rsidP="00586653">
      <w:pPr>
        <w:spacing w:after="240" w:line="307" w:lineRule="exact"/>
        <w:ind w:left="1413" w:right="40" w:hanging="705"/>
        <w:jc w:val="both"/>
        <w:rPr>
          <w:rFonts w:ascii="Verdana" w:hAnsi="Verdana" w:cs="Garamond"/>
          <w:spacing w:val="3"/>
          <w:sz w:val="20"/>
          <w:szCs w:val="20"/>
        </w:rPr>
      </w:pPr>
      <w:r w:rsidRPr="00586653">
        <w:rPr>
          <w:rFonts w:ascii="Verdana" w:hAnsi="Verdana" w:cs="Garamond"/>
          <w:spacing w:val="3"/>
          <w:sz w:val="20"/>
          <w:szCs w:val="20"/>
        </w:rPr>
        <w:t>10)</w:t>
      </w:r>
      <w:r w:rsidRPr="00586653">
        <w:rPr>
          <w:rFonts w:ascii="Verdana" w:hAnsi="Verdana" w:cs="Garamond"/>
          <w:spacing w:val="3"/>
          <w:sz w:val="20"/>
          <w:szCs w:val="20"/>
        </w:rPr>
        <w:tab/>
        <w:t>Koszty pośrednie przedłużenia okresu prowadzenia Robót, wynikające z ponadnormatywnych opadów atmosferycznych i powodzi na terenie odcinka tj. nadzwyczajnych i nieprzewidywalnych okoliczności o charakterze klęski żywiołowej oraz innych nadzwyczajnych przeszkód wynoszące 20.859.092,88 z</w:t>
      </w:r>
      <w:r>
        <w:rPr>
          <w:rFonts w:ascii="Verdana" w:hAnsi="Verdana" w:cs="Garamond"/>
          <w:spacing w:val="3"/>
          <w:sz w:val="20"/>
          <w:szCs w:val="20"/>
        </w:rPr>
        <w:t>ł</w:t>
      </w:r>
      <w:r w:rsidRPr="00586653">
        <w:rPr>
          <w:rFonts w:ascii="Verdana" w:hAnsi="Verdana" w:cs="Garamond"/>
          <w:spacing w:val="3"/>
          <w:sz w:val="20"/>
          <w:szCs w:val="20"/>
        </w:rPr>
        <w:t xml:space="preserve"> brutto.</w:t>
      </w:r>
    </w:p>
    <w:p w:rsidR="00D64BE6" w:rsidRDefault="00D64BE6" w:rsidP="00D64BE6">
      <w:pPr>
        <w:spacing w:after="240" w:line="307" w:lineRule="exact"/>
        <w:ind w:right="40"/>
        <w:jc w:val="both"/>
        <w:rPr>
          <w:rFonts w:ascii="Verdana" w:hAnsi="Verdana" w:cs="Garamond"/>
          <w:spacing w:val="3"/>
          <w:sz w:val="20"/>
          <w:szCs w:val="20"/>
        </w:rPr>
      </w:pPr>
      <w:r w:rsidRPr="00D64BE6">
        <w:rPr>
          <w:rFonts w:ascii="Verdana" w:hAnsi="Verdana" w:cs="Garamond"/>
          <w:b/>
          <w:spacing w:val="3"/>
          <w:sz w:val="20"/>
          <w:szCs w:val="20"/>
        </w:rPr>
        <w:t>Sąd Okręgowy w Warszawie XXV Wydział Cywilny (I instancji),</w:t>
      </w:r>
      <w:r w:rsidRPr="00D64BE6">
        <w:rPr>
          <w:rFonts w:ascii="Verdana" w:hAnsi="Verdana" w:cs="Garamond"/>
          <w:spacing w:val="3"/>
          <w:sz w:val="20"/>
          <w:szCs w:val="20"/>
        </w:rPr>
        <w:t xml:space="preserve"> Wyrokiem z dnia 04 sierpnia 2016 r., wydanym w sprawie o sygn. XXV C 1227/12 uwzględnił powództwo wniesione przez Mostostal Warszawa S.A. z siedzibą w Warszawie i Acciona Construcción S.A. z siedzibą w Madrycie, zasądzając na rzecz Powodów od Skarbu Państwa - Generalnego Dyrektora Dróg Krajowych i Autostra</w:t>
      </w:r>
      <w:r>
        <w:rPr>
          <w:rFonts w:ascii="Verdana" w:hAnsi="Verdana" w:cs="Garamond"/>
          <w:spacing w:val="3"/>
          <w:sz w:val="20"/>
          <w:szCs w:val="20"/>
        </w:rPr>
        <w:t xml:space="preserve">d kwotę 11 298 298, 14 zł wraz </w:t>
      </w:r>
      <w:r w:rsidRPr="00D64BE6">
        <w:rPr>
          <w:rFonts w:ascii="Verdana" w:hAnsi="Verdana" w:cs="Garamond"/>
          <w:spacing w:val="3"/>
          <w:sz w:val="20"/>
          <w:szCs w:val="20"/>
        </w:rPr>
        <w:t>z odsetkami ustawowymi, tytułem zwrotu Wykonawcy niesłusznie potrąconej przez GDDKiA kary umownej za przekroczenie Czasu na Ukońc</w:t>
      </w:r>
      <w:r>
        <w:rPr>
          <w:rFonts w:ascii="Verdana" w:hAnsi="Verdana" w:cs="Garamond"/>
          <w:spacing w:val="3"/>
          <w:sz w:val="20"/>
          <w:szCs w:val="20"/>
        </w:rPr>
        <w:t xml:space="preserve">zenie za okres od 01.12.2011r. </w:t>
      </w:r>
      <w:r w:rsidRPr="00D64BE6">
        <w:rPr>
          <w:rFonts w:ascii="Verdana" w:hAnsi="Verdana" w:cs="Garamond"/>
          <w:spacing w:val="3"/>
          <w:sz w:val="20"/>
          <w:szCs w:val="20"/>
        </w:rPr>
        <w:t xml:space="preserve">do 31.05.2012r. Sąd I instancji orzekł, że niedotrzymanie przez Powodów przyjętego terminu ukończenia prac (30 listopada 2011 r.) nastąpiło z przyczyn niezawinionych przez Wykonawcę. Powództwo w pozostałym zakresie </w:t>
      </w:r>
      <w:r>
        <w:rPr>
          <w:rFonts w:ascii="Verdana" w:hAnsi="Verdana" w:cs="Garamond"/>
          <w:spacing w:val="3"/>
          <w:sz w:val="20"/>
          <w:szCs w:val="20"/>
        </w:rPr>
        <w:t xml:space="preserve">tj. podwyższenie wynagrodzenia </w:t>
      </w:r>
      <w:r w:rsidRPr="00D64BE6">
        <w:rPr>
          <w:rFonts w:ascii="Verdana" w:hAnsi="Verdana" w:cs="Garamond"/>
          <w:spacing w:val="3"/>
          <w:sz w:val="20"/>
          <w:szCs w:val="20"/>
        </w:rPr>
        <w:t>o dochodzoną kwotę 174 954 820,09 zł z odsetkami z ty</w:t>
      </w:r>
      <w:r>
        <w:rPr>
          <w:rFonts w:ascii="Verdana" w:hAnsi="Verdana" w:cs="Garamond"/>
          <w:spacing w:val="3"/>
          <w:sz w:val="20"/>
          <w:szCs w:val="20"/>
        </w:rPr>
        <w:t xml:space="preserve">tułu wykonywania prac, zostało </w:t>
      </w:r>
      <w:r w:rsidRPr="00D64BE6">
        <w:rPr>
          <w:rFonts w:ascii="Verdana" w:hAnsi="Verdana" w:cs="Garamond"/>
          <w:spacing w:val="3"/>
          <w:sz w:val="20"/>
          <w:szCs w:val="20"/>
        </w:rPr>
        <w:t>w całości oddalone przez Sąd jako nie zasługujące na uwzględnienie.</w:t>
      </w:r>
    </w:p>
    <w:p w:rsidR="00D64BE6" w:rsidRPr="00D64BE6" w:rsidRDefault="00D64BE6" w:rsidP="00D64BE6">
      <w:pPr>
        <w:spacing w:after="240" w:line="307" w:lineRule="exact"/>
        <w:ind w:right="40"/>
        <w:jc w:val="both"/>
        <w:rPr>
          <w:rFonts w:ascii="Verdana" w:hAnsi="Verdana" w:cs="Garamond"/>
          <w:spacing w:val="3"/>
          <w:sz w:val="20"/>
          <w:szCs w:val="20"/>
        </w:rPr>
      </w:pPr>
      <w:r w:rsidRPr="00D64BE6">
        <w:rPr>
          <w:rFonts w:ascii="Verdana" w:hAnsi="Verdana" w:cs="Garamond"/>
          <w:spacing w:val="3"/>
          <w:sz w:val="20"/>
          <w:szCs w:val="20"/>
        </w:rPr>
        <w:t>W/w orzeczenie zostało zaskarżone przez obydwie strony.</w:t>
      </w:r>
    </w:p>
    <w:p w:rsidR="00D64BE6" w:rsidRDefault="00D64BE6" w:rsidP="00D64BE6">
      <w:pPr>
        <w:spacing w:after="240" w:line="307" w:lineRule="exact"/>
        <w:ind w:right="40"/>
        <w:jc w:val="both"/>
        <w:rPr>
          <w:rFonts w:ascii="Verdana" w:hAnsi="Verdana" w:cs="Garamond"/>
          <w:spacing w:val="3"/>
          <w:sz w:val="20"/>
          <w:szCs w:val="20"/>
        </w:rPr>
      </w:pPr>
      <w:r w:rsidRPr="00D64BE6">
        <w:rPr>
          <w:rFonts w:ascii="Verdana" w:hAnsi="Verdana" w:cs="Garamond"/>
          <w:b/>
          <w:spacing w:val="3"/>
          <w:sz w:val="20"/>
          <w:szCs w:val="20"/>
        </w:rPr>
        <w:t>Sąd Apelacyjny w Warszawie VI Wydział Cywilny (II instancji)</w:t>
      </w:r>
      <w:r w:rsidRPr="00D64BE6">
        <w:rPr>
          <w:rFonts w:ascii="Verdana" w:hAnsi="Verdana" w:cs="Garamond"/>
          <w:spacing w:val="3"/>
          <w:sz w:val="20"/>
          <w:szCs w:val="20"/>
        </w:rPr>
        <w:t>, Wyrokiem częściowym z dnia 30 kwietnia 2021 r., wydanym w sprawie o sygn. akt VI ACa 101/17 zmienił zaskarżony wyrok w ten sposób, że zasądził od Skarbu Państwa - Generalnego Dyrektora Dróg Krajowych i Autostrad w Warszawie na</w:t>
      </w:r>
      <w:r>
        <w:rPr>
          <w:rFonts w:ascii="Verdana" w:hAnsi="Verdana" w:cs="Garamond"/>
          <w:spacing w:val="3"/>
          <w:sz w:val="20"/>
          <w:szCs w:val="20"/>
        </w:rPr>
        <w:t xml:space="preserve"> rzecz Mostostal Warszawa S.A. </w:t>
      </w:r>
      <w:r w:rsidRPr="00D64BE6">
        <w:rPr>
          <w:rFonts w:ascii="Verdana" w:hAnsi="Verdana" w:cs="Garamond"/>
          <w:spacing w:val="3"/>
          <w:sz w:val="20"/>
          <w:szCs w:val="20"/>
        </w:rPr>
        <w:t>z siedzibą w Warszawie i Acciona Construccion S.A. z siedzibą w Madrycie dalszą kwotę</w:t>
      </w:r>
      <w:r>
        <w:rPr>
          <w:rFonts w:ascii="Verdana" w:hAnsi="Verdana" w:cs="Garamond"/>
          <w:spacing w:val="3"/>
          <w:sz w:val="20"/>
          <w:szCs w:val="20"/>
        </w:rPr>
        <w:t xml:space="preserve"> </w:t>
      </w:r>
      <w:r w:rsidRPr="00D64BE6">
        <w:rPr>
          <w:rFonts w:ascii="Verdana" w:hAnsi="Verdana" w:cs="Garamond"/>
          <w:spacing w:val="3"/>
          <w:sz w:val="20"/>
          <w:szCs w:val="20"/>
        </w:rPr>
        <w:t xml:space="preserve">1 945 446,36 zł z odsetkami ustawowymi, tytułem zwrotu Wykonawcy niesłusznie potrąconej przez GDDKiA kary umownej za przekroczenie Czasu na Ukończenie za okres od 01.06.2012r. do 21.06.2012r. (zakończenia robót). Sąd ustalił, że Pozwanemu nie przysługuje prawo do żądania od Powodów kary umownej za przekroczenie Czasu na Ukończenie robót wykonywanych na podstawie umowy nr 2811/3/2010 zawartej w dniu 26 lutego 2010 roku z Pozwanym oraz oddalił apelację Pozwanego. Co się zaś tyczy pozostałej części apelacji Powodów, zaskarżającej oddalenie roszczenia o zmianę treści łączącej strony umowy to z uwagi na złożoność tej problematyki i potrzebę prowadzenia w tym przedmiocie dalszego postępowania dowodowego, Sąd Apelacyjny uznał, że </w:t>
      </w:r>
      <w:r w:rsidRPr="00D64BE6">
        <w:rPr>
          <w:rFonts w:ascii="Verdana" w:hAnsi="Verdana" w:cs="Garamond"/>
          <w:spacing w:val="3"/>
          <w:sz w:val="20"/>
          <w:szCs w:val="20"/>
        </w:rPr>
        <w:lastRenderedPageBreak/>
        <w:t>zaszły w niniejszej sprawie przesłanki do wydania wyroku częściowego w oparciu o przepis art. 317 k.p.c. wzw. zart. 391 §1 k.p.c. Ze względu na charakter wyroku Sądu Apelacyjnego, który nie kończy postępowania w sprawie w instancji odwoławczej, orzeczenie nie zawiera rozstrzygnięcia o kosztach postępowania apelacyjnego.</w:t>
      </w:r>
    </w:p>
    <w:p w:rsidR="000C1EFE" w:rsidRDefault="000C1EFE" w:rsidP="00D64BE6">
      <w:pPr>
        <w:spacing w:after="240" w:line="307" w:lineRule="exact"/>
        <w:ind w:right="40"/>
        <w:jc w:val="both"/>
        <w:rPr>
          <w:rFonts w:ascii="Verdana" w:hAnsi="Verdana" w:cs="Garamond"/>
          <w:spacing w:val="3"/>
          <w:sz w:val="20"/>
          <w:szCs w:val="20"/>
        </w:rPr>
      </w:pPr>
    </w:p>
    <w:p w:rsidR="000C1EFE" w:rsidRDefault="000C1EFE" w:rsidP="000C1EFE">
      <w:pPr>
        <w:pStyle w:val="Akapitzlist"/>
        <w:numPr>
          <w:ilvl w:val="0"/>
          <w:numId w:val="6"/>
        </w:numPr>
        <w:spacing w:after="240" w:line="307" w:lineRule="exact"/>
        <w:ind w:right="40"/>
        <w:jc w:val="both"/>
        <w:rPr>
          <w:rFonts w:ascii="Verdana" w:hAnsi="Verdana"/>
          <w:b/>
          <w:sz w:val="24"/>
          <w:szCs w:val="24"/>
        </w:rPr>
      </w:pPr>
      <w:r w:rsidRPr="00586653">
        <w:rPr>
          <w:rFonts w:ascii="Verdana" w:hAnsi="Verdana"/>
          <w:b/>
          <w:sz w:val="24"/>
          <w:szCs w:val="24"/>
        </w:rPr>
        <w:t xml:space="preserve">Przebieg postępowania sądowego, zawisłego przed Sądem Okręgowym w Warszawie, XXV Wydziałem Cywilnym, </w:t>
      </w:r>
      <w:r>
        <w:rPr>
          <w:rFonts w:ascii="Verdana" w:hAnsi="Verdana"/>
          <w:b/>
          <w:sz w:val="24"/>
          <w:szCs w:val="24"/>
        </w:rPr>
        <w:br/>
      </w:r>
      <w:r w:rsidRPr="00586653">
        <w:rPr>
          <w:rFonts w:ascii="Verdana" w:hAnsi="Verdana"/>
          <w:b/>
          <w:sz w:val="24"/>
          <w:szCs w:val="24"/>
        </w:rPr>
        <w:t xml:space="preserve">sygn. akt </w:t>
      </w:r>
      <w:r>
        <w:rPr>
          <w:rFonts w:ascii="Verdana" w:hAnsi="Verdana"/>
          <w:b/>
          <w:sz w:val="24"/>
          <w:szCs w:val="24"/>
        </w:rPr>
        <w:t>XXV C 179/18.</w:t>
      </w:r>
    </w:p>
    <w:p w:rsidR="00727CFA" w:rsidRPr="00727CFA" w:rsidRDefault="00727CFA" w:rsidP="00727CFA">
      <w:pPr>
        <w:spacing w:after="240" w:line="307" w:lineRule="exact"/>
        <w:ind w:right="40"/>
        <w:jc w:val="both"/>
        <w:rPr>
          <w:rFonts w:ascii="Verdana" w:hAnsi="Verdana" w:cs="Garamond"/>
          <w:spacing w:val="3"/>
          <w:sz w:val="20"/>
          <w:szCs w:val="20"/>
        </w:rPr>
      </w:pPr>
      <w:r w:rsidRPr="00727CFA">
        <w:rPr>
          <w:rFonts w:ascii="Verdana" w:hAnsi="Verdana" w:cs="Garamond"/>
          <w:spacing w:val="3"/>
          <w:sz w:val="20"/>
          <w:szCs w:val="20"/>
        </w:rPr>
        <w:t xml:space="preserve">Pozwem z dnia 24 stycznia 2018 r. Powodowie Mostostal Warszawa S.A. z siedzibą </w:t>
      </w:r>
      <w:r>
        <w:rPr>
          <w:rFonts w:ascii="Verdana" w:hAnsi="Verdana" w:cs="Garamond"/>
          <w:spacing w:val="3"/>
          <w:sz w:val="20"/>
          <w:szCs w:val="20"/>
        </w:rPr>
        <w:br/>
      </w:r>
      <w:r w:rsidRPr="00727CFA">
        <w:rPr>
          <w:rFonts w:ascii="Verdana" w:hAnsi="Verdana" w:cs="Garamond"/>
          <w:spacing w:val="3"/>
          <w:sz w:val="20"/>
          <w:szCs w:val="20"/>
        </w:rPr>
        <w:t>w Warszawie oraz Acciona Construcción S.A. z siedzibą w Madrycie wnieśli o:</w:t>
      </w:r>
    </w:p>
    <w:p w:rsidR="00727CFA" w:rsidRPr="00727CFA" w:rsidRDefault="00727CFA" w:rsidP="00727CFA">
      <w:pPr>
        <w:pStyle w:val="Akapitzlist"/>
        <w:numPr>
          <w:ilvl w:val="0"/>
          <w:numId w:val="8"/>
        </w:numPr>
        <w:spacing w:after="240" w:line="307" w:lineRule="exact"/>
        <w:ind w:right="40"/>
        <w:jc w:val="both"/>
        <w:rPr>
          <w:rFonts w:ascii="Verdana" w:hAnsi="Verdana" w:cs="Garamond"/>
          <w:spacing w:val="3"/>
          <w:sz w:val="20"/>
          <w:szCs w:val="20"/>
        </w:rPr>
      </w:pPr>
      <w:r w:rsidRPr="00727CFA">
        <w:rPr>
          <w:rFonts w:ascii="Verdana" w:hAnsi="Verdana" w:cs="Garamond"/>
          <w:spacing w:val="3"/>
          <w:sz w:val="20"/>
          <w:szCs w:val="20"/>
        </w:rPr>
        <w:t>zasądzenia od Skarbu Państwa — Generalnego Dyrektora Dróg Krajowych i Autostrad na ich rzecz solidarnie kwoty 98.585.371,80 zł wraz z odsetkami ustawowymi od dnia 31 grudnia 2014 r. do dnia 31 grudnia 2015 r. oraz odsetkami ustawowym za opóźnienie od 1 stycznia 2016 r. do dnia zapłaty,</w:t>
      </w:r>
    </w:p>
    <w:p w:rsidR="00727CFA" w:rsidRPr="00727CFA" w:rsidRDefault="00727CFA" w:rsidP="00727CFA">
      <w:pPr>
        <w:spacing w:after="240" w:line="307" w:lineRule="exact"/>
        <w:ind w:right="40" w:firstLine="426"/>
        <w:jc w:val="both"/>
        <w:rPr>
          <w:rFonts w:ascii="Verdana" w:hAnsi="Verdana" w:cs="Garamond"/>
          <w:spacing w:val="3"/>
          <w:sz w:val="20"/>
          <w:szCs w:val="20"/>
        </w:rPr>
      </w:pPr>
      <w:r w:rsidRPr="00727CFA">
        <w:rPr>
          <w:rFonts w:ascii="Verdana" w:hAnsi="Verdana" w:cs="Garamond"/>
          <w:spacing w:val="3"/>
          <w:sz w:val="20"/>
          <w:szCs w:val="20"/>
        </w:rPr>
        <w:t>ewentualnie</w:t>
      </w:r>
    </w:p>
    <w:p w:rsidR="00727CFA" w:rsidRDefault="00727CFA" w:rsidP="00727CFA">
      <w:pPr>
        <w:pStyle w:val="Akapitzlist"/>
        <w:numPr>
          <w:ilvl w:val="0"/>
          <w:numId w:val="8"/>
        </w:numPr>
        <w:spacing w:after="240" w:line="307" w:lineRule="exact"/>
        <w:ind w:right="40"/>
        <w:jc w:val="both"/>
        <w:rPr>
          <w:rFonts w:ascii="Verdana" w:hAnsi="Verdana" w:cs="Garamond"/>
          <w:spacing w:val="3"/>
          <w:sz w:val="20"/>
          <w:szCs w:val="20"/>
        </w:rPr>
      </w:pPr>
      <w:r w:rsidRPr="00727CFA">
        <w:rPr>
          <w:rFonts w:ascii="Verdana" w:hAnsi="Verdana" w:cs="Garamond"/>
          <w:spacing w:val="3"/>
          <w:sz w:val="20"/>
          <w:szCs w:val="20"/>
        </w:rPr>
        <w:t xml:space="preserve">zasądzenia od Skarbu Państwa — Generalnego Dyrektora Dróg Krajowych i Autostrad na rzecz Mostostal Warszawa S.A. kwoty 97.599.518,08 zł wraz z odsetkami ustawowymi od dnia 31 grudnia 2014 r. do dnia 31 grudnia 2015 r. oraz odsetkami ustawowym za opóźnienie od 1 stycznia 2016 r. do dnia zapłaty oraz na rzecz Acciona Construcción S.A. kwoty 985.853,72 zł wraz z odsetkami ustawowymi od dnia 31 grudnia 2014 r. do dnia 31 grudnia 2015 r. oraz odsetkami ustawowym za opóźnienie od 1 stycznia 2016 r. do dnia zapłaty, </w:t>
      </w:r>
    </w:p>
    <w:p w:rsidR="00727CFA" w:rsidRPr="00727CFA" w:rsidRDefault="00727CFA" w:rsidP="00727CFA">
      <w:pPr>
        <w:spacing w:after="240" w:line="307" w:lineRule="exact"/>
        <w:ind w:right="40" w:firstLine="426"/>
        <w:jc w:val="both"/>
        <w:rPr>
          <w:rFonts w:ascii="Verdana" w:hAnsi="Verdana" w:cs="Garamond"/>
          <w:spacing w:val="3"/>
          <w:sz w:val="20"/>
          <w:szCs w:val="20"/>
        </w:rPr>
      </w:pPr>
      <w:r w:rsidRPr="00727CFA">
        <w:rPr>
          <w:rFonts w:ascii="Verdana" w:hAnsi="Verdana" w:cs="Garamond"/>
          <w:spacing w:val="3"/>
          <w:sz w:val="20"/>
          <w:szCs w:val="20"/>
        </w:rPr>
        <w:t>ewentualnie</w:t>
      </w:r>
    </w:p>
    <w:p w:rsidR="00727CFA" w:rsidRDefault="00727CFA" w:rsidP="00727CFA">
      <w:pPr>
        <w:pStyle w:val="Akapitzlist"/>
        <w:numPr>
          <w:ilvl w:val="0"/>
          <w:numId w:val="8"/>
        </w:numPr>
        <w:spacing w:after="240" w:line="307" w:lineRule="exact"/>
        <w:ind w:right="40"/>
        <w:jc w:val="both"/>
        <w:rPr>
          <w:rFonts w:ascii="Verdana" w:hAnsi="Verdana" w:cs="Garamond"/>
          <w:spacing w:val="3"/>
          <w:sz w:val="20"/>
          <w:szCs w:val="20"/>
        </w:rPr>
      </w:pPr>
      <w:r w:rsidRPr="00727CFA">
        <w:rPr>
          <w:rFonts w:ascii="Verdana" w:hAnsi="Verdana" w:cs="Garamond"/>
          <w:spacing w:val="3"/>
          <w:sz w:val="20"/>
          <w:szCs w:val="20"/>
        </w:rPr>
        <w:t>zasądzenia od Skarbu Państwa — Generalnego Dyrektora Dróg Kraj owych i Autostrad na ich rzecz łącznie kwoty 98.585.371,80 zł wraz z odsetkami ustawowymi od dnia 31 grudnia 2014 r. do dnia 31 grudnia 2015 r. oraz odsetkami ustawowym za opóźnienie od 1 stycznia 2016 r. do dnia zapłaty.</w:t>
      </w:r>
    </w:p>
    <w:p w:rsidR="003B3D94" w:rsidRPr="003B3D94" w:rsidRDefault="003B3D94" w:rsidP="003B3D94">
      <w:pPr>
        <w:spacing w:after="240" w:line="307" w:lineRule="exact"/>
        <w:ind w:right="40"/>
        <w:jc w:val="both"/>
        <w:rPr>
          <w:rFonts w:ascii="Verdana" w:hAnsi="Verdana" w:cs="Garamond"/>
          <w:spacing w:val="3"/>
          <w:sz w:val="20"/>
          <w:szCs w:val="20"/>
        </w:rPr>
      </w:pPr>
      <w:r w:rsidRPr="003B3D94">
        <w:rPr>
          <w:rFonts w:ascii="Verdana" w:hAnsi="Verdana" w:cs="Garamond"/>
          <w:spacing w:val="3"/>
          <w:sz w:val="20"/>
          <w:szCs w:val="20"/>
        </w:rPr>
        <w:t>W uzasadnieniu pozwu Powodowie wskazali, że łączyła ich z Pozwanym Skarbem Państwa Umowa, podczas realizacji której Powodowie jako wykonawca napotkali przeszkody, za które odpowiada Pozwany na zasadzie tzw. klauzul adaptacyjnych zawartych w Umowie, a także na zasadzie odpowiedzialności kontraktowej z tytułu nienależytego wykonania obowiązków inwestora. Zdaniem Powodów, wystąpienie określonych okoliczności spowodowało, że nie byli oni w stanie ukończyć robót w terminie określonym pierwotnie w kontrakcie, w związku z czym dochodzą zapłaty kwot, stanowiących rzekome dodatkowe koszty Powodów związane z przedłużeniem czasu wykonywania kontraktu.</w:t>
      </w:r>
    </w:p>
    <w:p w:rsidR="003B3D94" w:rsidRPr="003B3D94" w:rsidRDefault="003B3D94" w:rsidP="003B3D94">
      <w:pPr>
        <w:spacing w:after="240" w:line="307" w:lineRule="exact"/>
        <w:ind w:right="40"/>
        <w:jc w:val="both"/>
        <w:rPr>
          <w:rFonts w:ascii="Verdana" w:hAnsi="Verdana" w:cs="Garamond"/>
          <w:spacing w:val="3"/>
          <w:sz w:val="20"/>
          <w:szCs w:val="20"/>
        </w:rPr>
      </w:pPr>
      <w:r w:rsidRPr="003B3D94">
        <w:rPr>
          <w:rFonts w:ascii="Verdana" w:hAnsi="Verdana" w:cs="Garamond"/>
          <w:spacing w:val="3"/>
          <w:sz w:val="20"/>
          <w:szCs w:val="20"/>
        </w:rPr>
        <w:t>Na dochodzoną przez Powodów kwotę składają się:</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lastRenderedPageBreak/>
        <w:t>1)</w:t>
      </w:r>
      <w:r w:rsidRPr="003B3D94">
        <w:rPr>
          <w:rFonts w:ascii="Verdana" w:hAnsi="Verdana" w:cs="Garamond"/>
          <w:spacing w:val="3"/>
          <w:sz w:val="20"/>
          <w:szCs w:val="20"/>
        </w:rPr>
        <w:tab/>
        <w:t>kwota 1.706.700,45 zł netto, stanowiąca koszt utrzymania zaplecza w okresie przedłużonym;</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2)</w:t>
      </w:r>
      <w:r w:rsidRPr="003B3D94">
        <w:rPr>
          <w:rFonts w:ascii="Verdana" w:hAnsi="Verdana" w:cs="Garamond"/>
          <w:spacing w:val="3"/>
          <w:sz w:val="20"/>
          <w:szCs w:val="20"/>
        </w:rPr>
        <w:tab/>
        <w:t>kwota 911.454,40 zl netto, stanowiąca koszt sprzętu drobnego, urządzeń technicznych oraz transportu wewnętrznego;</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3)</w:t>
      </w:r>
      <w:r w:rsidRPr="003B3D94">
        <w:rPr>
          <w:rFonts w:ascii="Verdana" w:hAnsi="Verdana" w:cs="Garamond"/>
          <w:spacing w:val="3"/>
          <w:sz w:val="20"/>
          <w:szCs w:val="20"/>
        </w:rPr>
        <w:tab/>
        <w:t>kwota 344.100,50 zł netto stanowiąca koszt ochrony;</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4)</w:t>
      </w:r>
      <w:r w:rsidRPr="003B3D94">
        <w:rPr>
          <w:rFonts w:ascii="Verdana" w:hAnsi="Verdana" w:cs="Garamond"/>
          <w:spacing w:val="3"/>
          <w:sz w:val="20"/>
          <w:szCs w:val="20"/>
        </w:rPr>
        <w:tab/>
        <w:t>kwota 34.242,64 zł netto stanowiąca koszt obsługi BHP;</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5)</w:t>
      </w:r>
      <w:r w:rsidRPr="003B3D94">
        <w:rPr>
          <w:rFonts w:ascii="Verdana" w:hAnsi="Verdana" w:cs="Garamond"/>
          <w:spacing w:val="3"/>
          <w:sz w:val="20"/>
          <w:szCs w:val="20"/>
        </w:rPr>
        <w:tab/>
        <w:t>kwota 5.009.375,98 zl netto, stanowiąca koszty kadry technicznej;</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6)</w:t>
      </w:r>
      <w:r w:rsidRPr="003B3D94">
        <w:rPr>
          <w:rFonts w:ascii="Verdana" w:hAnsi="Verdana" w:cs="Garamond"/>
          <w:spacing w:val="3"/>
          <w:sz w:val="20"/>
          <w:szCs w:val="20"/>
        </w:rPr>
        <w:tab/>
        <w:t>kwota 3.533.828,61 zł netto stanowiąca koszt szeroko pojętej kontroli i analizy;</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7)</w:t>
      </w:r>
      <w:r w:rsidRPr="003B3D94">
        <w:rPr>
          <w:rFonts w:ascii="Verdana" w:hAnsi="Verdana" w:cs="Garamond"/>
          <w:spacing w:val="3"/>
          <w:sz w:val="20"/>
          <w:szCs w:val="20"/>
        </w:rPr>
        <w:tab/>
        <w:t>lewo ta 521.561,75 zł netto, stanowiąca koszt poniesiony w związku wykonywaniem zadań związanych z realizacją Kontraktu przez 4 pracowników Powoda ad. 2;</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8)</w:t>
      </w:r>
      <w:r w:rsidRPr="003B3D94">
        <w:rPr>
          <w:rFonts w:ascii="Verdana" w:hAnsi="Verdana" w:cs="Garamond"/>
          <w:spacing w:val="3"/>
          <w:sz w:val="20"/>
          <w:szCs w:val="20"/>
        </w:rPr>
        <w:tab/>
        <w:t>kwota 6.309.197,99 zl netto stanowiąca koszt zarządu Mostostal;</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9)</w:t>
      </w:r>
      <w:r w:rsidRPr="003B3D94">
        <w:rPr>
          <w:rFonts w:ascii="Verdana" w:hAnsi="Verdana" w:cs="Garamond"/>
          <w:spacing w:val="3"/>
          <w:sz w:val="20"/>
          <w:szCs w:val="20"/>
        </w:rPr>
        <w:tab/>
        <w:t>kwota 556.669,83 zł netto stanowiąca koszt faktoringu;</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10)</w:t>
      </w:r>
      <w:r w:rsidRPr="003B3D94">
        <w:rPr>
          <w:rFonts w:ascii="Verdana" w:hAnsi="Verdana" w:cs="Garamond"/>
          <w:spacing w:val="3"/>
          <w:sz w:val="20"/>
          <w:szCs w:val="20"/>
        </w:rPr>
        <w:tab/>
        <w:t>kwota 451.186,16 zł brutto z tytułu kosztu ubezpieczenia budowy;</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11)</w:t>
      </w:r>
      <w:r w:rsidRPr="003B3D94">
        <w:rPr>
          <w:rFonts w:ascii="Verdana" w:hAnsi="Verdana" w:cs="Garamond"/>
          <w:spacing w:val="3"/>
          <w:sz w:val="20"/>
          <w:szCs w:val="20"/>
        </w:rPr>
        <w:tab/>
        <w:t>kwota 349.942,93 zł brutto z tytułu kosztu przedłużenia gwarancji bankowej;</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12)</w:t>
      </w:r>
      <w:r w:rsidRPr="003B3D94">
        <w:rPr>
          <w:rFonts w:ascii="Verdana" w:hAnsi="Verdana" w:cs="Garamond"/>
          <w:spacing w:val="3"/>
          <w:sz w:val="20"/>
          <w:szCs w:val="20"/>
        </w:rPr>
        <w:tab/>
        <w:t>kwota 2.113.396,67 zł netto z tytułu wzrostu cen paliwa;</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13)</w:t>
      </w:r>
      <w:r w:rsidRPr="003B3D94">
        <w:rPr>
          <w:rFonts w:ascii="Verdana" w:hAnsi="Verdana" w:cs="Garamond"/>
          <w:spacing w:val="3"/>
          <w:sz w:val="20"/>
          <w:szCs w:val="20"/>
        </w:rPr>
        <w:tab/>
        <w:t>kwota 4.830.143,13 zł netto z tytułu wzrostu cen asfaltu;</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14)</w:t>
      </w:r>
      <w:r w:rsidRPr="003B3D94">
        <w:rPr>
          <w:rFonts w:ascii="Verdana" w:hAnsi="Verdana" w:cs="Garamond"/>
          <w:spacing w:val="3"/>
          <w:sz w:val="20"/>
          <w:szCs w:val="20"/>
        </w:rPr>
        <w:tab/>
        <w:t>kwota 5.696.713,80 zł netto z tytułu osuszania terenu;</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15)</w:t>
      </w:r>
      <w:r w:rsidRPr="003B3D94">
        <w:rPr>
          <w:rFonts w:ascii="Verdana" w:hAnsi="Verdana" w:cs="Garamond"/>
          <w:spacing w:val="3"/>
          <w:sz w:val="20"/>
          <w:szCs w:val="20"/>
        </w:rPr>
        <w:tab/>
        <w:t>kwota 43.486.097,13 zl netto z tytułu kosztu prac robót ziemnych;</w:t>
      </w:r>
    </w:p>
    <w:p w:rsidR="003B3D94" w:rsidRP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16)</w:t>
      </w:r>
      <w:r w:rsidRPr="003B3D94">
        <w:rPr>
          <w:rFonts w:ascii="Verdana" w:hAnsi="Verdana" w:cs="Garamond"/>
          <w:spacing w:val="3"/>
          <w:sz w:val="20"/>
          <w:szCs w:val="20"/>
        </w:rPr>
        <w:tab/>
        <w:t>kwota 3.171.401,43 zl netto z tytułu zwiększonego kosztu transportu ze względu na konieczność transportu kruszyw dłuższą trasą;</w:t>
      </w:r>
    </w:p>
    <w:p w:rsidR="003B3D94" w:rsidRDefault="003B3D94" w:rsidP="003B3D94">
      <w:pPr>
        <w:spacing w:after="240" w:line="307" w:lineRule="exact"/>
        <w:ind w:left="993" w:right="40" w:hanging="705"/>
        <w:jc w:val="both"/>
        <w:rPr>
          <w:rFonts w:ascii="Verdana" w:hAnsi="Verdana" w:cs="Garamond"/>
          <w:spacing w:val="3"/>
          <w:sz w:val="20"/>
          <w:szCs w:val="20"/>
        </w:rPr>
      </w:pPr>
      <w:r w:rsidRPr="003B3D94">
        <w:rPr>
          <w:rFonts w:ascii="Verdana" w:hAnsi="Verdana" w:cs="Garamond"/>
          <w:spacing w:val="3"/>
          <w:sz w:val="20"/>
          <w:szCs w:val="20"/>
        </w:rPr>
        <w:t>17)</w:t>
      </w:r>
      <w:r w:rsidRPr="003B3D94">
        <w:rPr>
          <w:rFonts w:ascii="Verdana" w:hAnsi="Verdana" w:cs="Garamond"/>
          <w:spacing w:val="3"/>
          <w:sz w:val="20"/>
          <w:szCs w:val="20"/>
        </w:rPr>
        <w:tab/>
        <w:t>kwota 1.274.500 zl netto z tytułu zbudowania, utrzymania i rozbiórki mostów.</w:t>
      </w:r>
    </w:p>
    <w:p w:rsidR="003B3D94" w:rsidRPr="003B3D94" w:rsidRDefault="003B3D94" w:rsidP="003B3D94">
      <w:pPr>
        <w:spacing w:after="240" w:line="307" w:lineRule="exact"/>
        <w:ind w:right="40"/>
        <w:jc w:val="both"/>
        <w:rPr>
          <w:rFonts w:ascii="Verdana" w:hAnsi="Verdana" w:cs="Garamond"/>
          <w:spacing w:val="3"/>
          <w:sz w:val="20"/>
          <w:szCs w:val="20"/>
        </w:rPr>
      </w:pPr>
      <w:r w:rsidRPr="003B3D94">
        <w:rPr>
          <w:rFonts w:ascii="Verdana" w:hAnsi="Verdana" w:cs="Garamond"/>
          <w:spacing w:val="3"/>
          <w:sz w:val="20"/>
          <w:szCs w:val="20"/>
        </w:rPr>
        <w:t>Powodowie złożyli wraz z pozwem znaczną ilość dokumentów, sprawozdania finansowe Powodów, a także wewnętrzne analizy i kalkulacje kosztów ogólnych, w tym kosztów zarządu i administracji, faktury, rachunki oraz umowy. Ponadto Powodowie wnieśli m.in. o przeprowadzenie dowodu z zeznań 12 świadków, a także o przeprowadzenie dowodu z opinii instytutu.</w:t>
      </w:r>
    </w:p>
    <w:p w:rsidR="003B3D94" w:rsidRPr="003B3D94" w:rsidRDefault="003B3D94" w:rsidP="003B3D94">
      <w:pPr>
        <w:spacing w:after="240" w:line="307" w:lineRule="exact"/>
        <w:ind w:right="40"/>
        <w:jc w:val="both"/>
        <w:rPr>
          <w:rFonts w:ascii="Verdana" w:hAnsi="Verdana" w:cs="Garamond"/>
          <w:spacing w:val="3"/>
          <w:sz w:val="20"/>
          <w:szCs w:val="20"/>
        </w:rPr>
      </w:pPr>
      <w:r w:rsidRPr="003B3D94">
        <w:rPr>
          <w:rFonts w:ascii="Verdana" w:hAnsi="Verdana" w:cs="Garamond"/>
          <w:spacing w:val="3"/>
          <w:sz w:val="20"/>
          <w:szCs w:val="20"/>
        </w:rPr>
        <w:t xml:space="preserve">W dniu 01 sierpnia 2018r. Pozwany Skarb Państwa złożył odpowiedź na pozew, w której wniósł w pierwszej kolejności o odrzucenie pozwu Powodów z dnia 24 stycznia 2018r., </w:t>
      </w:r>
      <w:r w:rsidRPr="003B3D94">
        <w:rPr>
          <w:rFonts w:ascii="Verdana" w:hAnsi="Verdana" w:cs="Garamond"/>
          <w:spacing w:val="3"/>
          <w:sz w:val="20"/>
          <w:szCs w:val="20"/>
        </w:rPr>
        <w:lastRenderedPageBreak/>
        <w:t>podnosząc zarzut litispendencji, zaś na wypadek nieuwzględnienia ww. wniosku - o oddalenie powództwa.</w:t>
      </w:r>
    </w:p>
    <w:p w:rsidR="003B3D94" w:rsidRPr="003B3D94" w:rsidRDefault="003B3D94" w:rsidP="003B3D94">
      <w:pPr>
        <w:spacing w:after="240" w:line="307" w:lineRule="exact"/>
        <w:ind w:right="40"/>
        <w:jc w:val="both"/>
        <w:rPr>
          <w:rFonts w:ascii="Verdana" w:hAnsi="Verdana" w:cs="Garamond"/>
          <w:spacing w:val="3"/>
          <w:sz w:val="20"/>
          <w:szCs w:val="20"/>
        </w:rPr>
      </w:pPr>
      <w:r w:rsidRPr="003B3D94">
        <w:rPr>
          <w:rFonts w:ascii="Verdana" w:hAnsi="Verdana" w:cs="Garamond"/>
          <w:spacing w:val="3"/>
          <w:sz w:val="20"/>
          <w:szCs w:val="20"/>
        </w:rPr>
        <w:t>Uzasadniając wniosek o odrzucenie pozwu Pozwany powołał się na art. 199 § 1 pkt 2 k.p.c., wskazując, że dochodzone przez Powodów w tym postępowaniu wierzytelności stanowią przedmiot innego postępowania, toczącego się pomiędzy Stronami, obecnie przed Sądem Apelacyjnym w Warszawie pod sygnaturą VI ACa 101/17 (sygnatura akt I instancji XXV C 1227/12).</w:t>
      </w:r>
    </w:p>
    <w:p w:rsidR="003B3D94" w:rsidRPr="003B3D94" w:rsidRDefault="003B3D94" w:rsidP="003B3D94">
      <w:pPr>
        <w:spacing w:after="240" w:line="307" w:lineRule="exact"/>
        <w:ind w:right="40"/>
        <w:jc w:val="both"/>
        <w:rPr>
          <w:rFonts w:ascii="Verdana" w:hAnsi="Verdana" w:cs="Garamond"/>
          <w:spacing w:val="3"/>
          <w:sz w:val="20"/>
          <w:szCs w:val="20"/>
        </w:rPr>
      </w:pPr>
      <w:r w:rsidRPr="003B3D94">
        <w:rPr>
          <w:rFonts w:ascii="Verdana" w:hAnsi="Verdana" w:cs="Garamond"/>
          <w:spacing w:val="3"/>
          <w:sz w:val="20"/>
          <w:szCs w:val="20"/>
        </w:rPr>
        <w:t>Niezależnie od powyższego Pozwany podniósł m.in., że Powodowie:</w:t>
      </w:r>
    </w:p>
    <w:p w:rsidR="003B3D94" w:rsidRPr="003B3D94" w:rsidRDefault="003B3D94" w:rsidP="003B3D94">
      <w:pPr>
        <w:spacing w:after="240" w:line="307" w:lineRule="exact"/>
        <w:ind w:left="709" w:right="40" w:hanging="705"/>
        <w:jc w:val="both"/>
        <w:rPr>
          <w:rFonts w:ascii="Verdana" w:hAnsi="Verdana" w:cs="Garamond"/>
          <w:spacing w:val="3"/>
          <w:sz w:val="20"/>
          <w:szCs w:val="20"/>
        </w:rPr>
      </w:pPr>
      <w:r w:rsidRPr="003B3D94">
        <w:rPr>
          <w:rFonts w:ascii="Verdana" w:hAnsi="Verdana" w:cs="Garamond"/>
          <w:spacing w:val="3"/>
          <w:sz w:val="20"/>
          <w:szCs w:val="20"/>
        </w:rPr>
        <w:t>1)</w:t>
      </w:r>
      <w:r w:rsidRPr="003B3D94">
        <w:rPr>
          <w:rFonts w:ascii="Verdana" w:hAnsi="Verdana" w:cs="Garamond"/>
          <w:spacing w:val="3"/>
          <w:sz w:val="20"/>
          <w:szCs w:val="20"/>
        </w:rPr>
        <w:tab/>
        <w:t>nie wykazali przesłanek odpowiedzialności odszkodowawczej Skarbu Państwa w odniesieniu do każdego z dochodzonych przez nich roszczeń;</w:t>
      </w:r>
    </w:p>
    <w:p w:rsidR="003B3D94" w:rsidRPr="003B3D94" w:rsidRDefault="003B3D94" w:rsidP="003B3D94">
      <w:pPr>
        <w:spacing w:after="240" w:line="307" w:lineRule="exact"/>
        <w:ind w:left="709" w:right="40" w:hanging="705"/>
        <w:jc w:val="both"/>
        <w:rPr>
          <w:rFonts w:ascii="Verdana" w:hAnsi="Verdana" w:cs="Garamond"/>
          <w:spacing w:val="3"/>
          <w:sz w:val="20"/>
          <w:szCs w:val="20"/>
        </w:rPr>
      </w:pPr>
      <w:r w:rsidRPr="003B3D94">
        <w:rPr>
          <w:rFonts w:ascii="Verdana" w:hAnsi="Verdana" w:cs="Garamond"/>
          <w:spacing w:val="3"/>
          <w:sz w:val="20"/>
          <w:szCs w:val="20"/>
        </w:rPr>
        <w:t>2)</w:t>
      </w:r>
      <w:r w:rsidRPr="003B3D94">
        <w:rPr>
          <w:rFonts w:ascii="Verdana" w:hAnsi="Verdana" w:cs="Garamond"/>
          <w:spacing w:val="3"/>
          <w:sz w:val="20"/>
          <w:szCs w:val="20"/>
        </w:rPr>
        <w:tab/>
        <w:t>dochodzą podwójnej zapłaty kwoty 344.100,50 zł z tytułu ochrony oraz kwoty 34.242,64 zł z tytułu obsługi BHP, które to kwoty jednocześnie składają się na roszczenie Powodów z tytułu utrzymania zaplecza budowy w kwocie 1.706.700,45 zł;</w:t>
      </w:r>
    </w:p>
    <w:p w:rsidR="003B3D94" w:rsidRPr="003B3D94" w:rsidRDefault="003B3D94" w:rsidP="003B3D94">
      <w:pPr>
        <w:spacing w:after="240" w:line="307" w:lineRule="exact"/>
        <w:ind w:left="709" w:right="40" w:hanging="705"/>
        <w:jc w:val="both"/>
        <w:rPr>
          <w:rFonts w:ascii="Verdana" w:hAnsi="Verdana" w:cs="Garamond"/>
          <w:spacing w:val="3"/>
          <w:sz w:val="20"/>
          <w:szCs w:val="20"/>
        </w:rPr>
      </w:pPr>
      <w:r w:rsidRPr="003B3D94">
        <w:rPr>
          <w:rFonts w:ascii="Verdana" w:hAnsi="Verdana" w:cs="Garamond"/>
          <w:spacing w:val="3"/>
          <w:sz w:val="20"/>
          <w:szCs w:val="20"/>
        </w:rPr>
        <w:t>3)</w:t>
      </w:r>
      <w:r w:rsidRPr="003B3D94">
        <w:rPr>
          <w:rFonts w:ascii="Verdana" w:hAnsi="Verdana" w:cs="Garamond"/>
          <w:spacing w:val="3"/>
          <w:sz w:val="20"/>
          <w:szCs w:val="20"/>
        </w:rPr>
        <w:tab/>
        <w:t>Wykonawca nie wykonywał robót zgodnie z Harmonogramem z przyczyn leżących po jego stronie i również z tego tytułu Pozwany nie może ponosić odpowiedzialności. W pozwie pominięto rzeczywistą przyczynę opóźnień Wykonawcy w wykonaniu Umowy, którą stanowił szereg jego uchybień z zakresu przygotowania się do budowy, mobilizacji, organizacji budowy, prowadzenia prac budowlanych;</w:t>
      </w:r>
    </w:p>
    <w:p w:rsidR="003B3D94" w:rsidRPr="003B3D94" w:rsidRDefault="003B3D94" w:rsidP="003B3D94">
      <w:pPr>
        <w:spacing w:after="240" w:line="307" w:lineRule="exact"/>
        <w:ind w:left="709" w:right="40" w:hanging="705"/>
        <w:jc w:val="both"/>
        <w:rPr>
          <w:rFonts w:ascii="Verdana" w:hAnsi="Verdana" w:cs="Garamond"/>
          <w:spacing w:val="3"/>
          <w:sz w:val="20"/>
          <w:szCs w:val="20"/>
        </w:rPr>
      </w:pPr>
      <w:r w:rsidRPr="003B3D94">
        <w:rPr>
          <w:rFonts w:ascii="Verdana" w:hAnsi="Verdana" w:cs="Garamond"/>
          <w:spacing w:val="3"/>
          <w:sz w:val="20"/>
          <w:szCs w:val="20"/>
        </w:rPr>
        <w:t>4)</w:t>
      </w:r>
      <w:r w:rsidRPr="003B3D94">
        <w:rPr>
          <w:rFonts w:ascii="Verdana" w:hAnsi="Verdana" w:cs="Garamond"/>
          <w:spacing w:val="3"/>
          <w:sz w:val="20"/>
          <w:szCs w:val="20"/>
        </w:rPr>
        <w:tab/>
        <w:t>nie wykazali także, że ponieśli szkodę w dochodzonej przez siebie wysokości. Samo zaś powstanie szkody nie jest ani czynnością, ani zdarzeniem podlegającym opodatkowaniu podatkiem od towarów i usług;</w:t>
      </w:r>
    </w:p>
    <w:p w:rsidR="003B3D94" w:rsidRDefault="003B3D94" w:rsidP="003B3D94">
      <w:pPr>
        <w:spacing w:after="240" w:line="307" w:lineRule="exact"/>
        <w:ind w:left="709" w:right="40" w:hanging="705"/>
        <w:jc w:val="both"/>
        <w:rPr>
          <w:rFonts w:ascii="Verdana" w:hAnsi="Verdana" w:cs="Garamond"/>
          <w:spacing w:val="3"/>
          <w:sz w:val="20"/>
          <w:szCs w:val="20"/>
        </w:rPr>
      </w:pPr>
      <w:r w:rsidRPr="003B3D94">
        <w:rPr>
          <w:rFonts w:ascii="Verdana" w:hAnsi="Verdana" w:cs="Garamond"/>
          <w:spacing w:val="3"/>
          <w:sz w:val="20"/>
          <w:szCs w:val="20"/>
        </w:rPr>
        <w:t>5)</w:t>
      </w:r>
      <w:r w:rsidRPr="003B3D94">
        <w:rPr>
          <w:rFonts w:ascii="Verdana" w:hAnsi="Verdana" w:cs="Garamond"/>
          <w:spacing w:val="3"/>
          <w:sz w:val="20"/>
          <w:szCs w:val="20"/>
        </w:rPr>
        <w:tab/>
        <w:t>byli zobowiązani przed złożeniem pozwu w zakresie żądań będących przedmiotem niniejszego powództwa, do ich dochodzenia od Pozwanego na zasadach określonych w Sublauzuli 20.1 [Koszenia Wykonawcy.</w:t>
      </w:r>
    </w:p>
    <w:p w:rsidR="003B3D94" w:rsidRDefault="003B3D94" w:rsidP="003B3D94">
      <w:pPr>
        <w:spacing w:after="240" w:line="307" w:lineRule="exact"/>
        <w:ind w:left="709" w:right="40" w:hanging="705"/>
        <w:jc w:val="both"/>
        <w:rPr>
          <w:rFonts w:ascii="Verdana" w:hAnsi="Verdana" w:cs="Garamond"/>
          <w:spacing w:val="3"/>
          <w:sz w:val="20"/>
          <w:szCs w:val="20"/>
        </w:rPr>
      </w:pPr>
    </w:p>
    <w:p w:rsidR="003B3D94" w:rsidRPr="003B3D94" w:rsidRDefault="003B3D94" w:rsidP="003B3D94">
      <w:pPr>
        <w:spacing w:after="240" w:line="307" w:lineRule="exact"/>
        <w:ind w:right="40"/>
        <w:jc w:val="both"/>
        <w:rPr>
          <w:rFonts w:ascii="Verdana" w:hAnsi="Verdana" w:cs="Garamond"/>
          <w:spacing w:val="3"/>
          <w:sz w:val="20"/>
          <w:szCs w:val="20"/>
        </w:rPr>
      </w:pPr>
      <w:r>
        <w:rPr>
          <w:rFonts w:ascii="Verdana" w:hAnsi="Verdana" w:cs="Garamond"/>
          <w:spacing w:val="3"/>
          <w:sz w:val="20"/>
          <w:szCs w:val="20"/>
        </w:rPr>
        <w:t xml:space="preserve">Na obecnym etapie, Sąd Apelacyjny wezwał obie strony sporu do podjęcia rozmów ugodowych w obu sprawach tj. </w:t>
      </w:r>
      <w:r w:rsidRPr="003B3D94">
        <w:rPr>
          <w:rFonts w:ascii="Verdana" w:hAnsi="Verdana" w:cs="Garamond"/>
          <w:spacing w:val="3"/>
          <w:sz w:val="20"/>
          <w:szCs w:val="20"/>
        </w:rPr>
        <w:t>XXV C 1227/12 (</w:t>
      </w:r>
      <w:r>
        <w:rPr>
          <w:rFonts w:ascii="Verdana" w:hAnsi="Verdana" w:cs="Garamond"/>
          <w:spacing w:val="3"/>
          <w:sz w:val="20"/>
          <w:szCs w:val="20"/>
        </w:rPr>
        <w:t xml:space="preserve">akt VI ACa 101/17) oraz </w:t>
      </w:r>
      <w:r w:rsidRPr="003B3D94">
        <w:rPr>
          <w:rFonts w:ascii="Verdana" w:hAnsi="Verdana" w:cs="Garamond"/>
          <w:spacing w:val="3"/>
          <w:sz w:val="20"/>
          <w:szCs w:val="20"/>
        </w:rPr>
        <w:t>XXV C 179/18</w:t>
      </w:r>
      <w:r>
        <w:rPr>
          <w:rFonts w:ascii="Verdana" w:hAnsi="Verdana" w:cs="Garamond"/>
          <w:spacing w:val="3"/>
          <w:sz w:val="20"/>
          <w:szCs w:val="20"/>
        </w:rPr>
        <w:t>.</w:t>
      </w:r>
    </w:p>
    <w:p w:rsidR="000C1EFE" w:rsidRDefault="000C1EFE" w:rsidP="00D64BE6">
      <w:pPr>
        <w:spacing w:after="240" w:line="307" w:lineRule="exact"/>
        <w:ind w:right="40"/>
        <w:jc w:val="both"/>
        <w:rPr>
          <w:rFonts w:ascii="Verdana" w:hAnsi="Verdana" w:cs="Garamond"/>
          <w:spacing w:val="3"/>
          <w:sz w:val="20"/>
          <w:szCs w:val="20"/>
        </w:rPr>
      </w:pPr>
    </w:p>
    <w:sectPr w:rsidR="000C1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Garamond" w:hAnsi="Garamond" w:cs="Garamond"/>
        <w:b w:val="0"/>
        <w:bCs w:val="0"/>
        <w:i w:val="0"/>
        <w:iCs w:val="0"/>
        <w:smallCaps w:val="0"/>
        <w:strike w:val="0"/>
        <w:color w:val="000000"/>
        <w:spacing w:val="3"/>
        <w:w w:val="100"/>
        <w:position w:val="0"/>
        <w:sz w:val="21"/>
        <w:szCs w:val="21"/>
        <w:u w:val="none"/>
      </w:rPr>
    </w:lvl>
    <w:lvl w:ilvl="1">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2">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3">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4">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5">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6">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7">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lvl w:ilvl="8">
      <w:start w:val="1"/>
      <w:numFmt w:val="decimal"/>
      <w:lvlText w:val="%2."/>
      <w:lvlJc w:val="left"/>
      <w:rPr>
        <w:rFonts w:ascii="Garamond" w:hAnsi="Garamond" w:cs="Garamond"/>
        <w:b w:val="0"/>
        <w:bCs w:val="0"/>
        <w:i w:val="0"/>
        <w:iCs w:val="0"/>
        <w:smallCaps w:val="0"/>
        <w:strike w:val="0"/>
        <w:color w:val="000000"/>
        <w:spacing w:val="3"/>
        <w:w w:val="100"/>
        <w:position w:val="0"/>
        <w:sz w:val="21"/>
        <w:szCs w:val="21"/>
        <w:u w:val="none"/>
      </w:rPr>
    </w:lvl>
  </w:abstractNum>
  <w:abstractNum w:abstractNumId="1" w15:restartNumberingAfterBreak="0">
    <w:nsid w:val="23B75EA7"/>
    <w:multiLevelType w:val="hybridMultilevel"/>
    <w:tmpl w:val="1C403122"/>
    <w:lvl w:ilvl="0" w:tplc="F8625C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D97D8A"/>
    <w:multiLevelType w:val="hybridMultilevel"/>
    <w:tmpl w:val="1294F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1062A1"/>
    <w:multiLevelType w:val="hybridMultilevel"/>
    <w:tmpl w:val="71B255FC"/>
    <w:lvl w:ilvl="0" w:tplc="C7CEE7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D84938"/>
    <w:multiLevelType w:val="hybridMultilevel"/>
    <w:tmpl w:val="5DCCC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D52D35"/>
    <w:multiLevelType w:val="hybridMultilevel"/>
    <w:tmpl w:val="2FAEA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4E146B"/>
    <w:multiLevelType w:val="hybridMultilevel"/>
    <w:tmpl w:val="71B255FC"/>
    <w:lvl w:ilvl="0" w:tplc="C7CEE7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B87CF2"/>
    <w:multiLevelType w:val="hybridMultilevel"/>
    <w:tmpl w:val="2234A642"/>
    <w:lvl w:ilvl="0" w:tplc="B14EB1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7C"/>
    <w:rsid w:val="000569F3"/>
    <w:rsid w:val="00095A4B"/>
    <w:rsid w:val="000C1EFE"/>
    <w:rsid w:val="001A569A"/>
    <w:rsid w:val="003B3D94"/>
    <w:rsid w:val="004F063F"/>
    <w:rsid w:val="00586653"/>
    <w:rsid w:val="00727CFA"/>
    <w:rsid w:val="008E4F7C"/>
    <w:rsid w:val="00BC0D4F"/>
    <w:rsid w:val="00BD70C2"/>
    <w:rsid w:val="00D10950"/>
    <w:rsid w:val="00D64BE6"/>
    <w:rsid w:val="00D66C3E"/>
    <w:rsid w:val="00EC3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732E9-4295-4CD7-9951-27059B12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1">
    <w:name w:val="Tekst podstawowy Znak1"/>
    <w:basedOn w:val="Domylnaczcionkaakapitu"/>
    <w:link w:val="Tekstpodstawowy"/>
    <w:uiPriority w:val="99"/>
    <w:rsid w:val="000569F3"/>
    <w:rPr>
      <w:rFonts w:ascii="Garamond" w:hAnsi="Garamond" w:cs="Garamond"/>
      <w:spacing w:val="3"/>
      <w:sz w:val="21"/>
      <w:szCs w:val="21"/>
      <w:shd w:val="clear" w:color="auto" w:fill="FFFFFF"/>
    </w:rPr>
  </w:style>
  <w:style w:type="paragraph" w:styleId="Tekstpodstawowy">
    <w:name w:val="Body Text"/>
    <w:basedOn w:val="Normalny"/>
    <w:link w:val="TekstpodstawowyZnak1"/>
    <w:uiPriority w:val="99"/>
    <w:rsid w:val="000569F3"/>
    <w:pPr>
      <w:shd w:val="clear" w:color="auto" w:fill="FFFFFF"/>
      <w:spacing w:after="0" w:line="120" w:lineRule="exact"/>
      <w:ind w:hanging="420"/>
    </w:pPr>
    <w:rPr>
      <w:rFonts w:ascii="Garamond" w:hAnsi="Garamond" w:cs="Garamond"/>
      <w:spacing w:val="3"/>
      <w:sz w:val="21"/>
      <w:szCs w:val="21"/>
    </w:rPr>
  </w:style>
  <w:style w:type="character" w:customStyle="1" w:styleId="TekstpodstawowyZnak">
    <w:name w:val="Tekst podstawowy Znak"/>
    <w:basedOn w:val="Domylnaczcionkaakapitu"/>
    <w:uiPriority w:val="99"/>
    <w:semiHidden/>
    <w:rsid w:val="000569F3"/>
  </w:style>
  <w:style w:type="character" w:customStyle="1" w:styleId="BodytextBold">
    <w:name w:val="Body text + Bold"/>
    <w:basedOn w:val="TekstpodstawowyZnak1"/>
    <w:uiPriority w:val="99"/>
    <w:rsid w:val="000569F3"/>
    <w:rPr>
      <w:rFonts w:ascii="Garamond" w:hAnsi="Garamond" w:cs="Garamond"/>
      <w:b/>
      <w:bCs/>
      <w:spacing w:val="1"/>
      <w:sz w:val="21"/>
      <w:szCs w:val="21"/>
      <w:shd w:val="clear" w:color="auto" w:fill="FFFFFF"/>
    </w:rPr>
  </w:style>
  <w:style w:type="paragraph" w:styleId="Akapitzlist">
    <w:name w:val="List Paragraph"/>
    <w:basedOn w:val="Normalny"/>
    <w:uiPriority w:val="34"/>
    <w:qFormat/>
    <w:rsid w:val="00586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3148</Words>
  <Characters>18894</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Paweł</dc:creator>
  <cp:keywords/>
  <dc:description/>
  <cp:lastModifiedBy>Dudek Paweł</cp:lastModifiedBy>
  <cp:revision>2</cp:revision>
  <dcterms:created xsi:type="dcterms:W3CDTF">2022-09-02T12:44:00Z</dcterms:created>
  <dcterms:modified xsi:type="dcterms:W3CDTF">2022-09-02T12:44:00Z</dcterms:modified>
</cp:coreProperties>
</file>