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E1056" w14:textId="6F96D80B" w:rsidR="005E2BD6" w:rsidRPr="00F84787" w:rsidRDefault="005E2BD6" w:rsidP="000867AB">
      <w:pPr>
        <w:jc w:val="center"/>
        <w:rPr>
          <w:b/>
        </w:rPr>
      </w:pPr>
      <w:r w:rsidRPr="00F84787">
        <w:rPr>
          <w:b/>
        </w:rPr>
        <w:t>REGULAMIN</w:t>
      </w:r>
      <w:r w:rsidR="00F84787" w:rsidRPr="00F84787">
        <w:rPr>
          <w:b/>
        </w:rPr>
        <w:br/>
      </w:r>
      <w:r w:rsidR="00F61E3B" w:rsidRPr="00F84787">
        <w:rPr>
          <w:b/>
        </w:rPr>
        <w:t xml:space="preserve">POLISH </w:t>
      </w:r>
      <w:r w:rsidR="006F0CE2" w:rsidRPr="00F84787">
        <w:rPr>
          <w:b/>
        </w:rPr>
        <w:t xml:space="preserve">AFTER SCHOOL CLUBS </w:t>
      </w:r>
      <w:r w:rsidR="00FA2D2F" w:rsidRPr="00F84787">
        <w:rPr>
          <w:b/>
        </w:rPr>
        <w:t>2025</w:t>
      </w:r>
      <w:r w:rsidR="00F84787" w:rsidRPr="00F84787">
        <w:rPr>
          <w:b/>
        </w:rPr>
        <w:t xml:space="preserve"> </w:t>
      </w:r>
      <w:r w:rsidR="00F84787" w:rsidRPr="00F84787">
        <w:rPr>
          <w:b/>
        </w:rPr>
        <w:br/>
        <w:t>ZAJĘĆ Z JĘZYKA POLSKIEGO</w:t>
      </w:r>
      <w:r w:rsidR="00F84787">
        <w:rPr>
          <w:b/>
        </w:rPr>
        <w:t xml:space="preserve"> W SZKOŁACH BRYTYJSKICH</w:t>
      </w:r>
    </w:p>
    <w:p w14:paraId="0DCD6722" w14:textId="595923FF" w:rsidR="00BF474D" w:rsidRPr="00BF474D" w:rsidRDefault="006F0CE2" w:rsidP="00BF474D">
      <w:pPr>
        <w:jc w:val="center"/>
        <w:rPr>
          <w:b/>
        </w:rPr>
      </w:pPr>
      <w:r w:rsidRPr="00F84787">
        <w:rPr>
          <w:b/>
        </w:rPr>
        <w:br/>
      </w:r>
      <w:r w:rsidR="005E2BD6" w:rsidRPr="00BF474D">
        <w:rPr>
          <w:b/>
        </w:rPr>
        <w:t>§ 1</w:t>
      </w:r>
      <w:r w:rsidR="008C7B94">
        <w:rPr>
          <w:b/>
        </w:rPr>
        <w:br/>
      </w:r>
      <w:r w:rsidR="005E2BD6" w:rsidRPr="00BF474D">
        <w:rPr>
          <w:b/>
        </w:rPr>
        <w:t>D</w:t>
      </w:r>
      <w:r w:rsidR="00BF474D" w:rsidRPr="00BF474D">
        <w:rPr>
          <w:b/>
        </w:rPr>
        <w:t>EFINICJE</w:t>
      </w:r>
    </w:p>
    <w:p w14:paraId="1BFA3A47" w14:textId="77777777" w:rsidR="005E2BD6" w:rsidRDefault="005E2BD6" w:rsidP="007F2EF8">
      <w:pPr>
        <w:jc w:val="both"/>
      </w:pPr>
      <w:r>
        <w:t>Użyte w regulaminie określenia oznaczają:</w:t>
      </w:r>
    </w:p>
    <w:p w14:paraId="6D953EFF" w14:textId="783C9A25" w:rsidR="00BF474D" w:rsidRDefault="005E2BD6" w:rsidP="007F2EF8">
      <w:pPr>
        <w:pStyle w:val="Akapitzlist"/>
        <w:numPr>
          <w:ilvl w:val="0"/>
          <w:numId w:val="2"/>
        </w:numPr>
        <w:jc w:val="both"/>
      </w:pPr>
      <w:r w:rsidRPr="00BF474D">
        <w:rPr>
          <w:b/>
        </w:rPr>
        <w:t>wnioskodawca</w:t>
      </w:r>
      <w:r>
        <w:t xml:space="preserve"> – podmiot składający wniosek o dofinansowanie </w:t>
      </w:r>
      <w:r w:rsidR="006F0CE2">
        <w:t xml:space="preserve">zajęć </w:t>
      </w:r>
      <w:r w:rsidR="00140CC4">
        <w:t xml:space="preserve">Polish After School Clubs (PASC) </w:t>
      </w:r>
      <w:r>
        <w:t xml:space="preserve">w ramach </w:t>
      </w:r>
      <w:r w:rsidR="00140CC4">
        <w:t>p</w:t>
      </w:r>
      <w:r w:rsidR="008C7B94">
        <w:t xml:space="preserve">rzedsięwzięcia </w:t>
      </w:r>
      <w:r w:rsidR="00140CC4">
        <w:t xml:space="preserve">polonijnego </w:t>
      </w:r>
      <w:r w:rsidR="006F0CE2">
        <w:t>Polish After School Clubs</w:t>
      </w:r>
      <w:r w:rsidR="00140CC4">
        <w:t xml:space="preserve"> 2025</w:t>
      </w:r>
      <w:r>
        <w:t>;</w:t>
      </w:r>
    </w:p>
    <w:p w14:paraId="119EB340" w14:textId="7E2C36F6" w:rsidR="00BF474D" w:rsidRDefault="005E2BD6" w:rsidP="007F2EF8">
      <w:pPr>
        <w:pStyle w:val="Akapitzlist"/>
        <w:numPr>
          <w:ilvl w:val="0"/>
          <w:numId w:val="2"/>
        </w:numPr>
        <w:jc w:val="both"/>
      </w:pPr>
      <w:r w:rsidRPr="00BF474D">
        <w:rPr>
          <w:b/>
        </w:rPr>
        <w:t>beneficjent</w:t>
      </w:r>
      <w:r>
        <w:t xml:space="preserve"> – </w:t>
      </w:r>
      <w:r w:rsidR="008E0345">
        <w:t>w</w:t>
      </w:r>
      <w:r>
        <w:t xml:space="preserve">nioskodawca, który uzyskał dofinansowanie na realizację </w:t>
      </w:r>
      <w:r w:rsidR="006F0CE2">
        <w:t xml:space="preserve">zajęć </w:t>
      </w:r>
      <w:r w:rsidR="00140CC4">
        <w:t>PASC</w:t>
      </w:r>
      <w:r>
        <w:t>;</w:t>
      </w:r>
    </w:p>
    <w:p w14:paraId="51187A8C" w14:textId="016DF54F" w:rsidR="005E2BD6" w:rsidRDefault="005E2BD6" w:rsidP="007F2EF8">
      <w:pPr>
        <w:pStyle w:val="Akapitzlist"/>
        <w:numPr>
          <w:ilvl w:val="0"/>
          <w:numId w:val="2"/>
        </w:numPr>
        <w:jc w:val="both"/>
      </w:pPr>
      <w:r w:rsidRPr="00BF474D">
        <w:rPr>
          <w:b/>
        </w:rPr>
        <w:t>wniosek</w:t>
      </w:r>
      <w:r>
        <w:t xml:space="preserve"> – wniosek o do</w:t>
      </w:r>
      <w:r w:rsidR="006F0CE2">
        <w:t>finansowanie zajęć</w:t>
      </w:r>
      <w:r w:rsidR="00FC39BB">
        <w:t xml:space="preserve"> </w:t>
      </w:r>
      <w:r w:rsidR="00140CC4">
        <w:t>PASC r</w:t>
      </w:r>
      <w:r w:rsidR="006F0CE2">
        <w:t>ealizowany</w:t>
      </w:r>
      <w:r w:rsidR="00FC39BB">
        <w:t xml:space="preserve"> </w:t>
      </w:r>
      <w:r w:rsidR="008C7B94">
        <w:t>w ramach przedsięwzięcia</w:t>
      </w:r>
      <w:r w:rsidR="00140CC4">
        <w:t xml:space="preserve"> Polish After School Clubs 2025</w:t>
      </w:r>
      <w:r w:rsidR="008C7B94">
        <w:t>, wy</w:t>
      </w:r>
      <w:r>
        <w:t>pełni</w:t>
      </w:r>
      <w:r w:rsidR="008C7B94">
        <w:t>o</w:t>
      </w:r>
      <w:r>
        <w:t xml:space="preserve">ny i </w:t>
      </w:r>
      <w:r w:rsidR="008C7B94">
        <w:t xml:space="preserve">dostarczony </w:t>
      </w:r>
      <w:r>
        <w:t>przez wnioskodawcę</w:t>
      </w:r>
      <w:r w:rsidR="00BF474D">
        <w:t>;</w:t>
      </w:r>
    </w:p>
    <w:p w14:paraId="332233BD" w14:textId="302E8955" w:rsidR="00BF474D" w:rsidRDefault="00BF474D" w:rsidP="007F2EF8">
      <w:pPr>
        <w:pStyle w:val="Akapitzlist"/>
        <w:numPr>
          <w:ilvl w:val="0"/>
          <w:numId w:val="2"/>
        </w:numPr>
        <w:jc w:val="both"/>
      </w:pPr>
      <w:r w:rsidRPr="00BF474D">
        <w:rPr>
          <w:b/>
        </w:rPr>
        <w:t>błędy formalne</w:t>
      </w:r>
      <w:r>
        <w:t xml:space="preserve"> – wady wniosk</w:t>
      </w:r>
      <w:r w:rsidR="00140CC4">
        <w:t xml:space="preserve">u wynikające z niedostosowania </w:t>
      </w:r>
      <w:r>
        <w:t xml:space="preserve">do wymagań związanych </w:t>
      </w:r>
      <w:r w:rsidR="00140CC4">
        <w:br/>
      </w:r>
      <w:r>
        <w:t>z zakresem</w:t>
      </w:r>
      <w:r w:rsidR="006F0CE2">
        <w:t xml:space="preserve"> przedsięwzięcia </w:t>
      </w:r>
      <w:r w:rsidR="00140CC4">
        <w:t>Polish After School Clubs 2025</w:t>
      </w:r>
      <w:r>
        <w:t>, które uniemożliwiają udzielenie dofinansowania i których wnioskodawca nie może poprawić po terminie zamknięcia</w:t>
      </w:r>
      <w:r w:rsidR="008C7B94">
        <w:t xml:space="preserve"> zbierania wniosków</w:t>
      </w:r>
      <w:r w:rsidR="00677AFD">
        <w:t>;</w:t>
      </w:r>
    </w:p>
    <w:p w14:paraId="69FD91B8" w14:textId="3691D519" w:rsidR="00677AFD" w:rsidRDefault="00677AFD" w:rsidP="007F2EF8">
      <w:pPr>
        <w:pStyle w:val="Akapitzlist"/>
        <w:numPr>
          <w:ilvl w:val="0"/>
          <w:numId w:val="2"/>
        </w:numPr>
        <w:jc w:val="both"/>
      </w:pPr>
      <w:r>
        <w:rPr>
          <w:b/>
        </w:rPr>
        <w:t xml:space="preserve">Zjednoczone Królestwo - </w:t>
      </w:r>
      <w:r>
        <w:t>Zjednoczone Królestwo</w:t>
      </w:r>
      <w:r w:rsidRPr="00953A29">
        <w:t xml:space="preserve"> Wielkiej Brytanii i Irlandii Północnej</w:t>
      </w:r>
      <w:r>
        <w:t>.</w:t>
      </w:r>
    </w:p>
    <w:p w14:paraId="13A8FA13" w14:textId="77777777" w:rsidR="006F0CE2" w:rsidRDefault="006F0CE2" w:rsidP="006F0CE2">
      <w:pPr>
        <w:pStyle w:val="Akapitzlist"/>
        <w:jc w:val="both"/>
      </w:pPr>
    </w:p>
    <w:p w14:paraId="7C2143A6" w14:textId="252A0747" w:rsidR="008C7B94" w:rsidRPr="00BF474D" w:rsidRDefault="008C7B94" w:rsidP="008C7B94">
      <w:pPr>
        <w:jc w:val="center"/>
        <w:rPr>
          <w:b/>
        </w:rPr>
      </w:pPr>
      <w:r>
        <w:rPr>
          <w:b/>
        </w:rPr>
        <w:t>§ 2</w:t>
      </w:r>
      <w:r>
        <w:rPr>
          <w:b/>
        </w:rPr>
        <w:br/>
      </w:r>
      <w:r w:rsidRPr="00BF474D">
        <w:rPr>
          <w:b/>
        </w:rPr>
        <w:t>CEL</w:t>
      </w:r>
    </w:p>
    <w:p w14:paraId="75A4D6F3" w14:textId="595CFA7B" w:rsidR="006F0CE2" w:rsidRDefault="008C7B94" w:rsidP="008C7B94">
      <w:pPr>
        <w:jc w:val="both"/>
      </w:pPr>
      <w:r w:rsidRPr="00BF474D">
        <w:t xml:space="preserve">Celem </w:t>
      </w:r>
      <w:r>
        <w:t>strategicznym przedsięwzięcia</w:t>
      </w:r>
      <w:r w:rsidRPr="00BF474D">
        <w:t xml:space="preserve"> </w:t>
      </w:r>
      <w:r w:rsidR="006F0CE2">
        <w:t xml:space="preserve">jest </w:t>
      </w:r>
      <w:r w:rsidR="00F84787">
        <w:t xml:space="preserve">promowanie wśród młodych Polaków </w:t>
      </w:r>
      <w:r w:rsidR="00F84787" w:rsidRPr="006F0CE2">
        <w:t xml:space="preserve">wartości płynących </w:t>
      </w:r>
      <w:r w:rsidR="00F84787">
        <w:br/>
      </w:r>
      <w:r w:rsidR="00F84787" w:rsidRPr="006F0CE2">
        <w:t xml:space="preserve">z </w:t>
      </w:r>
      <w:r w:rsidR="00F84787">
        <w:t xml:space="preserve">nauki i </w:t>
      </w:r>
      <w:r w:rsidR="00F84787" w:rsidRPr="006F0CE2">
        <w:t>odkrywania języka ojczyste</w:t>
      </w:r>
      <w:r w:rsidR="00F84787">
        <w:t xml:space="preserve">go, własnej  kultury i historii. Dla młodych Brytyjczyków zajęcia są szansą </w:t>
      </w:r>
      <w:r w:rsidR="00F84787" w:rsidRPr="006F0CE2">
        <w:t>na bliższe poznanie kultury i tradycji ich polskich przy</w:t>
      </w:r>
      <w:r w:rsidR="00F84787">
        <w:t>jaciół. Przedsięwzięcie daje</w:t>
      </w:r>
      <w:r w:rsidR="00A36F18">
        <w:t xml:space="preserve"> </w:t>
      </w:r>
      <w:r w:rsidR="00F84787">
        <w:t>możliwość  kształtowania dobrych relacji polsko-brytyjskich</w:t>
      </w:r>
      <w:r w:rsidR="006F0CE2" w:rsidRPr="006F0CE2">
        <w:t xml:space="preserve"> wśród młodego </w:t>
      </w:r>
      <w:r w:rsidR="00F84787">
        <w:t xml:space="preserve">pokolenia oraz wspiera </w:t>
      </w:r>
      <w:r w:rsidR="006F0CE2" w:rsidRPr="006F0CE2">
        <w:t>korzyści płynąc</w:t>
      </w:r>
      <w:r w:rsidR="006F0CE2">
        <w:t>e</w:t>
      </w:r>
      <w:r w:rsidR="006F0CE2" w:rsidRPr="006F0CE2">
        <w:t xml:space="preserve"> z dwujęzyczności</w:t>
      </w:r>
      <w:r w:rsidR="006F0CE2">
        <w:t xml:space="preserve"> (wielojęzyczności). </w:t>
      </w:r>
    </w:p>
    <w:p w14:paraId="04A00F65" w14:textId="09DDE775" w:rsidR="005E2BD6" w:rsidRPr="00BF474D" w:rsidRDefault="006F0CE2" w:rsidP="00BF474D">
      <w:pPr>
        <w:jc w:val="center"/>
        <w:rPr>
          <w:b/>
        </w:rPr>
      </w:pPr>
      <w:r>
        <w:rPr>
          <w:b/>
        </w:rPr>
        <w:br/>
      </w:r>
      <w:r w:rsidR="00BF474D" w:rsidRPr="00BF474D">
        <w:rPr>
          <w:b/>
        </w:rPr>
        <w:t xml:space="preserve">§ </w:t>
      </w:r>
      <w:r w:rsidR="008C7B94">
        <w:rPr>
          <w:b/>
        </w:rPr>
        <w:t>3</w:t>
      </w:r>
      <w:r w:rsidR="008C7B94">
        <w:rPr>
          <w:b/>
        </w:rPr>
        <w:br/>
        <w:t>ZAKRES TERYTORIALNY PRZEDSIĘWZIĘCIA</w:t>
      </w:r>
    </w:p>
    <w:p w14:paraId="5E47171A" w14:textId="7177A940" w:rsidR="00F80EA5" w:rsidRPr="00C353D4" w:rsidRDefault="00677AFD" w:rsidP="00F80EA5">
      <w:pPr>
        <w:jc w:val="both"/>
        <w:rPr>
          <w:lang w:val="en-US"/>
        </w:rPr>
      </w:pPr>
      <w:r>
        <w:t xml:space="preserve">Wnioski należy składać </w:t>
      </w:r>
      <w:r w:rsidR="00BF1FC4">
        <w:t xml:space="preserve">według właściwości miejsca </w:t>
      </w:r>
      <w:r>
        <w:t>reali</w:t>
      </w:r>
      <w:r w:rsidR="00BF1FC4">
        <w:t>zacji</w:t>
      </w:r>
      <w:r>
        <w:t xml:space="preserve"> </w:t>
      </w:r>
      <w:r w:rsidR="00F80EA5">
        <w:t>zajęć</w:t>
      </w:r>
      <w:r>
        <w:t xml:space="preserve">, </w:t>
      </w:r>
      <w:r w:rsidR="00C353D4">
        <w:t>zgodnie z obowi</w:t>
      </w:r>
      <w:r w:rsidR="00F80EA5">
        <w:t xml:space="preserve">ązującymi okręgami konsularnymi. </w:t>
      </w:r>
      <w:r w:rsidR="00BF474D" w:rsidRPr="00F80EA5">
        <w:rPr>
          <w:lang w:val="en-US"/>
        </w:rPr>
        <w:t>Ambasada Rzeczypospolitej Polskiej w Londynie</w:t>
      </w:r>
      <w:r w:rsidR="00F80EA5">
        <w:rPr>
          <w:lang w:val="en-US"/>
        </w:rPr>
        <w:t xml:space="preserve"> </w:t>
      </w:r>
      <w:r w:rsidR="00C353D4" w:rsidRPr="00F80EA5">
        <w:rPr>
          <w:lang w:val="en-US"/>
        </w:rPr>
        <w:t xml:space="preserve">obejmuje </w:t>
      </w:r>
      <w:r w:rsidR="00D40F9F" w:rsidRPr="00F80EA5">
        <w:rPr>
          <w:lang w:val="en-US"/>
        </w:rPr>
        <w:t xml:space="preserve">terytorium </w:t>
      </w:r>
      <w:r w:rsidR="00C353D4" w:rsidRPr="00F80EA5">
        <w:rPr>
          <w:lang w:val="en-US"/>
        </w:rPr>
        <w:t>Bedfordshire, Berkshire, Bristol, Buckinghamshire, Cambridgeshire, Cornwall, Devon, Dorset, East Sussex, Essex, Gloucestershire, Greater London, Hampshire, Herefordshire, Kent, Norfolk, Northamptonshire, Oxfordshire, Somerset, Suffolk, Surrey, Warwickshire, West Sussex, Wiltshire, Worcestershire, West Midlands, Isle of Wight, Channel Islands (Jersey, Guernsey), Gibraltar oraz terytoria zamorskie</w:t>
      </w:r>
      <w:r w:rsidR="00F80EA5">
        <w:rPr>
          <w:lang w:val="en-US"/>
        </w:rPr>
        <w:t>.</w:t>
      </w:r>
    </w:p>
    <w:p w14:paraId="29C6C646" w14:textId="0FB3E6E6" w:rsidR="00BF474D" w:rsidRPr="00953A29" w:rsidRDefault="00BF474D" w:rsidP="00677AFD">
      <w:pPr>
        <w:jc w:val="center"/>
        <w:rPr>
          <w:b/>
        </w:rPr>
      </w:pPr>
      <w:r>
        <w:rPr>
          <w:b/>
        </w:rPr>
        <w:t>§ 4</w:t>
      </w:r>
      <w:r w:rsidR="00677AFD">
        <w:rPr>
          <w:b/>
        </w:rPr>
        <w:br/>
      </w:r>
      <w:r w:rsidRPr="00953A29">
        <w:rPr>
          <w:b/>
        </w:rPr>
        <w:t>UPRAWNIENI WNIOSKODAWCY</w:t>
      </w:r>
    </w:p>
    <w:p w14:paraId="49B13515" w14:textId="1C7958E4" w:rsidR="00BF474D" w:rsidRDefault="00BF474D" w:rsidP="007F2EF8">
      <w:pPr>
        <w:jc w:val="both"/>
      </w:pPr>
      <w:r w:rsidRPr="00953A29">
        <w:t xml:space="preserve">O dofinansowanie w ramach </w:t>
      </w:r>
      <w:r w:rsidR="00677AFD">
        <w:t>przedsięwzięcia</w:t>
      </w:r>
      <w:r w:rsidR="00677AFD" w:rsidRPr="00953A29">
        <w:t xml:space="preserve"> </w:t>
      </w:r>
      <w:r w:rsidRPr="00953A29">
        <w:t xml:space="preserve">mogą ubiegać się </w:t>
      </w:r>
      <w:r w:rsidR="00F84787">
        <w:t xml:space="preserve">osoby i </w:t>
      </w:r>
      <w:r w:rsidR="00953A29" w:rsidRPr="00953A29">
        <w:t>podmioty reprezentujące środowisko polonijne oraz działające na rzecz Polonii i Polaków mieszkających w Zjednoczonym Królestwie.</w:t>
      </w:r>
      <w:r w:rsidR="00677AFD">
        <w:tab/>
      </w:r>
      <w:r w:rsidR="00677AFD">
        <w:br/>
      </w:r>
    </w:p>
    <w:p w14:paraId="70BEC71D" w14:textId="61E98B02" w:rsidR="00F80EA5" w:rsidRDefault="00F80EA5" w:rsidP="007F2EF8">
      <w:pPr>
        <w:jc w:val="both"/>
      </w:pPr>
    </w:p>
    <w:p w14:paraId="0E3988AB" w14:textId="3F29D9CA" w:rsidR="00BF474D" w:rsidRPr="00BF474D" w:rsidRDefault="00BF474D" w:rsidP="00BC75DF">
      <w:pPr>
        <w:jc w:val="center"/>
        <w:rPr>
          <w:b/>
        </w:rPr>
      </w:pPr>
      <w:r w:rsidRPr="00BF474D">
        <w:rPr>
          <w:b/>
        </w:rPr>
        <w:lastRenderedPageBreak/>
        <w:t xml:space="preserve">§ </w:t>
      </w:r>
      <w:r w:rsidR="005B5269">
        <w:rPr>
          <w:b/>
        </w:rPr>
        <w:t>5</w:t>
      </w:r>
      <w:r w:rsidR="00BC75DF">
        <w:rPr>
          <w:b/>
        </w:rPr>
        <w:br/>
      </w:r>
      <w:r w:rsidR="00140CC4">
        <w:rPr>
          <w:b/>
        </w:rPr>
        <w:t>ORGANIZACJA ZAJĘĆ</w:t>
      </w:r>
    </w:p>
    <w:p w14:paraId="17964B42" w14:textId="0084B97D" w:rsidR="00F80EA5" w:rsidRDefault="00140CC4" w:rsidP="00F05293">
      <w:pPr>
        <w:pStyle w:val="Akapitzlist"/>
        <w:numPr>
          <w:ilvl w:val="0"/>
          <w:numId w:val="10"/>
        </w:numPr>
        <w:jc w:val="both"/>
      </w:pPr>
      <w:r>
        <w:t xml:space="preserve">Organizacja zajęć PASC jest możliwa </w:t>
      </w:r>
      <w:r w:rsidR="00F80EA5">
        <w:t>w brytyjskich szkołach podstawowych (primary school) oraz średnich (secondary school)</w:t>
      </w:r>
      <w:r>
        <w:t xml:space="preserve"> na terenie Zjednoczonego Królestwa</w:t>
      </w:r>
      <w:r w:rsidR="00F80EA5">
        <w:t>.</w:t>
      </w:r>
    </w:p>
    <w:p w14:paraId="7ECC9499" w14:textId="2BF60D8B" w:rsidR="00B830B6" w:rsidRDefault="00B830B6" w:rsidP="00F05293">
      <w:pPr>
        <w:pStyle w:val="Akapitzlist"/>
        <w:numPr>
          <w:ilvl w:val="0"/>
          <w:numId w:val="10"/>
        </w:numPr>
        <w:jc w:val="both"/>
      </w:pPr>
      <w:r>
        <w:t xml:space="preserve">Tematyka zajęć obejmuje język polski, polską historię, geografię i kulturę oraz historię relacji między Polską a Zjednoczonym Królestwem. </w:t>
      </w:r>
    </w:p>
    <w:p w14:paraId="1627BB1B" w14:textId="6F35BF18" w:rsidR="00140CC4" w:rsidRDefault="00140CC4" w:rsidP="00140CC4">
      <w:pPr>
        <w:pStyle w:val="Akapitzlist"/>
        <w:numPr>
          <w:ilvl w:val="0"/>
          <w:numId w:val="10"/>
        </w:numPr>
        <w:jc w:val="both"/>
      </w:pPr>
      <w:r>
        <w:t xml:space="preserve">Termin rozpoczęcia i zakończenia realizacji zajęć PASC – 01.09.2025 r. do 19.12.2025 r. </w:t>
      </w:r>
    </w:p>
    <w:p w14:paraId="0D41B57B" w14:textId="77777777" w:rsidR="00140CC4" w:rsidRDefault="00140CC4" w:rsidP="00140CC4">
      <w:pPr>
        <w:pStyle w:val="Akapitzlist"/>
        <w:numPr>
          <w:ilvl w:val="0"/>
          <w:numId w:val="10"/>
        </w:numPr>
        <w:jc w:val="both"/>
      </w:pPr>
      <w:r>
        <w:t>Minimalny okres prowadzenia zajęć PASC – 8 spotkań, raz w tygodniu.</w:t>
      </w:r>
    </w:p>
    <w:p w14:paraId="254A33E3" w14:textId="77777777" w:rsidR="00140CC4" w:rsidRDefault="00140CC4" w:rsidP="00B830B6">
      <w:pPr>
        <w:pStyle w:val="Akapitzlist"/>
        <w:ind w:left="360"/>
        <w:jc w:val="both"/>
      </w:pPr>
    </w:p>
    <w:p w14:paraId="1966A95A" w14:textId="4FF462EA" w:rsidR="007044C5" w:rsidRPr="009D07AE" w:rsidRDefault="007044C5" w:rsidP="00C0262E">
      <w:pPr>
        <w:jc w:val="center"/>
        <w:rPr>
          <w:b/>
        </w:rPr>
      </w:pPr>
      <w:r>
        <w:rPr>
          <w:b/>
        </w:rPr>
        <w:t xml:space="preserve">§ </w:t>
      </w:r>
      <w:r w:rsidR="005B5269">
        <w:rPr>
          <w:b/>
        </w:rPr>
        <w:t>6</w:t>
      </w:r>
      <w:r w:rsidR="00C0262E">
        <w:rPr>
          <w:b/>
        </w:rPr>
        <w:br/>
      </w:r>
      <w:r w:rsidRPr="009D07AE">
        <w:rPr>
          <w:b/>
        </w:rPr>
        <w:t xml:space="preserve">WYMAGANIA FORMALNE I FINANSOWE </w:t>
      </w:r>
    </w:p>
    <w:p w14:paraId="418B7CBD" w14:textId="351048D3" w:rsidR="00BF1FC4" w:rsidRDefault="00140CC4" w:rsidP="00F05293">
      <w:pPr>
        <w:pStyle w:val="Akapitzlist"/>
        <w:numPr>
          <w:ilvl w:val="0"/>
          <w:numId w:val="15"/>
        </w:numPr>
        <w:jc w:val="both"/>
      </w:pPr>
      <w:r>
        <w:t xml:space="preserve">Realizację zajęć PASC uznaje się za wykonaną </w:t>
      </w:r>
      <w:r w:rsidR="00BA3B23" w:rsidRPr="00BF0839">
        <w:t xml:space="preserve">z chwilą potwierdzenia przez </w:t>
      </w:r>
      <w:r w:rsidR="00BA3B23">
        <w:t>p</w:t>
      </w:r>
      <w:r w:rsidR="00BA3B23" w:rsidRPr="00BF0839">
        <w:t xml:space="preserve">lacówkę </w:t>
      </w:r>
      <w:r w:rsidR="00BA3B23">
        <w:t xml:space="preserve">zagraniczną </w:t>
      </w:r>
      <w:r w:rsidR="00BA3B23" w:rsidRPr="00BF0839">
        <w:t xml:space="preserve">jego prawidłowej realizacji w formie protokołu odbioru, którego wzór stanowi załącznik nr </w:t>
      </w:r>
      <w:r w:rsidR="00BA3B23">
        <w:t>1</w:t>
      </w:r>
      <w:r w:rsidR="00BA3B23" w:rsidRPr="00BF0839">
        <w:t xml:space="preserve"> do niniejszego regulaminu.</w:t>
      </w:r>
    </w:p>
    <w:p w14:paraId="3648B6C4" w14:textId="75B9BE51" w:rsidR="00BF1FC4" w:rsidRDefault="00BF0839" w:rsidP="00F05293">
      <w:pPr>
        <w:pStyle w:val="Akapitzlist"/>
        <w:numPr>
          <w:ilvl w:val="0"/>
          <w:numId w:val="15"/>
        </w:numPr>
        <w:jc w:val="both"/>
      </w:pPr>
      <w:r w:rsidRPr="00BF0839">
        <w:t>Pr</w:t>
      </w:r>
      <w:r w:rsidR="00BF1FC4">
        <w:t>zekazanie</w:t>
      </w:r>
      <w:r w:rsidRPr="00BF0839">
        <w:t xml:space="preserve"> dofinansowani</w:t>
      </w:r>
      <w:r w:rsidR="00F61E3B">
        <w:t>a</w:t>
      </w:r>
      <w:r w:rsidR="00BF1FC4">
        <w:t xml:space="preserve"> na konto bankowe beneficjenta</w:t>
      </w:r>
      <w:r w:rsidRPr="00BF0839">
        <w:t xml:space="preserve"> </w:t>
      </w:r>
      <w:r w:rsidR="00BF1FC4">
        <w:t>następuje</w:t>
      </w:r>
      <w:r w:rsidRPr="00BF0839">
        <w:t xml:space="preserve"> po podpisaniu protokołu </w:t>
      </w:r>
      <w:r w:rsidR="00BF1FC4">
        <w:t xml:space="preserve">wskazanego w pkt. </w:t>
      </w:r>
      <w:r w:rsidR="00F2170B">
        <w:t>1</w:t>
      </w:r>
      <w:r w:rsidR="005D44A0">
        <w:t xml:space="preserve">, </w:t>
      </w:r>
      <w:r w:rsidR="00BF1FC4">
        <w:t>dostarczeniu do placówki zag</w:t>
      </w:r>
      <w:r w:rsidR="00885C47">
        <w:t>ranicznej prawidłowo wypełnionego</w:t>
      </w:r>
      <w:r w:rsidR="00BF1FC4">
        <w:t xml:space="preserve"> </w:t>
      </w:r>
      <w:r w:rsidR="00885C47">
        <w:t>sprawozdania</w:t>
      </w:r>
      <w:r w:rsidR="002E47AF">
        <w:t xml:space="preserve"> (załącznik nr </w:t>
      </w:r>
      <w:r w:rsidR="00BF1FC4">
        <w:t>2</w:t>
      </w:r>
      <w:r w:rsidR="00C0366D">
        <w:t xml:space="preserve"> do niniejszego regulaminu</w:t>
      </w:r>
      <w:r w:rsidR="002E47AF">
        <w:t>)</w:t>
      </w:r>
      <w:r w:rsidR="00F2170B">
        <w:t xml:space="preserve"> i </w:t>
      </w:r>
      <w:r w:rsidR="00BF1FC4">
        <w:t xml:space="preserve">prawidłowo </w:t>
      </w:r>
      <w:r w:rsidR="005D44A0">
        <w:t>wystawi</w:t>
      </w:r>
      <w:r w:rsidR="00BF1FC4">
        <w:t xml:space="preserve">onego </w:t>
      </w:r>
      <w:r w:rsidR="005D44A0">
        <w:t>rachunk</w:t>
      </w:r>
      <w:r w:rsidR="00BF1FC4">
        <w:t>u/</w:t>
      </w:r>
      <w:r w:rsidR="005D44A0">
        <w:t>faktury</w:t>
      </w:r>
      <w:r w:rsidR="00BF1FC4">
        <w:t xml:space="preserve"> (załącznik nr 3</w:t>
      </w:r>
      <w:r w:rsidR="00C0366D">
        <w:t xml:space="preserve"> do niniejszego regulaminu</w:t>
      </w:r>
      <w:r w:rsidR="00BF1FC4">
        <w:t>)</w:t>
      </w:r>
      <w:r w:rsidRPr="00BF0839">
        <w:t>.</w:t>
      </w:r>
    </w:p>
    <w:p w14:paraId="627ED43B" w14:textId="34D93A3E" w:rsidR="0093036F" w:rsidRDefault="0093036F" w:rsidP="00F05293">
      <w:pPr>
        <w:pStyle w:val="Akapitzlist"/>
        <w:numPr>
          <w:ilvl w:val="0"/>
          <w:numId w:val="15"/>
        </w:numPr>
        <w:jc w:val="both"/>
      </w:pPr>
      <w:r>
        <w:t xml:space="preserve">Ostateczny termin przedstawienia </w:t>
      </w:r>
      <w:r w:rsidR="00BA3C89">
        <w:t xml:space="preserve">przez </w:t>
      </w:r>
      <w:r w:rsidR="00BF1FC4">
        <w:t xml:space="preserve">beneficjenta </w:t>
      </w:r>
      <w:r>
        <w:t xml:space="preserve">dokumentów </w:t>
      </w:r>
      <w:r w:rsidR="00BF1FC4">
        <w:t xml:space="preserve">wskazanych w pkt </w:t>
      </w:r>
      <w:r w:rsidR="00F2170B">
        <w:t>2</w:t>
      </w:r>
      <w:r w:rsidR="00BF1FC4">
        <w:t xml:space="preserve"> </w:t>
      </w:r>
      <w:r>
        <w:t xml:space="preserve">upływa </w:t>
      </w:r>
      <w:r w:rsidR="00826448">
        <w:br/>
      </w:r>
      <w:r>
        <w:t xml:space="preserve">w dniu </w:t>
      </w:r>
      <w:r w:rsidR="00F2170B">
        <w:t>19 grudnia</w:t>
      </w:r>
      <w:r>
        <w:t xml:space="preserve"> 202</w:t>
      </w:r>
      <w:r w:rsidR="002E47AF">
        <w:t>5</w:t>
      </w:r>
      <w:r>
        <w:t xml:space="preserve"> roku.</w:t>
      </w:r>
      <w:r w:rsidR="00BF1FC4">
        <w:tab/>
      </w:r>
      <w:r w:rsidR="00BF1FC4">
        <w:br/>
      </w:r>
    </w:p>
    <w:p w14:paraId="1AF61583" w14:textId="17A0E6BE" w:rsidR="007044C5" w:rsidRDefault="007044C5" w:rsidP="00BF1FC4">
      <w:pPr>
        <w:jc w:val="center"/>
        <w:rPr>
          <w:b/>
        </w:rPr>
      </w:pPr>
      <w:r w:rsidRPr="007044C5">
        <w:rPr>
          <w:b/>
        </w:rPr>
        <w:t xml:space="preserve">§ </w:t>
      </w:r>
      <w:r w:rsidR="005B5269">
        <w:rPr>
          <w:b/>
        </w:rPr>
        <w:t>7</w:t>
      </w:r>
      <w:r w:rsidR="00BF1FC4">
        <w:rPr>
          <w:b/>
        </w:rPr>
        <w:br/>
      </w:r>
      <w:r w:rsidRPr="007044C5">
        <w:rPr>
          <w:b/>
        </w:rPr>
        <w:t xml:space="preserve">TERMIN I TRYB </w:t>
      </w:r>
      <w:r w:rsidR="00BF1FC4">
        <w:rPr>
          <w:b/>
        </w:rPr>
        <w:t>ZBIERANIA</w:t>
      </w:r>
      <w:r w:rsidR="00BF1FC4" w:rsidRPr="007044C5">
        <w:rPr>
          <w:b/>
        </w:rPr>
        <w:t xml:space="preserve"> </w:t>
      </w:r>
      <w:r w:rsidRPr="007044C5">
        <w:rPr>
          <w:b/>
        </w:rPr>
        <w:t>WNIOSKÓW</w:t>
      </w:r>
    </w:p>
    <w:p w14:paraId="70A94620" w14:textId="7ACD580D" w:rsidR="00C0366D" w:rsidRDefault="00BF1FC4" w:rsidP="00F05293">
      <w:pPr>
        <w:pStyle w:val="Akapitzlist"/>
        <w:numPr>
          <w:ilvl w:val="0"/>
          <w:numId w:val="16"/>
        </w:numPr>
        <w:jc w:val="both"/>
      </w:pPr>
      <w:r>
        <w:t xml:space="preserve">Zbieranie </w:t>
      </w:r>
      <w:r w:rsidR="007044C5">
        <w:t xml:space="preserve">wniosków </w:t>
      </w:r>
      <w:r>
        <w:t xml:space="preserve">odbywa się </w:t>
      </w:r>
      <w:r w:rsidR="007044C5">
        <w:t xml:space="preserve">w terminie od </w:t>
      </w:r>
      <w:r>
        <w:t xml:space="preserve">dnia </w:t>
      </w:r>
      <w:r w:rsidR="000C2A2D">
        <w:t>16</w:t>
      </w:r>
      <w:bookmarkStart w:id="0" w:name="_GoBack"/>
      <w:bookmarkEnd w:id="0"/>
      <w:r w:rsidR="00F2170B">
        <w:t xml:space="preserve"> czerwca</w:t>
      </w:r>
      <w:r w:rsidR="00280B91">
        <w:t xml:space="preserve"> </w:t>
      </w:r>
      <w:r w:rsidR="0098583A">
        <w:t xml:space="preserve">2025 r. </w:t>
      </w:r>
      <w:r w:rsidR="00280B91">
        <w:t>do</w:t>
      </w:r>
      <w:r>
        <w:t xml:space="preserve"> dnia </w:t>
      </w:r>
      <w:r w:rsidR="00F2170B">
        <w:t>1</w:t>
      </w:r>
      <w:r w:rsidR="00A36F18">
        <w:t>8</w:t>
      </w:r>
      <w:r w:rsidR="00F2170B">
        <w:t xml:space="preserve"> lipca 2025</w:t>
      </w:r>
      <w:r w:rsidR="00280B91">
        <w:t xml:space="preserve"> r. </w:t>
      </w:r>
    </w:p>
    <w:p w14:paraId="4917B9D6" w14:textId="2520AC47" w:rsidR="00F02324" w:rsidRDefault="00F02324" w:rsidP="00F05293">
      <w:pPr>
        <w:pStyle w:val="Akapitzlist"/>
        <w:numPr>
          <w:ilvl w:val="0"/>
          <w:numId w:val="16"/>
        </w:numPr>
        <w:jc w:val="both"/>
      </w:pPr>
      <w:r>
        <w:t>Wzó</w:t>
      </w:r>
      <w:r w:rsidR="005D44A0">
        <w:t xml:space="preserve">r wniosku stanowi załącznik nr </w:t>
      </w:r>
      <w:r w:rsidR="00C0366D">
        <w:t xml:space="preserve">4 </w:t>
      </w:r>
      <w:r>
        <w:t>do niniejszego regulaminu.</w:t>
      </w:r>
    </w:p>
    <w:p w14:paraId="317394AA" w14:textId="4C3DC988" w:rsidR="00C0366D" w:rsidRDefault="00C0366D" w:rsidP="00F05293">
      <w:pPr>
        <w:pStyle w:val="Akapitzlist"/>
        <w:numPr>
          <w:ilvl w:val="0"/>
          <w:numId w:val="16"/>
        </w:numPr>
        <w:jc w:val="both"/>
      </w:pPr>
      <w:r>
        <w:t>Wnioski należy składać w formacie PDF, opatrzone odręcznym</w:t>
      </w:r>
      <w:r w:rsidR="00F05293">
        <w:t>, czytelnym</w:t>
      </w:r>
      <w:r>
        <w:t xml:space="preserve"> podpisem uprawnionego wnioskodawcy. </w:t>
      </w:r>
    </w:p>
    <w:p w14:paraId="574C6425" w14:textId="3964B974" w:rsidR="00C0366D" w:rsidRDefault="00C0366D" w:rsidP="00F05293">
      <w:pPr>
        <w:pStyle w:val="Akapitzlist"/>
        <w:numPr>
          <w:ilvl w:val="0"/>
          <w:numId w:val="16"/>
        </w:numPr>
        <w:jc w:val="both"/>
      </w:pPr>
      <w:r>
        <w:t>W</w:t>
      </w:r>
      <w:r w:rsidR="007044C5">
        <w:t xml:space="preserve"> przypadku pozostania wolnych lu</w:t>
      </w:r>
      <w:r w:rsidR="00280B91">
        <w:t xml:space="preserve">b uzyskania dodatkowych środków </w:t>
      </w:r>
      <w:r w:rsidR="007044C5">
        <w:t xml:space="preserve">finansowych, może </w:t>
      </w:r>
      <w:r w:rsidR="000C4863">
        <w:t xml:space="preserve">zostać </w:t>
      </w:r>
      <w:r w:rsidR="007044C5">
        <w:t>ogłos</w:t>
      </w:r>
      <w:r w:rsidR="000C4863">
        <w:t>zony</w:t>
      </w:r>
      <w:r w:rsidR="007044C5">
        <w:t xml:space="preserve"> dodatkowy </w:t>
      </w:r>
      <w:r>
        <w:t xml:space="preserve">termin zbierania </w:t>
      </w:r>
      <w:r w:rsidR="007044C5">
        <w:t>wniosków.</w:t>
      </w:r>
    </w:p>
    <w:p w14:paraId="3DA24DC2" w14:textId="15D9FB6A" w:rsidR="00C0366D" w:rsidRDefault="007044C5" w:rsidP="00F05293">
      <w:pPr>
        <w:pStyle w:val="Akapitzlist"/>
        <w:numPr>
          <w:ilvl w:val="0"/>
          <w:numId w:val="16"/>
        </w:numPr>
        <w:jc w:val="both"/>
      </w:pPr>
      <w:r>
        <w:t xml:space="preserve">Wnioskodawcy mogą złożyć w trakcie obowiązującego </w:t>
      </w:r>
      <w:r w:rsidR="00C0366D">
        <w:t xml:space="preserve">okresu zbierania wniosków </w:t>
      </w:r>
      <w:r w:rsidR="00280B91">
        <w:t xml:space="preserve">korekty </w:t>
      </w:r>
      <w:r w:rsidR="00826448">
        <w:br/>
      </w:r>
      <w:r w:rsidR="00280B91">
        <w:t xml:space="preserve">i uzupełnienia do </w:t>
      </w:r>
      <w:r w:rsidR="00A91BC9">
        <w:t>wniosku w </w:t>
      </w:r>
      <w:r>
        <w:t>terminie określonym w ust. 1</w:t>
      </w:r>
      <w:r w:rsidR="00C0366D">
        <w:t>.</w:t>
      </w:r>
    </w:p>
    <w:p w14:paraId="6B8C5973" w14:textId="7AF1DE9C" w:rsidR="00F2170B" w:rsidRPr="00F2170B" w:rsidRDefault="00280B91" w:rsidP="00DD7DE4">
      <w:pPr>
        <w:pStyle w:val="Akapitzlist"/>
        <w:numPr>
          <w:ilvl w:val="0"/>
          <w:numId w:val="16"/>
        </w:numPr>
        <w:jc w:val="both"/>
      </w:pPr>
      <w:r>
        <w:t>Wnioski</w:t>
      </w:r>
      <w:r w:rsidR="007044C5">
        <w:t xml:space="preserve"> i uzupełnienia do wniosków należy składać w </w:t>
      </w:r>
      <w:r w:rsidR="00CC6C67">
        <w:t xml:space="preserve">terminie </w:t>
      </w:r>
      <w:r>
        <w:t xml:space="preserve">określonym </w:t>
      </w:r>
      <w:r w:rsidR="00C0366D">
        <w:t xml:space="preserve">w pkt </w:t>
      </w:r>
      <w:r>
        <w:t xml:space="preserve">1 </w:t>
      </w:r>
      <w:r w:rsidR="007044C5">
        <w:t>na adres</w:t>
      </w:r>
      <w:r w:rsidR="00B830B6">
        <w:t xml:space="preserve"> mailowy</w:t>
      </w:r>
      <w:r>
        <w:t>:</w:t>
      </w:r>
      <w:r w:rsidR="00F2170B">
        <w:t xml:space="preserve"> </w:t>
      </w:r>
      <w:hyperlink r:id="rId8" w:history="1">
        <w:r w:rsidR="00F2170B" w:rsidRPr="008F397B">
          <w:rPr>
            <w:rStyle w:val="Hipercze"/>
          </w:rPr>
          <w:t>londyn.polacyzagranica@msz.gov.pl</w:t>
        </w:r>
      </w:hyperlink>
      <w:r w:rsidR="00F2170B">
        <w:t xml:space="preserve"> </w:t>
      </w:r>
      <w:r w:rsidR="00F2170B" w:rsidRPr="00F2170B">
        <w:t xml:space="preserve">w tytule wiadomości wpisując </w:t>
      </w:r>
      <w:r w:rsidR="00F2170B" w:rsidRPr="00A36F18">
        <w:rPr>
          <w:i/>
        </w:rPr>
        <w:t>Polish After School Clubs – nazwa miejscowości.</w:t>
      </w:r>
      <w:r w:rsidR="00F2170B" w:rsidRPr="00F2170B">
        <w:t xml:space="preserve"> </w:t>
      </w:r>
      <w:r w:rsidR="00A36F18">
        <w:tab/>
      </w:r>
      <w:r w:rsidR="00A36F18">
        <w:br/>
      </w:r>
    </w:p>
    <w:p w14:paraId="6EAECAA8" w14:textId="609AE2E2" w:rsidR="00A91BC9" w:rsidRPr="007044C5" w:rsidRDefault="00F02E8A" w:rsidP="00C0366D">
      <w:pPr>
        <w:jc w:val="center"/>
        <w:rPr>
          <w:b/>
        </w:rPr>
      </w:pPr>
      <w:r w:rsidRPr="007044C5">
        <w:rPr>
          <w:b/>
        </w:rPr>
        <w:t xml:space="preserve">§ </w:t>
      </w:r>
      <w:r w:rsidR="005B5269">
        <w:rPr>
          <w:b/>
        </w:rPr>
        <w:t>8</w:t>
      </w:r>
      <w:r w:rsidR="00C0366D">
        <w:rPr>
          <w:b/>
        </w:rPr>
        <w:br/>
      </w:r>
      <w:r w:rsidR="00A91BC9">
        <w:rPr>
          <w:b/>
        </w:rPr>
        <w:t>DECYZJA</w:t>
      </w:r>
    </w:p>
    <w:p w14:paraId="03D428EC" w14:textId="77777777" w:rsidR="00B830B6" w:rsidRDefault="00C506AC" w:rsidP="00F05293">
      <w:pPr>
        <w:pStyle w:val="Akapitzlist"/>
        <w:numPr>
          <w:ilvl w:val="0"/>
          <w:numId w:val="17"/>
        </w:numPr>
        <w:jc w:val="both"/>
      </w:pPr>
      <w:r>
        <w:t xml:space="preserve">Decyzja o przyznaniu lub odmowie przyznania dofinansowania </w:t>
      </w:r>
      <w:r w:rsidR="00B830B6">
        <w:t xml:space="preserve">zostanie przekazana na adres mailowy wnioskodawcy. </w:t>
      </w:r>
    </w:p>
    <w:p w14:paraId="345C2BE0" w14:textId="7715204A" w:rsidR="00C0366D" w:rsidRDefault="00B830B6" w:rsidP="00F05293">
      <w:pPr>
        <w:pStyle w:val="Akapitzlist"/>
        <w:numPr>
          <w:ilvl w:val="0"/>
          <w:numId w:val="17"/>
        </w:numPr>
        <w:jc w:val="both"/>
      </w:pPr>
      <w:r>
        <w:t xml:space="preserve">Decyzja </w:t>
      </w:r>
      <w:r w:rsidR="00C506AC">
        <w:t xml:space="preserve">jest ostateczna, nie wymaga uzasadnienia oraz nie przysługuje od niej odwołanie. </w:t>
      </w:r>
    </w:p>
    <w:p w14:paraId="5BE6375F" w14:textId="765627F8" w:rsidR="00F02E8A" w:rsidRPr="007044C5" w:rsidRDefault="00F02E8A" w:rsidP="00E406EA">
      <w:pPr>
        <w:pStyle w:val="Akapitzlist"/>
        <w:numPr>
          <w:ilvl w:val="0"/>
          <w:numId w:val="17"/>
        </w:numPr>
        <w:jc w:val="both"/>
      </w:pPr>
      <w:r>
        <w:t>Decyzja o przyznaniu dofinansowania może być w każdym czasie cofnięta w wypadku</w:t>
      </w:r>
      <w:r w:rsidR="00A41BBC">
        <w:t>,</w:t>
      </w:r>
      <w:r>
        <w:t xml:space="preserve"> gdy</w:t>
      </w:r>
      <w:r w:rsidR="00A41BBC">
        <w:t> </w:t>
      </w:r>
      <w:r w:rsidR="00C0366D">
        <w:t xml:space="preserve">beneficjent </w:t>
      </w:r>
      <w:r>
        <w:t>narusza postanowienia niniejszego regulaminu, w szczególności postanowienia</w:t>
      </w:r>
      <w:r w:rsidR="00DD564F">
        <w:br/>
      </w:r>
      <w:r w:rsidRPr="00F2170B">
        <w:t xml:space="preserve">§ </w:t>
      </w:r>
      <w:r w:rsidR="005B5269" w:rsidRPr="00F2170B">
        <w:t xml:space="preserve">5 </w:t>
      </w:r>
      <w:r w:rsidRPr="00F2170B">
        <w:t xml:space="preserve">i </w:t>
      </w:r>
      <w:r w:rsidR="00A41BBC" w:rsidRPr="00F2170B">
        <w:t xml:space="preserve">§ </w:t>
      </w:r>
      <w:r w:rsidR="005B5269" w:rsidRPr="00F2170B">
        <w:t>6</w:t>
      </w:r>
      <w:r w:rsidRPr="00885C47">
        <w:rPr>
          <w:b/>
        </w:rPr>
        <w:t xml:space="preserve"> </w:t>
      </w:r>
      <w:r>
        <w:t>niniejszego regulaminu</w:t>
      </w:r>
      <w:r w:rsidRPr="00F02E8A">
        <w:t xml:space="preserve">. </w:t>
      </w:r>
    </w:p>
    <w:sectPr w:rsidR="00F02E8A" w:rsidRPr="007044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0DE0C" w14:textId="77777777" w:rsidR="00317BD5" w:rsidRDefault="00317BD5" w:rsidP="007044C5">
      <w:pPr>
        <w:spacing w:after="0" w:line="240" w:lineRule="auto"/>
      </w:pPr>
      <w:r>
        <w:separator/>
      </w:r>
    </w:p>
  </w:endnote>
  <w:endnote w:type="continuationSeparator" w:id="0">
    <w:p w14:paraId="298BE176" w14:textId="77777777" w:rsidR="00317BD5" w:rsidRDefault="00317BD5" w:rsidP="0070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8828" w14:textId="77777777" w:rsidR="00317BD5" w:rsidRDefault="00317BD5" w:rsidP="007044C5">
      <w:pPr>
        <w:spacing w:after="0" w:line="240" w:lineRule="auto"/>
      </w:pPr>
      <w:r>
        <w:separator/>
      </w:r>
    </w:p>
  </w:footnote>
  <w:footnote w:type="continuationSeparator" w:id="0">
    <w:p w14:paraId="56E25FE2" w14:textId="77777777" w:rsidR="00317BD5" w:rsidRDefault="00317BD5" w:rsidP="0070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5C42B5E"/>
    <w:lvl w:ilvl="0">
      <w:start w:val="1"/>
      <w:numFmt w:val="decimal"/>
      <w:pStyle w:val="Nagwek1"/>
      <w:lvlText w:val="%1"/>
      <w:lvlJc w:val="left"/>
      <w:pPr>
        <w:tabs>
          <w:tab w:val="num" w:pos="0"/>
        </w:tabs>
        <w:ind w:left="716" w:hanging="432"/>
      </w:pPr>
    </w:lvl>
    <w:lvl w:ilvl="1">
      <w:start w:val="1"/>
      <w:numFmt w:val="decimal"/>
      <w:pStyle w:val="Nagwek2"/>
      <w:lvlText w:val="%1.%2"/>
      <w:lvlJc w:val="left"/>
      <w:pPr>
        <w:tabs>
          <w:tab w:val="num" w:pos="-426"/>
        </w:tabs>
        <w:snapToGrid w:val="0"/>
        <w:ind w:left="718" w:hanging="576"/>
      </w:pPr>
      <w:rPr>
        <w:rFonts w:ascii="Calibri" w:hAnsi="Calibri"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Nagwek3"/>
      <w:lvlText w:val="%1.%2.%3"/>
      <w:lvlJc w:val="left"/>
      <w:pPr>
        <w:tabs>
          <w:tab w:val="num" w:pos="-851"/>
        </w:tabs>
        <w:snapToGrid w:val="0"/>
        <w:ind w:left="1004" w:hanging="720"/>
      </w:pPr>
      <w:rPr>
        <w:rFonts w:ascii="Calibri" w:hAnsi="Calibri"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284"/>
        </w:tabs>
        <w:ind w:left="1432" w:hanging="864"/>
      </w:pPr>
      <w:rPr>
        <w:rFonts w:ascii="Calibri" w:hAnsi="Calibri" w:cs="Arial" w:hint="default"/>
      </w:rPr>
    </w:lvl>
    <w:lvl w:ilvl="4">
      <w:start w:val="1"/>
      <w:numFmt w:val="decimal"/>
      <w:pStyle w:val="Nagwek5"/>
      <w:lvlText w:val="%1.%2.%3.%4.%5"/>
      <w:lvlJc w:val="left"/>
      <w:pPr>
        <w:tabs>
          <w:tab w:val="num" w:pos="0"/>
        </w:tabs>
        <w:ind w:left="1292" w:hanging="1008"/>
      </w:pPr>
    </w:lvl>
    <w:lvl w:ilvl="5">
      <w:start w:val="1"/>
      <w:numFmt w:val="decimal"/>
      <w:lvlText w:val="%1.%2.%3.%4.%5.%6"/>
      <w:lvlJc w:val="left"/>
      <w:pPr>
        <w:tabs>
          <w:tab w:val="num" w:pos="0"/>
        </w:tabs>
        <w:ind w:left="1436" w:hanging="1152"/>
      </w:pPr>
    </w:lvl>
    <w:lvl w:ilvl="6">
      <w:start w:val="1"/>
      <w:numFmt w:val="decimal"/>
      <w:lvlText w:val="%1.%2.%3.%4.%5.%6.%7"/>
      <w:lvlJc w:val="left"/>
      <w:pPr>
        <w:tabs>
          <w:tab w:val="num" w:pos="0"/>
        </w:tabs>
        <w:ind w:left="1580" w:hanging="1296"/>
      </w:pPr>
    </w:lvl>
    <w:lvl w:ilvl="7">
      <w:start w:val="1"/>
      <w:numFmt w:val="decimal"/>
      <w:lvlText w:val="%1.%2.%3.%4.%5.%6.%7.%8"/>
      <w:lvlJc w:val="left"/>
      <w:pPr>
        <w:tabs>
          <w:tab w:val="num" w:pos="0"/>
        </w:tabs>
        <w:ind w:left="1724" w:hanging="1440"/>
      </w:pPr>
    </w:lvl>
    <w:lvl w:ilvl="8">
      <w:start w:val="1"/>
      <w:numFmt w:val="decimal"/>
      <w:pStyle w:val="Nagwek10"/>
      <w:lvlText w:val="%1.%2.%3.%4.%5.%6.%7.%8.%9"/>
      <w:lvlJc w:val="left"/>
      <w:pPr>
        <w:tabs>
          <w:tab w:val="num" w:pos="0"/>
        </w:tabs>
        <w:ind w:left="1868" w:hanging="1584"/>
      </w:pPr>
    </w:lvl>
  </w:abstractNum>
  <w:abstractNum w:abstractNumId="1" w15:restartNumberingAfterBreak="0">
    <w:nsid w:val="091A5B88"/>
    <w:multiLevelType w:val="hybridMultilevel"/>
    <w:tmpl w:val="73120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77FC0"/>
    <w:multiLevelType w:val="hybridMultilevel"/>
    <w:tmpl w:val="9162C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713E5"/>
    <w:multiLevelType w:val="hybridMultilevel"/>
    <w:tmpl w:val="E850D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F12EB7"/>
    <w:multiLevelType w:val="hybridMultilevel"/>
    <w:tmpl w:val="CB16B9DE"/>
    <w:lvl w:ilvl="0" w:tplc="7B5C17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724489C"/>
    <w:multiLevelType w:val="hybridMultilevel"/>
    <w:tmpl w:val="8786BC2A"/>
    <w:lvl w:ilvl="0" w:tplc="7B5C17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0421BBE"/>
    <w:multiLevelType w:val="hybridMultilevel"/>
    <w:tmpl w:val="E8CED0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1F79A8"/>
    <w:multiLevelType w:val="hybridMultilevel"/>
    <w:tmpl w:val="DBE6A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8EA42BA"/>
    <w:multiLevelType w:val="hybridMultilevel"/>
    <w:tmpl w:val="5C28F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A66558"/>
    <w:multiLevelType w:val="hybridMultilevel"/>
    <w:tmpl w:val="667E6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AF1ADE"/>
    <w:multiLevelType w:val="hybridMultilevel"/>
    <w:tmpl w:val="7E1C6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326AA"/>
    <w:multiLevelType w:val="hybridMultilevel"/>
    <w:tmpl w:val="38F6A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F00178C"/>
    <w:multiLevelType w:val="hybridMultilevel"/>
    <w:tmpl w:val="26ACF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41597A"/>
    <w:multiLevelType w:val="hybridMultilevel"/>
    <w:tmpl w:val="22C08EA2"/>
    <w:lvl w:ilvl="0" w:tplc="7B5C175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183E6C"/>
    <w:multiLevelType w:val="hybridMultilevel"/>
    <w:tmpl w:val="F5D48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386EA5"/>
    <w:multiLevelType w:val="hybridMultilevel"/>
    <w:tmpl w:val="E126FB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D4D4AF8"/>
    <w:multiLevelType w:val="hybridMultilevel"/>
    <w:tmpl w:val="D7D4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6"/>
  </w:num>
  <w:num w:numId="5">
    <w:abstractNumId w:val="13"/>
  </w:num>
  <w:num w:numId="6">
    <w:abstractNumId w:val="12"/>
  </w:num>
  <w:num w:numId="7">
    <w:abstractNumId w:val="3"/>
  </w:num>
  <w:num w:numId="8">
    <w:abstractNumId w:val="14"/>
  </w:num>
  <w:num w:numId="9">
    <w:abstractNumId w:val="9"/>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4"/>
  </w:num>
  <w:num w:numId="15">
    <w:abstractNumId w:val="1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D6"/>
    <w:rsid w:val="00043854"/>
    <w:rsid w:val="000867AB"/>
    <w:rsid w:val="00091D0E"/>
    <w:rsid w:val="000A283F"/>
    <w:rsid w:val="000A741E"/>
    <w:rsid w:val="000C2A2D"/>
    <w:rsid w:val="000C4863"/>
    <w:rsid w:val="00110127"/>
    <w:rsid w:val="00126040"/>
    <w:rsid w:val="00140CC4"/>
    <w:rsid w:val="0014777F"/>
    <w:rsid w:val="0023733E"/>
    <w:rsid w:val="00253D12"/>
    <w:rsid w:val="00275290"/>
    <w:rsid w:val="00280B91"/>
    <w:rsid w:val="00286049"/>
    <w:rsid w:val="002C21CA"/>
    <w:rsid w:val="002E47AF"/>
    <w:rsid w:val="00317BD5"/>
    <w:rsid w:val="00366B28"/>
    <w:rsid w:val="00374C99"/>
    <w:rsid w:val="003A0D71"/>
    <w:rsid w:val="00403243"/>
    <w:rsid w:val="00414AE3"/>
    <w:rsid w:val="00482F7A"/>
    <w:rsid w:val="004A0342"/>
    <w:rsid w:val="004B4B8D"/>
    <w:rsid w:val="00514620"/>
    <w:rsid w:val="00540812"/>
    <w:rsid w:val="0056336B"/>
    <w:rsid w:val="00582941"/>
    <w:rsid w:val="00584DB0"/>
    <w:rsid w:val="005B5269"/>
    <w:rsid w:val="005D3C12"/>
    <w:rsid w:val="005D44A0"/>
    <w:rsid w:val="005E2BD6"/>
    <w:rsid w:val="005E2D5F"/>
    <w:rsid w:val="00606203"/>
    <w:rsid w:val="00625363"/>
    <w:rsid w:val="006549BD"/>
    <w:rsid w:val="00656C92"/>
    <w:rsid w:val="00676B35"/>
    <w:rsid w:val="00677AFD"/>
    <w:rsid w:val="006A76A7"/>
    <w:rsid w:val="006B4B34"/>
    <w:rsid w:val="006E194B"/>
    <w:rsid w:val="006F0CE2"/>
    <w:rsid w:val="007044C5"/>
    <w:rsid w:val="007B5F2D"/>
    <w:rsid w:val="007F2EF8"/>
    <w:rsid w:val="00813F5B"/>
    <w:rsid w:val="00826448"/>
    <w:rsid w:val="00885C47"/>
    <w:rsid w:val="0089068E"/>
    <w:rsid w:val="008C77E3"/>
    <w:rsid w:val="008C7B94"/>
    <w:rsid w:val="008E0345"/>
    <w:rsid w:val="009239C8"/>
    <w:rsid w:val="0093036F"/>
    <w:rsid w:val="00953A29"/>
    <w:rsid w:val="00956459"/>
    <w:rsid w:val="0098583A"/>
    <w:rsid w:val="009C2FAD"/>
    <w:rsid w:val="009D07AE"/>
    <w:rsid w:val="00A1086B"/>
    <w:rsid w:val="00A36F18"/>
    <w:rsid w:val="00A41BBC"/>
    <w:rsid w:val="00A63527"/>
    <w:rsid w:val="00A86ADD"/>
    <w:rsid w:val="00A91BC9"/>
    <w:rsid w:val="00AF7E8B"/>
    <w:rsid w:val="00B633C9"/>
    <w:rsid w:val="00B830B6"/>
    <w:rsid w:val="00B84AFA"/>
    <w:rsid w:val="00BA3B23"/>
    <w:rsid w:val="00BA3C89"/>
    <w:rsid w:val="00BC505C"/>
    <w:rsid w:val="00BC75DF"/>
    <w:rsid w:val="00BF045A"/>
    <w:rsid w:val="00BF0839"/>
    <w:rsid w:val="00BF1FC4"/>
    <w:rsid w:val="00BF474D"/>
    <w:rsid w:val="00C0262E"/>
    <w:rsid w:val="00C0366D"/>
    <w:rsid w:val="00C0649D"/>
    <w:rsid w:val="00C353D4"/>
    <w:rsid w:val="00C506AC"/>
    <w:rsid w:val="00C50A23"/>
    <w:rsid w:val="00C61F1A"/>
    <w:rsid w:val="00CA0470"/>
    <w:rsid w:val="00CC6C67"/>
    <w:rsid w:val="00D40F9F"/>
    <w:rsid w:val="00DD564F"/>
    <w:rsid w:val="00DF04C8"/>
    <w:rsid w:val="00E22427"/>
    <w:rsid w:val="00EA297A"/>
    <w:rsid w:val="00F02324"/>
    <w:rsid w:val="00F02E8A"/>
    <w:rsid w:val="00F05293"/>
    <w:rsid w:val="00F2170B"/>
    <w:rsid w:val="00F255A0"/>
    <w:rsid w:val="00F61E3B"/>
    <w:rsid w:val="00F80EA5"/>
    <w:rsid w:val="00F82C0E"/>
    <w:rsid w:val="00F84787"/>
    <w:rsid w:val="00F93906"/>
    <w:rsid w:val="00FA2D2F"/>
    <w:rsid w:val="00FC39BB"/>
    <w:rsid w:val="00FD118A"/>
    <w:rsid w:val="00FD7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6B86"/>
  <w15:chartTrackingRefBased/>
  <w15:docId w15:val="{50132230-3EB9-4E9F-91EE-FB781923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2D2F"/>
  </w:style>
  <w:style w:type="paragraph" w:styleId="Nagwek1">
    <w:name w:val="heading 1"/>
    <w:basedOn w:val="Normalny"/>
    <w:next w:val="Normalny"/>
    <w:link w:val="Nagwek1Znak"/>
    <w:qFormat/>
    <w:rsid w:val="00F255A0"/>
    <w:pPr>
      <w:keepNext/>
      <w:numPr>
        <w:numId w:val="11"/>
      </w:numPr>
      <w:suppressAutoHyphens/>
      <w:spacing w:before="240" w:after="120" w:line="240" w:lineRule="auto"/>
      <w:ind w:left="431" w:hanging="431"/>
      <w:outlineLvl w:val="0"/>
    </w:pPr>
    <w:rPr>
      <w:rFonts w:ascii="Arial" w:eastAsia="Times New Roman" w:hAnsi="Arial" w:cs="Times New Roman"/>
      <w:b/>
      <w:bCs/>
      <w:sz w:val="21"/>
      <w:lang w:eastAsia="ar-SA"/>
    </w:rPr>
  </w:style>
  <w:style w:type="paragraph" w:styleId="Nagwek2">
    <w:name w:val="heading 2"/>
    <w:basedOn w:val="Normalny"/>
    <w:next w:val="Normalny"/>
    <w:link w:val="Nagwek2Znak"/>
    <w:unhideWhenUsed/>
    <w:qFormat/>
    <w:rsid w:val="00F255A0"/>
    <w:pPr>
      <w:numPr>
        <w:ilvl w:val="1"/>
        <w:numId w:val="11"/>
      </w:numPr>
      <w:suppressAutoHyphens/>
      <w:spacing w:before="60" w:after="60" w:line="240" w:lineRule="auto"/>
      <w:outlineLvl w:val="1"/>
    </w:pPr>
    <w:rPr>
      <w:rFonts w:ascii="Arial" w:eastAsia="Times New Roman" w:hAnsi="Arial" w:cs="Arial"/>
      <w:sz w:val="21"/>
      <w:lang w:eastAsia="ar-SA"/>
    </w:rPr>
  </w:style>
  <w:style w:type="paragraph" w:styleId="Nagwek3">
    <w:name w:val="heading 3"/>
    <w:basedOn w:val="Normalny"/>
    <w:next w:val="Normalny"/>
    <w:link w:val="Nagwek3Znak"/>
    <w:unhideWhenUsed/>
    <w:qFormat/>
    <w:rsid w:val="00F255A0"/>
    <w:pPr>
      <w:numPr>
        <w:ilvl w:val="2"/>
        <w:numId w:val="11"/>
      </w:numPr>
      <w:suppressAutoHyphens/>
      <w:spacing w:before="60" w:after="60" w:line="240" w:lineRule="auto"/>
      <w:outlineLvl w:val="2"/>
    </w:pPr>
    <w:rPr>
      <w:rFonts w:ascii="Arial" w:eastAsia="Times New Roman" w:hAnsi="Arial" w:cs="Arial"/>
      <w:sz w:val="21"/>
      <w:lang w:eastAsia="ar-SA"/>
    </w:rPr>
  </w:style>
  <w:style w:type="paragraph" w:styleId="Nagwek5">
    <w:name w:val="heading 5"/>
    <w:basedOn w:val="Normalny"/>
    <w:next w:val="Normalny"/>
    <w:link w:val="Nagwek5Znak"/>
    <w:semiHidden/>
    <w:unhideWhenUsed/>
    <w:qFormat/>
    <w:rsid w:val="00F255A0"/>
    <w:pPr>
      <w:numPr>
        <w:ilvl w:val="4"/>
        <w:numId w:val="11"/>
      </w:numPr>
      <w:suppressAutoHyphens/>
      <w:spacing w:before="60" w:after="60" w:line="240" w:lineRule="auto"/>
      <w:ind w:left="1009" w:hanging="1009"/>
      <w:outlineLvl w:val="4"/>
    </w:pPr>
    <w:rPr>
      <w:rFonts w:ascii="Arial" w:eastAsia="Times New Roman" w:hAnsi="Arial" w:cs="Times New Roman"/>
      <w:bCs/>
      <w:iCs/>
      <w:sz w:val="21"/>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2BD6"/>
    <w:pPr>
      <w:ind w:left="720"/>
      <w:contextualSpacing/>
    </w:pPr>
  </w:style>
  <w:style w:type="paragraph" w:styleId="Tekstprzypisudolnego">
    <w:name w:val="footnote text"/>
    <w:basedOn w:val="Normalny"/>
    <w:link w:val="TekstprzypisudolnegoZnak"/>
    <w:uiPriority w:val="99"/>
    <w:semiHidden/>
    <w:unhideWhenUsed/>
    <w:rsid w:val="007044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44C5"/>
    <w:rPr>
      <w:sz w:val="20"/>
      <w:szCs w:val="20"/>
    </w:rPr>
  </w:style>
  <w:style w:type="character" w:styleId="Odwoanieprzypisudolnego">
    <w:name w:val="footnote reference"/>
    <w:basedOn w:val="Domylnaczcionkaakapitu"/>
    <w:uiPriority w:val="99"/>
    <w:semiHidden/>
    <w:unhideWhenUsed/>
    <w:rsid w:val="007044C5"/>
    <w:rPr>
      <w:vertAlign w:val="superscript"/>
    </w:rPr>
  </w:style>
  <w:style w:type="character" w:styleId="Hipercze">
    <w:name w:val="Hyperlink"/>
    <w:basedOn w:val="Domylnaczcionkaakapitu"/>
    <w:uiPriority w:val="99"/>
    <w:unhideWhenUsed/>
    <w:rsid w:val="00280B91"/>
    <w:rPr>
      <w:color w:val="0563C1" w:themeColor="hyperlink"/>
      <w:u w:val="single"/>
    </w:rPr>
  </w:style>
  <w:style w:type="paragraph" w:styleId="Tekstdymka">
    <w:name w:val="Balloon Text"/>
    <w:basedOn w:val="Normalny"/>
    <w:link w:val="TekstdymkaZnak"/>
    <w:uiPriority w:val="99"/>
    <w:semiHidden/>
    <w:unhideWhenUsed/>
    <w:rsid w:val="00280B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0B91"/>
    <w:rPr>
      <w:rFonts w:ascii="Segoe UI" w:hAnsi="Segoe UI" w:cs="Segoe UI"/>
      <w:sz w:val="18"/>
      <w:szCs w:val="18"/>
    </w:rPr>
  </w:style>
  <w:style w:type="character" w:styleId="Odwoaniedokomentarza">
    <w:name w:val="annotation reference"/>
    <w:basedOn w:val="Domylnaczcionkaakapitu"/>
    <w:uiPriority w:val="99"/>
    <w:semiHidden/>
    <w:unhideWhenUsed/>
    <w:rsid w:val="00F82C0E"/>
    <w:rPr>
      <w:sz w:val="16"/>
      <w:szCs w:val="16"/>
    </w:rPr>
  </w:style>
  <w:style w:type="paragraph" w:styleId="Tekstkomentarza">
    <w:name w:val="annotation text"/>
    <w:basedOn w:val="Normalny"/>
    <w:link w:val="TekstkomentarzaZnak"/>
    <w:uiPriority w:val="99"/>
    <w:semiHidden/>
    <w:unhideWhenUsed/>
    <w:rsid w:val="00F82C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2C0E"/>
    <w:rPr>
      <w:sz w:val="20"/>
      <w:szCs w:val="20"/>
    </w:rPr>
  </w:style>
  <w:style w:type="paragraph" w:styleId="Tematkomentarza">
    <w:name w:val="annotation subject"/>
    <w:basedOn w:val="Tekstkomentarza"/>
    <w:next w:val="Tekstkomentarza"/>
    <w:link w:val="TematkomentarzaZnak"/>
    <w:uiPriority w:val="99"/>
    <w:semiHidden/>
    <w:unhideWhenUsed/>
    <w:rsid w:val="00F82C0E"/>
    <w:rPr>
      <w:b/>
      <w:bCs/>
    </w:rPr>
  </w:style>
  <w:style w:type="character" w:customStyle="1" w:styleId="TematkomentarzaZnak">
    <w:name w:val="Temat komentarza Znak"/>
    <w:basedOn w:val="TekstkomentarzaZnak"/>
    <w:link w:val="Tematkomentarza"/>
    <w:uiPriority w:val="99"/>
    <w:semiHidden/>
    <w:rsid w:val="00F82C0E"/>
    <w:rPr>
      <w:b/>
      <w:bCs/>
      <w:sz w:val="20"/>
      <w:szCs w:val="20"/>
    </w:rPr>
  </w:style>
  <w:style w:type="paragraph" w:styleId="NormalnyWeb">
    <w:name w:val="Normal (Web)"/>
    <w:basedOn w:val="Normalny"/>
    <w:uiPriority w:val="99"/>
    <w:semiHidden/>
    <w:unhideWhenUsed/>
    <w:rsid w:val="00374C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4C99"/>
    <w:rPr>
      <w:b/>
      <w:bCs/>
    </w:rPr>
  </w:style>
  <w:style w:type="character" w:customStyle="1" w:styleId="Nagwek1Znak">
    <w:name w:val="Nagłówek 1 Znak"/>
    <w:basedOn w:val="Domylnaczcionkaakapitu"/>
    <w:link w:val="Nagwek1"/>
    <w:rsid w:val="00F255A0"/>
    <w:rPr>
      <w:rFonts w:ascii="Arial" w:eastAsia="Times New Roman" w:hAnsi="Arial" w:cs="Times New Roman"/>
      <w:b/>
      <w:bCs/>
      <w:sz w:val="21"/>
      <w:lang w:eastAsia="ar-SA"/>
    </w:rPr>
  </w:style>
  <w:style w:type="character" w:customStyle="1" w:styleId="Nagwek2Znak">
    <w:name w:val="Nagłówek 2 Znak"/>
    <w:basedOn w:val="Domylnaczcionkaakapitu"/>
    <w:link w:val="Nagwek2"/>
    <w:rsid w:val="00F255A0"/>
    <w:rPr>
      <w:rFonts w:ascii="Arial" w:eastAsia="Times New Roman" w:hAnsi="Arial" w:cs="Arial"/>
      <w:sz w:val="21"/>
      <w:lang w:eastAsia="ar-SA"/>
    </w:rPr>
  </w:style>
  <w:style w:type="character" w:customStyle="1" w:styleId="Nagwek3Znak">
    <w:name w:val="Nagłówek 3 Znak"/>
    <w:basedOn w:val="Domylnaczcionkaakapitu"/>
    <w:link w:val="Nagwek3"/>
    <w:rsid w:val="00F255A0"/>
    <w:rPr>
      <w:rFonts w:ascii="Arial" w:eastAsia="Times New Roman" w:hAnsi="Arial" w:cs="Arial"/>
      <w:sz w:val="21"/>
      <w:lang w:eastAsia="ar-SA"/>
    </w:rPr>
  </w:style>
  <w:style w:type="character" w:customStyle="1" w:styleId="Nagwek5Znak">
    <w:name w:val="Nagłówek 5 Znak"/>
    <w:basedOn w:val="Domylnaczcionkaakapitu"/>
    <w:link w:val="Nagwek5"/>
    <w:semiHidden/>
    <w:rsid w:val="00F255A0"/>
    <w:rPr>
      <w:rFonts w:ascii="Arial" w:eastAsia="Times New Roman" w:hAnsi="Arial" w:cs="Times New Roman"/>
      <w:bCs/>
      <w:iCs/>
      <w:sz w:val="21"/>
      <w:szCs w:val="26"/>
      <w:lang w:eastAsia="ar-SA"/>
    </w:rPr>
  </w:style>
  <w:style w:type="paragraph" w:customStyle="1" w:styleId="Nagwek10">
    <w:name w:val="Nagłówek 10"/>
    <w:basedOn w:val="Normalny"/>
    <w:next w:val="Stopka"/>
    <w:rsid w:val="00F255A0"/>
    <w:pPr>
      <w:keepNext/>
      <w:numPr>
        <w:ilvl w:val="8"/>
        <w:numId w:val="11"/>
      </w:numPr>
      <w:suppressAutoHyphens/>
      <w:spacing w:before="240" w:after="120" w:line="240" w:lineRule="auto"/>
      <w:outlineLvl w:val="8"/>
    </w:pPr>
    <w:rPr>
      <w:rFonts w:ascii="Arial" w:eastAsia="MS Mincho" w:hAnsi="Arial" w:cs="Tahoma"/>
      <w:b/>
      <w:bCs/>
      <w:sz w:val="21"/>
      <w:szCs w:val="21"/>
      <w:lang w:eastAsia="ar-SA"/>
    </w:rPr>
  </w:style>
  <w:style w:type="paragraph" w:styleId="Stopka">
    <w:name w:val="footer"/>
    <w:basedOn w:val="Normalny"/>
    <w:link w:val="StopkaZnak"/>
    <w:uiPriority w:val="99"/>
    <w:semiHidden/>
    <w:unhideWhenUsed/>
    <w:rsid w:val="00F255A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2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4190">
      <w:bodyDiv w:val="1"/>
      <w:marLeft w:val="0"/>
      <w:marRight w:val="0"/>
      <w:marTop w:val="0"/>
      <w:marBottom w:val="0"/>
      <w:divBdr>
        <w:top w:val="none" w:sz="0" w:space="0" w:color="auto"/>
        <w:left w:val="none" w:sz="0" w:space="0" w:color="auto"/>
        <w:bottom w:val="none" w:sz="0" w:space="0" w:color="auto"/>
        <w:right w:val="none" w:sz="0" w:space="0" w:color="auto"/>
      </w:divBdr>
    </w:div>
    <w:div w:id="1477524731">
      <w:bodyDiv w:val="1"/>
      <w:marLeft w:val="0"/>
      <w:marRight w:val="0"/>
      <w:marTop w:val="0"/>
      <w:marBottom w:val="0"/>
      <w:divBdr>
        <w:top w:val="none" w:sz="0" w:space="0" w:color="auto"/>
        <w:left w:val="none" w:sz="0" w:space="0" w:color="auto"/>
        <w:bottom w:val="none" w:sz="0" w:space="0" w:color="auto"/>
        <w:right w:val="none" w:sz="0" w:space="0" w:color="auto"/>
      </w:divBdr>
      <w:divsChild>
        <w:div w:id="917249933">
          <w:marLeft w:val="0"/>
          <w:marRight w:val="0"/>
          <w:marTop w:val="120"/>
          <w:marBottom w:val="0"/>
          <w:divBdr>
            <w:top w:val="none" w:sz="0" w:space="0" w:color="auto"/>
            <w:left w:val="none" w:sz="0" w:space="0" w:color="auto"/>
            <w:bottom w:val="none" w:sz="0" w:space="0" w:color="auto"/>
            <w:right w:val="none" w:sz="0" w:space="0" w:color="auto"/>
          </w:divBdr>
          <w:divsChild>
            <w:div w:id="1202403260">
              <w:marLeft w:val="0"/>
              <w:marRight w:val="0"/>
              <w:marTop w:val="0"/>
              <w:marBottom w:val="0"/>
              <w:divBdr>
                <w:top w:val="none" w:sz="0" w:space="0" w:color="auto"/>
                <w:left w:val="none" w:sz="0" w:space="0" w:color="auto"/>
                <w:bottom w:val="none" w:sz="0" w:space="0" w:color="auto"/>
                <w:right w:val="none" w:sz="0" w:space="0" w:color="auto"/>
              </w:divBdr>
            </w:div>
          </w:divsChild>
        </w:div>
        <w:div w:id="932323975">
          <w:marLeft w:val="0"/>
          <w:marRight w:val="0"/>
          <w:marTop w:val="120"/>
          <w:marBottom w:val="0"/>
          <w:divBdr>
            <w:top w:val="none" w:sz="0" w:space="0" w:color="auto"/>
            <w:left w:val="none" w:sz="0" w:space="0" w:color="auto"/>
            <w:bottom w:val="none" w:sz="0" w:space="0" w:color="auto"/>
            <w:right w:val="none" w:sz="0" w:space="0" w:color="auto"/>
          </w:divBdr>
          <w:divsChild>
            <w:div w:id="1763601924">
              <w:marLeft w:val="0"/>
              <w:marRight w:val="0"/>
              <w:marTop w:val="0"/>
              <w:marBottom w:val="0"/>
              <w:divBdr>
                <w:top w:val="none" w:sz="0" w:space="0" w:color="auto"/>
                <w:left w:val="none" w:sz="0" w:space="0" w:color="auto"/>
                <w:bottom w:val="none" w:sz="0" w:space="0" w:color="auto"/>
                <w:right w:val="none" w:sz="0" w:space="0" w:color="auto"/>
              </w:divBdr>
            </w:div>
          </w:divsChild>
        </w:div>
        <w:div w:id="1521815258">
          <w:marLeft w:val="0"/>
          <w:marRight w:val="0"/>
          <w:marTop w:val="120"/>
          <w:marBottom w:val="0"/>
          <w:divBdr>
            <w:top w:val="none" w:sz="0" w:space="0" w:color="auto"/>
            <w:left w:val="none" w:sz="0" w:space="0" w:color="auto"/>
            <w:bottom w:val="none" w:sz="0" w:space="0" w:color="auto"/>
            <w:right w:val="none" w:sz="0" w:space="0" w:color="auto"/>
          </w:divBdr>
          <w:divsChild>
            <w:div w:id="7776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dyn.polacyzagranica@ms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D44E-BB37-4A0E-BA8B-92E02EEF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664</Words>
  <Characters>3989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Supińska Agata</dc:creator>
  <cp:keywords/>
  <dc:description/>
  <cp:lastModifiedBy>Fabryczewska-Chojnacka Agnieszka</cp:lastModifiedBy>
  <cp:revision>13</cp:revision>
  <cp:lastPrinted>2021-02-12T09:28:00Z</cp:lastPrinted>
  <dcterms:created xsi:type="dcterms:W3CDTF">2025-03-20T09:28:00Z</dcterms:created>
  <dcterms:modified xsi:type="dcterms:W3CDTF">2025-06-16T14:20:00Z</dcterms:modified>
</cp:coreProperties>
</file>