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02BB1" w14:textId="77777777" w:rsidR="005B08E5" w:rsidRDefault="0014192F" w:rsidP="00793976">
      <w:pPr>
        <w:spacing w:after="240"/>
        <w:jc w:val="center"/>
        <w:rPr>
          <w:rFonts w:ascii="Times New Roman" w:hAnsi="Times New Roman" w:cs="Times New Roman"/>
          <w:b/>
          <w:bCs/>
          <w:sz w:val="24"/>
          <w:szCs w:val="24"/>
        </w:rPr>
      </w:pPr>
      <w:r w:rsidRPr="00171DE6">
        <w:rPr>
          <w:rFonts w:ascii="Times New Roman" w:hAnsi="Times New Roman" w:cs="Times New Roman"/>
          <w:b/>
          <w:bCs/>
          <w:sz w:val="24"/>
          <w:szCs w:val="24"/>
        </w:rPr>
        <w:t>UZASADNIENIE</w:t>
      </w:r>
    </w:p>
    <w:p w14:paraId="6BEFF618" w14:textId="77777777" w:rsidR="00171DE6" w:rsidRPr="00171DE6" w:rsidRDefault="00171DE6" w:rsidP="00DA681E">
      <w:pPr>
        <w:spacing w:after="240"/>
        <w:jc w:val="center"/>
        <w:rPr>
          <w:rFonts w:ascii="Times New Roman" w:hAnsi="Times New Roman" w:cs="Times New Roman"/>
          <w:b/>
          <w:bCs/>
          <w:sz w:val="24"/>
          <w:szCs w:val="24"/>
        </w:rPr>
      </w:pPr>
    </w:p>
    <w:p w14:paraId="654D1F88" w14:textId="70DC1F24" w:rsidR="00DA681E" w:rsidRPr="00141CA1" w:rsidRDefault="00DA681E" w:rsidP="00C436F8">
      <w:pPr>
        <w:jc w:val="both"/>
        <w:rPr>
          <w:rFonts w:ascii="Times New Roman" w:hAnsi="Times New Roman" w:cs="Times New Roman"/>
          <w:b/>
          <w:sz w:val="24"/>
          <w:szCs w:val="24"/>
        </w:rPr>
      </w:pPr>
      <w:r w:rsidRPr="00141CA1">
        <w:rPr>
          <w:rFonts w:ascii="Times New Roman" w:hAnsi="Times New Roman" w:cs="Times New Roman"/>
          <w:b/>
          <w:sz w:val="24"/>
          <w:szCs w:val="24"/>
        </w:rPr>
        <w:t>1. Potrzeba i cel wydania aktu prawnego</w:t>
      </w:r>
    </w:p>
    <w:p w14:paraId="32A13A34" w14:textId="0F128E27" w:rsidR="006326CD" w:rsidRPr="00420A09" w:rsidRDefault="0014192F" w:rsidP="006326CD">
      <w:pPr>
        <w:jc w:val="both"/>
        <w:rPr>
          <w:rFonts w:ascii="Lato" w:hAnsi="Lato" w:cs="Times New Roman"/>
          <w:sz w:val="20"/>
          <w:szCs w:val="20"/>
        </w:rPr>
      </w:pPr>
      <w:r w:rsidRPr="00141CA1">
        <w:rPr>
          <w:rFonts w:ascii="Times New Roman" w:hAnsi="Times New Roman" w:cs="Times New Roman"/>
          <w:sz w:val="24"/>
          <w:szCs w:val="24"/>
        </w:rPr>
        <w:t>Projekt ustawy o zmianie ustawy o działalności</w:t>
      </w:r>
      <w:r w:rsidR="00C436F8" w:rsidRPr="00141CA1">
        <w:rPr>
          <w:rFonts w:ascii="Times New Roman" w:hAnsi="Times New Roman" w:cs="Times New Roman"/>
          <w:sz w:val="24"/>
          <w:szCs w:val="24"/>
        </w:rPr>
        <w:t xml:space="preserve"> pożytku publicznego i o wolontariacie</w:t>
      </w:r>
      <w:r w:rsidR="005F0BB2" w:rsidRPr="00141CA1">
        <w:rPr>
          <w:rFonts w:ascii="Times New Roman" w:hAnsi="Times New Roman" w:cs="Times New Roman"/>
          <w:sz w:val="24"/>
          <w:szCs w:val="24"/>
        </w:rPr>
        <w:t xml:space="preserve"> </w:t>
      </w:r>
      <w:r w:rsidR="001E3223">
        <w:rPr>
          <w:rFonts w:ascii="Times New Roman" w:hAnsi="Times New Roman" w:cs="Times New Roman"/>
          <w:sz w:val="24"/>
          <w:szCs w:val="24"/>
        </w:rPr>
        <w:t>oraz</w:t>
      </w:r>
      <w:r w:rsidR="00575E7D">
        <w:rPr>
          <w:rFonts w:ascii="Times New Roman" w:hAnsi="Times New Roman" w:cs="Times New Roman"/>
          <w:sz w:val="24"/>
          <w:szCs w:val="24"/>
        </w:rPr>
        <w:t> </w:t>
      </w:r>
      <w:r w:rsidR="001E3223">
        <w:rPr>
          <w:rFonts w:ascii="Times New Roman" w:hAnsi="Times New Roman" w:cs="Times New Roman"/>
          <w:sz w:val="24"/>
          <w:szCs w:val="24"/>
        </w:rPr>
        <w:t xml:space="preserve">ustawy o grach hazardowych </w:t>
      </w:r>
      <w:r w:rsidR="00C436F8" w:rsidRPr="00141CA1">
        <w:rPr>
          <w:rFonts w:ascii="Times New Roman" w:hAnsi="Times New Roman" w:cs="Times New Roman"/>
          <w:sz w:val="24"/>
          <w:szCs w:val="24"/>
        </w:rPr>
        <w:t xml:space="preserve">ma na celu </w:t>
      </w:r>
      <w:r w:rsidR="00663B7A" w:rsidRPr="00141CA1">
        <w:rPr>
          <w:rFonts w:ascii="Times New Roman" w:hAnsi="Times New Roman" w:cs="Times New Roman"/>
          <w:sz w:val="24"/>
          <w:szCs w:val="24"/>
        </w:rPr>
        <w:t xml:space="preserve">przede wszystkim </w:t>
      </w:r>
      <w:r w:rsidR="00C436F8" w:rsidRPr="00141CA1">
        <w:rPr>
          <w:rFonts w:ascii="Times New Roman" w:hAnsi="Times New Roman" w:cs="Times New Roman"/>
          <w:sz w:val="24"/>
          <w:szCs w:val="24"/>
        </w:rPr>
        <w:t>uproszczenie i</w:t>
      </w:r>
      <w:r w:rsidR="00663B7A" w:rsidRPr="00141CA1">
        <w:rPr>
          <w:rFonts w:ascii="Times New Roman" w:hAnsi="Times New Roman" w:cs="Times New Roman"/>
          <w:sz w:val="24"/>
          <w:szCs w:val="24"/>
        </w:rPr>
        <w:t xml:space="preserve"> doprecyzowanie obowiązujących przepisów oraz</w:t>
      </w:r>
      <w:r w:rsidR="00C436F8" w:rsidRPr="00141CA1">
        <w:rPr>
          <w:rFonts w:ascii="Times New Roman" w:hAnsi="Times New Roman" w:cs="Times New Roman"/>
          <w:sz w:val="24"/>
          <w:szCs w:val="24"/>
        </w:rPr>
        <w:t xml:space="preserve"> zmniejszenie obciążeń administracyjnych w obszarze współpracy organów administracji publicznej z organizacjami pozarządowymi oraz</w:t>
      </w:r>
      <w:r w:rsidR="00575E7D">
        <w:rPr>
          <w:rFonts w:ascii="Times New Roman" w:hAnsi="Times New Roman" w:cs="Times New Roman"/>
          <w:sz w:val="24"/>
          <w:szCs w:val="24"/>
        </w:rPr>
        <w:t> </w:t>
      </w:r>
      <w:r w:rsidR="00C436F8" w:rsidRPr="00141CA1">
        <w:rPr>
          <w:rFonts w:ascii="Times New Roman" w:hAnsi="Times New Roman" w:cs="Times New Roman"/>
          <w:sz w:val="24"/>
          <w:szCs w:val="24"/>
        </w:rPr>
        <w:t>podmiotami prowadzącymi działalność pożytku publicznego określonymi w art. 3 ust. 3 ustawy</w:t>
      </w:r>
      <w:r w:rsidR="008D2C20" w:rsidRPr="00141CA1">
        <w:rPr>
          <w:rStyle w:val="Odwoanieprzypisudolnego"/>
          <w:rFonts w:ascii="Times New Roman" w:hAnsi="Times New Roman" w:cs="Times New Roman"/>
          <w:sz w:val="24"/>
          <w:szCs w:val="24"/>
        </w:rPr>
        <w:footnoteReference w:id="1"/>
      </w:r>
      <w:r w:rsidR="00AB2DB9" w:rsidRPr="00141CA1">
        <w:rPr>
          <w:rFonts w:ascii="Times New Roman" w:hAnsi="Times New Roman" w:cs="Times New Roman"/>
          <w:sz w:val="24"/>
          <w:szCs w:val="24"/>
        </w:rPr>
        <w:t xml:space="preserve"> z dnia 24 kwietnia 20</w:t>
      </w:r>
      <w:r w:rsidR="005F0BB2" w:rsidRPr="00141CA1">
        <w:rPr>
          <w:rFonts w:ascii="Times New Roman" w:hAnsi="Times New Roman" w:cs="Times New Roman"/>
          <w:sz w:val="24"/>
          <w:szCs w:val="24"/>
        </w:rPr>
        <w:t>0</w:t>
      </w:r>
      <w:r w:rsidR="00AB2DB9" w:rsidRPr="00141CA1">
        <w:rPr>
          <w:rFonts w:ascii="Times New Roman" w:hAnsi="Times New Roman" w:cs="Times New Roman"/>
          <w:sz w:val="24"/>
          <w:szCs w:val="24"/>
        </w:rPr>
        <w:t>3 r.</w:t>
      </w:r>
      <w:r w:rsidR="00F11750" w:rsidRPr="00141CA1">
        <w:rPr>
          <w:rFonts w:ascii="Times New Roman" w:hAnsi="Times New Roman" w:cs="Times New Roman"/>
          <w:sz w:val="24"/>
          <w:szCs w:val="24"/>
        </w:rPr>
        <w:t xml:space="preserve"> </w:t>
      </w:r>
      <w:r w:rsidR="00AB2DB9" w:rsidRPr="00141CA1">
        <w:rPr>
          <w:rFonts w:ascii="Times New Roman" w:hAnsi="Times New Roman" w:cs="Times New Roman"/>
          <w:sz w:val="24"/>
          <w:szCs w:val="24"/>
        </w:rPr>
        <w:t>o działalności pożytku publicznego i o wolontariacie (Dz.</w:t>
      </w:r>
      <w:r w:rsidR="00575E7D">
        <w:rPr>
          <w:rFonts w:ascii="Times New Roman" w:hAnsi="Times New Roman" w:cs="Times New Roman"/>
          <w:sz w:val="24"/>
          <w:szCs w:val="24"/>
        </w:rPr>
        <w:t> </w:t>
      </w:r>
      <w:r w:rsidR="00AB2DB9" w:rsidRPr="00141CA1">
        <w:rPr>
          <w:rFonts w:ascii="Times New Roman" w:hAnsi="Times New Roman" w:cs="Times New Roman"/>
          <w:sz w:val="24"/>
          <w:szCs w:val="24"/>
        </w:rPr>
        <w:t>U</w:t>
      </w:r>
      <w:r w:rsidR="00534FEE">
        <w:rPr>
          <w:rFonts w:ascii="Times New Roman" w:hAnsi="Times New Roman" w:cs="Times New Roman"/>
          <w:sz w:val="24"/>
          <w:szCs w:val="24"/>
        </w:rPr>
        <w:t>.</w:t>
      </w:r>
      <w:r w:rsidR="00AB2DB9" w:rsidRPr="00141CA1">
        <w:rPr>
          <w:rFonts w:ascii="Times New Roman" w:hAnsi="Times New Roman" w:cs="Times New Roman"/>
          <w:sz w:val="24"/>
          <w:szCs w:val="24"/>
        </w:rPr>
        <w:t xml:space="preserve"> </w:t>
      </w:r>
      <w:r w:rsidR="00F11750" w:rsidRPr="00141CA1">
        <w:rPr>
          <w:rFonts w:ascii="Times New Roman" w:hAnsi="Times New Roman" w:cs="Times New Roman"/>
          <w:sz w:val="24"/>
          <w:szCs w:val="24"/>
        </w:rPr>
        <w:t>z 2024 r.</w:t>
      </w:r>
      <w:r w:rsidR="00AB2DB9" w:rsidRPr="00141CA1">
        <w:rPr>
          <w:rFonts w:ascii="Times New Roman" w:hAnsi="Times New Roman" w:cs="Times New Roman"/>
          <w:sz w:val="24"/>
          <w:szCs w:val="24"/>
        </w:rPr>
        <w:t xml:space="preserve"> poz.</w:t>
      </w:r>
      <w:r w:rsidR="00F11750" w:rsidRPr="00141CA1">
        <w:rPr>
          <w:rFonts w:ascii="Times New Roman" w:hAnsi="Times New Roman" w:cs="Times New Roman"/>
          <w:sz w:val="24"/>
          <w:szCs w:val="24"/>
        </w:rPr>
        <w:t xml:space="preserve"> 1491</w:t>
      </w:r>
      <w:r w:rsidR="00534FEE">
        <w:rPr>
          <w:rFonts w:ascii="Times New Roman" w:hAnsi="Times New Roman" w:cs="Times New Roman"/>
          <w:sz w:val="24"/>
          <w:szCs w:val="24"/>
        </w:rPr>
        <w:t>,</w:t>
      </w:r>
      <w:r w:rsidR="00AB2DB9" w:rsidRPr="00141CA1">
        <w:rPr>
          <w:rFonts w:ascii="Times New Roman" w:hAnsi="Times New Roman" w:cs="Times New Roman"/>
          <w:sz w:val="24"/>
          <w:szCs w:val="24"/>
        </w:rPr>
        <w:t xml:space="preserve"> z późn. zm.)</w:t>
      </w:r>
      <w:r w:rsidR="008D2C20" w:rsidRPr="00141CA1">
        <w:rPr>
          <w:rStyle w:val="Odwoanieprzypisudolnego"/>
          <w:rFonts w:ascii="Times New Roman" w:hAnsi="Times New Roman" w:cs="Times New Roman"/>
          <w:sz w:val="24"/>
          <w:szCs w:val="24"/>
        </w:rPr>
        <w:footnoteReference w:id="2"/>
      </w:r>
      <w:r w:rsidR="008D2C20" w:rsidRPr="00141CA1">
        <w:rPr>
          <w:rFonts w:ascii="Times New Roman" w:hAnsi="Times New Roman" w:cs="Times New Roman"/>
          <w:sz w:val="24"/>
          <w:szCs w:val="24"/>
        </w:rPr>
        <w:t>,</w:t>
      </w:r>
      <w:r w:rsidR="00AB2DB9" w:rsidRPr="00141CA1">
        <w:rPr>
          <w:rFonts w:ascii="Times New Roman" w:hAnsi="Times New Roman" w:cs="Times New Roman"/>
          <w:sz w:val="24"/>
          <w:szCs w:val="24"/>
        </w:rPr>
        <w:t xml:space="preserve"> </w:t>
      </w:r>
      <w:r w:rsidR="00663B7A" w:rsidRPr="00141CA1">
        <w:rPr>
          <w:rFonts w:ascii="Times New Roman" w:hAnsi="Times New Roman" w:cs="Times New Roman"/>
          <w:sz w:val="24"/>
          <w:szCs w:val="24"/>
        </w:rPr>
        <w:t>oraz</w:t>
      </w:r>
      <w:r w:rsidR="00C436F8" w:rsidRPr="00141CA1">
        <w:rPr>
          <w:rFonts w:ascii="Times New Roman" w:hAnsi="Times New Roman" w:cs="Times New Roman"/>
          <w:sz w:val="24"/>
          <w:szCs w:val="24"/>
        </w:rPr>
        <w:t xml:space="preserve"> </w:t>
      </w:r>
      <w:r w:rsidR="00663B7A" w:rsidRPr="00141CA1">
        <w:rPr>
          <w:rFonts w:ascii="Times New Roman" w:hAnsi="Times New Roman" w:cs="Times New Roman"/>
          <w:sz w:val="24"/>
          <w:szCs w:val="24"/>
        </w:rPr>
        <w:t>realizacji obowiązków sprawozdawczych przez</w:t>
      </w:r>
      <w:r w:rsidR="00575E7D">
        <w:rPr>
          <w:rFonts w:ascii="Times New Roman" w:hAnsi="Times New Roman" w:cs="Times New Roman"/>
          <w:sz w:val="24"/>
          <w:szCs w:val="24"/>
        </w:rPr>
        <w:t> </w:t>
      </w:r>
      <w:r w:rsidR="00663B7A" w:rsidRPr="00141CA1">
        <w:rPr>
          <w:rFonts w:ascii="Times New Roman" w:hAnsi="Times New Roman" w:cs="Times New Roman"/>
          <w:sz w:val="24"/>
          <w:szCs w:val="24"/>
        </w:rPr>
        <w:t>organizacje pożytku publicznego.</w:t>
      </w:r>
      <w:r w:rsidR="00F33198" w:rsidRPr="00141CA1">
        <w:rPr>
          <w:rFonts w:ascii="Times New Roman" w:hAnsi="Times New Roman" w:cs="Times New Roman"/>
          <w:sz w:val="24"/>
          <w:szCs w:val="24"/>
        </w:rPr>
        <w:t xml:space="preserve"> Dodatkowo </w:t>
      </w:r>
      <w:r w:rsidR="007874FB" w:rsidRPr="00141CA1">
        <w:rPr>
          <w:rFonts w:ascii="Times New Roman" w:hAnsi="Times New Roman" w:cs="Times New Roman"/>
          <w:sz w:val="24"/>
          <w:szCs w:val="24"/>
        </w:rPr>
        <w:t>projekt zakłada</w:t>
      </w:r>
      <w:r w:rsidR="00634571" w:rsidRPr="00141CA1">
        <w:rPr>
          <w:rFonts w:ascii="Times New Roman" w:hAnsi="Times New Roman" w:cs="Times New Roman"/>
          <w:sz w:val="24"/>
          <w:szCs w:val="24"/>
        </w:rPr>
        <w:t xml:space="preserve"> możliwość uhonorowania przez Przewodnicząc</w:t>
      </w:r>
      <w:r w:rsidR="00534FEE">
        <w:rPr>
          <w:rFonts w:ascii="Times New Roman" w:hAnsi="Times New Roman" w:cs="Times New Roman"/>
          <w:sz w:val="24"/>
          <w:szCs w:val="24"/>
        </w:rPr>
        <w:t>ego</w:t>
      </w:r>
      <w:r w:rsidR="00634571" w:rsidRPr="00141CA1">
        <w:rPr>
          <w:rFonts w:ascii="Times New Roman" w:hAnsi="Times New Roman" w:cs="Times New Roman"/>
          <w:sz w:val="24"/>
          <w:szCs w:val="24"/>
        </w:rPr>
        <w:t xml:space="preserve"> Komitetu do spraw Pożytku Publicznego osób szczególnie zasłużonych dla rozwoju społeczeństwa obywatelskiego w Polsce przez przyznanie odznaki honorowej. Ustanawia również 24 kwietnia Dniem Społeczeństwa Obywatelskiego, w</w:t>
      </w:r>
      <w:r w:rsidR="00575E7D">
        <w:rPr>
          <w:rFonts w:ascii="Times New Roman" w:hAnsi="Times New Roman" w:cs="Times New Roman"/>
          <w:sz w:val="24"/>
          <w:szCs w:val="24"/>
        </w:rPr>
        <w:t> </w:t>
      </w:r>
      <w:r w:rsidR="00634571" w:rsidRPr="00141CA1">
        <w:rPr>
          <w:rFonts w:ascii="Times New Roman" w:hAnsi="Times New Roman" w:cs="Times New Roman"/>
          <w:sz w:val="24"/>
          <w:szCs w:val="24"/>
        </w:rPr>
        <w:t>szczególności</w:t>
      </w:r>
      <w:r w:rsidR="00DF3C8D" w:rsidRPr="00141CA1">
        <w:rPr>
          <w:rFonts w:ascii="Times New Roman" w:hAnsi="Times New Roman" w:cs="Times New Roman"/>
          <w:sz w:val="24"/>
          <w:szCs w:val="24"/>
        </w:rPr>
        <w:t xml:space="preserve"> </w:t>
      </w:r>
      <w:r w:rsidR="00634571" w:rsidRPr="00141CA1">
        <w:rPr>
          <w:rFonts w:ascii="Times New Roman" w:hAnsi="Times New Roman" w:cs="Times New Roman"/>
          <w:sz w:val="24"/>
          <w:szCs w:val="24"/>
        </w:rPr>
        <w:t xml:space="preserve">w celu popularyzacji roli sektora </w:t>
      </w:r>
      <w:r w:rsidR="00634571" w:rsidRPr="006326CD">
        <w:rPr>
          <w:rFonts w:ascii="Times New Roman" w:hAnsi="Times New Roman" w:cs="Times New Roman"/>
          <w:sz w:val="24"/>
          <w:szCs w:val="24"/>
        </w:rPr>
        <w:t>organizacji pozarządowych dla budowy społeczeństwa obywatelskiego.</w:t>
      </w:r>
      <w:r w:rsidR="001E3223" w:rsidRPr="006326CD">
        <w:rPr>
          <w:rFonts w:ascii="Times New Roman" w:hAnsi="Times New Roman" w:cs="Times New Roman"/>
          <w:sz w:val="24"/>
          <w:szCs w:val="24"/>
        </w:rPr>
        <w:t xml:space="preserve"> W projekcie zakłada się również likwidacj</w:t>
      </w:r>
      <w:r w:rsidR="006326CD" w:rsidRPr="006326CD">
        <w:rPr>
          <w:rFonts w:ascii="Times New Roman" w:hAnsi="Times New Roman" w:cs="Times New Roman"/>
          <w:sz w:val="24"/>
          <w:szCs w:val="24"/>
        </w:rPr>
        <w:t>ę Funduszu Wspierania Organizacji Pożytku Publicznego z jednoczesnym przesunięciem środków tego Funduszu na rachunek Funduszu Wspierania Rozwoju Społeczeństwa Obywatelskiego utworzonego na podstawie ustawy z dnia 19 listopada 2009 r. o grach hazardowych</w:t>
      </w:r>
      <w:r w:rsidR="006326CD">
        <w:rPr>
          <w:rFonts w:ascii="Times New Roman" w:hAnsi="Times New Roman" w:cs="Times New Roman"/>
          <w:sz w:val="24"/>
          <w:szCs w:val="24"/>
        </w:rPr>
        <w:t xml:space="preserve"> (Dz. U. z</w:t>
      </w:r>
      <w:r w:rsidR="00575E7D">
        <w:rPr>
          <w:rFonts w:ascii="Times New Roman" w:hAnsi="Times New Roman" w:cs="Times New Roman"/>
          <w:sz w:val="24"/>
          <w:szCs w:val="24"/>
        </w:rPr>
        <w:t> </w:t>
      </w:r>
      <w:r w:rsidR="006326CD">
        <w:rPr>
          <w:rFonts w:ascii="Times New Roman" w:hAnsi="Times New Roman" w:cs="Times New Roman"/>
          <w:sz w:val="24"/>
          <w:szCs w:val="24"/>
        </w:rPr>
        <w:t>2025 r. poz. 595)</w:t>
      </w:r>
      <w:r w:rsidR="006326CD" w:rsidRPr="006326CD">
        <w:rPr>
          <w:rFonts w:ascii="Times New Roman" w:hAnsi="Times New Roman" w:cs="Times New Roman"/>
          <w:sz w:val="24"/>
          <w:szCs w:val="24"/>
        </w:rPr>
        <w:t xml:space="preserve">, którego dysponentem jest Przewodniczący Komitetu do spraw Pożytku Publicznego. </w:t>
      </w:r>
    </w:p>
    <w:p w14:paraId="0DC3FBD8" w14:textId="77777777" w:rsidR="006326CD" w:rsidRPr="00141CA1" w:rsidRDefault="006326CD" w:rsidP="00C436F8">
      <w:pPr>
        <w:jc w:val="both"/>
        <w:rPr>
          <w:rFonts w:ascii="Times New Roman" w:hAnsi="Times New Roman" w:cs="Times New Roman"/>
          <w:sz w:val="24"/>
          <w:szCs w:val="24"/>
        </w:rPr>
      </w:pPr>
    </w:p>
    <w:p w14:paraId="76E6E2DB" w14:textId="48471D80" w:rsidR="00DA681E" w:rsidRPr="00141CA1" w:rsidRDefault="00DA681E" w:rsidP="00100661">
      <w:pPr>
        <w:jc w:val="both"/>
        <w:rPr>
          <w:rFonts w:ascii="Times New Roman" w:hAnsi="Times New Roman" w:cs="Times New Roman"/>
          <w:b/>
          <w:sz w:val="24"/>
          <w:szCs w:val="24"/>
        </w:rPr>
      </w:pPr>
      <w:r w:rsidRPr="00141CA1">
        <w:rPr>
          <w:rFonts w:ascii="Times New Roman" w:hAnsi="Times New Roman" w:cs="Times New Roman"/>
          <w:b/>
          <w:sz w:val="24"/>
          <w:szCs w:val="24"/>
        </w:rPr>
        <w:t>2. Opis najważniejszych rozwiązań projektu ustawy</w:t>
      </w:r>
    </w:p>
    <w:p w14:paraId="3002AFC3" w14:textId="45B9FBDD" w:rsidR="000037E2" w:rsidRPr="000037E2" w:rsidRDefault="00663B7A" w:rsidP="00E61D31">
      <w:pPr>
        <w:jc w:val="both"/>
        <w:rPr>
          <w:rFonts w:ascii="Times New Roman" w:hAnsi="Times New Roman" w:cs="Times New Roman"/>
          <w:sz w:val="24"/>
          <w:szCs w:val="24"/>
        </w:rPr>
      </w:pPr>
      <w:r w:rsidRPr="00141CA1">
        <w:rPr>
          <w:rFonts w:ascii="Times New Roman" w:hAnsi="Times New Roman" w:cs="Times New Roman"/>
          <w:sz w:val="24"/>
          <w:szCs w:val="24"/>
        </w:rPr>
        <w:t>W</w:t>
      </w:r>
      <w:r w:rsidR="00C436F8" w:rsidRPr="00141CA1">
        <w:rPr>
          <w:rFonts w:ascii="Times New Roman" w:hAnsi="Times New Roman" w:cs="Times New Roman"/>
          <w:sz w:val="24"/>
          <w:szCs w:val="24"/>
        </w:rPr>
        <w:t xml:space="preserve"> zakresie zlecania realizacji zadań publicznych</w:t>
      </w:r>
      <w:r w:rsidRPr="00141CA1">
        <w:rPr>
          <w:rFonts w:ascii="Times New Roman" w:hAnsi="Times New Roman" w:cs="Times New Roman"/>
          <w:sz w:val="24"/>
          <w:szCs w:val="24"/>
        </w:rPr>
        <w:t xml:space="preserve"> </w:t>
      </w:r>
      <w:r w:rsidR="00A067E9" w:rsidRPr="00141CA1">
        <w:rPr>
          <w:rFonts w:ascii="Times New Roman" w:hAnsi="Times New Roman" w:cs="Times New Roman"/>
          <w:sz w:val="24"/>
          <w:szCs w:val="24"/>
        </w:rPr>
        <w:t xml:space="preserve">organizacjom pozarządowym </w:t>
      </w:r>
      <w:r w:rsidR="008D2C20" w:rsidRPr="00141CA1">
        <w:rPr>
          <w:rFonts w:ascii="Times New Roman" w:hAnsi="Times New Roman" w:cs="Times New Roman"/>
          <w:sz w:val="24"/>
          <w:szCs w:val="24"/>
        </w:rPr>
        <w:t xml:space="preserve">projekt przewiduje </w:t>
      </w:r>
      <w:r w:rsidR="00F11750" w:rsidRPr="00141CA1">
        <w:rPr>
          <w:rFonts w:ascii="Times New Roman" w:hAnsi="Times New Roman" w:cs="Times New Roman"/>
          <w:sz w:val="24"/>
          <w:szCs w:val="24"/>
        </w:rPr>
        <w:t>modyfikację</w:t>
      </w:r>
      <w:r w:rsidR="00A067E9" w:rsidRPr="00141CA1">
        <w:rPr>
          <w:rFonts w:ascii="Times New Roman" w:hAnsi="Times New Roman" w:cs="Times New Roman"/>
          <w:sz w:val="24"/>
          <w:szCs w:val="24"/>
        </w:rPr>
        <w:t xml:space="preserve"> ustawowej formy wspierania wykonywania zadań publicznych </w:t>
      </w:r>
      <w:r w:rsidR="00AB2DB9" w:rsidRPr="00141CA1">
        <w:rPr>
          <w:rFonts w:ascii="Times New Roman" w:hAnsi="Times New Roman" w:cs="Times New Roman"/>
          <w:sz w:val="24"/>
          <w:szCs w:val="24"/>
        </w:rPr>
        <w:t>przez</w:t>
      </w:r>
      <w:r w:rsidR="00F74163">
        <w:rPr>
          <w:rFonts w:ascii="Times New Roman" w:hAnsi="Times New Roman" w:cs="Times New Roman"/>
          <w:sz w:val="24"/>
          <w:szCs w:val="24"/>
        </w:rPr>
        <w:t> </w:t>
      </w:r>
      <w:r w:rsidR="00AB2DB9" w:rsidRPr="00141CA1">
        <w:rPr>
          <w:rFonts w:ascii="Times New Roman" w:hAnsi="Times New Roman" w:cs="Times New Roman"/>
          <w:sz w:val="24"/>
          <w:szCs w:val="24"/>
        </w:rPr>
        <w:t xml:space="preserve">udzielenie dotacji na </w:t>
      </w:r>
      <w:r w:rsidR="00A067E9" w:rsidRPr="00141CA1">
        <w:rPr>
          <w:rFonts w:ascii="Times New Roman" w:hAnsi="Times New Roman" w:cs="Times New Roman"/>
          <w:sz w:val="24"/>
          <w:szCs w:val="24"/>
        </w:rPr>
        <w:t>dofinansowanie ich realizacji</w:t>
      </w:r>
      <w:r w:rsidR="00AB2DB9" w:rsidRPr="00141CA1">
        <w:rPr>
          <w:rFonts w:ascii="Times New Roman" w:hAnsi="Times New Roman" w:cs="Times New Roman"/>
          <w:sz w:val="24"/>
          <w:szCs w:val="24"/>
        </w:rPr>
        <w:t xml:space="preserve"> (art. 5 ust.</w:t>
      </w:r>
      <w:r w:rsidR="008D2C20" w:rsidRPr="00141CA1">
        <w:rPr>
          <w:rFonts w:ascii="Times New Roman" w:hAnsi="Times New Roman" w:cs="Times New Roman"/>
          <w:sz w:val="24"/>
          <w:szCs w:val="24"/>
        </w:rPr>
        <w:t xml:space="preserve"> 4</w:t>
      </w:r>
      <w:r w:rsidR="00AB2DB9" w:rsidRPr="00141CA1">
        <w:rPr>
          <w:rFonts w:ascii="Times New Roman" w:hAnsi="Times New Roman" w:cs="Times New Roman"/>
          <w:sz w:val="24"/>
          <w:szCs w:val="24"/>
        </w:rPr>
        <w:t>). Powyższa forma zlecania zadań publicznych org</w:t>
      </w:r>
      <w:r w:rsidR="00100661" w:rsidRPr="00141CA1">
        <w:rPr>
          <w:rFonts w:ascii="Times New Roman" w:hAnsi="Times New Roman" w:cs="Times New Roman"/>
          <w:sz w:val="24"/>
          <w:szCs w:val="24"/>
        </w:rPr>
        <w:t xml:space="preserve">anizacjom pozarządowym skutkuje koniecznością zapewnienia przez te organizacje </w:t>
      </w:r>
      <w:r w:rsidR="00BB4991" w:rsidRPr="00141CA1">
        <w:rPr>
          <w:rFonts w:ascii="Times New Roman" w:hAnsi="Times New Roman" w:cs="Times New Roman"/>
          <w:sz w:val="24"/>
          <w:szCs w:val="24"/>
        </w:rPr>
        <w:t xml:space="preserve">nie tylko odpowiednich </w:t>
      </w:r>
      <w:r w:rsidR="00E12D03" w:rsidRPr="00E12D03">
        <w:rPr>
          <w:rFonts w:ascii="Times New Roman" w:hAnsi="Times New Roman" w:cs="Times New Roman"/>
          <w:sz w:val="24"/>
          <w:szCs w:val="24"/>
        </w:rPr>
        <w:t>wkładów rzeczowych i osobowych</w:t>
      </w:r>
      <w:r w:rsidR="00C10C72">
        <w:rPr>
          <w:rFonts w:ascii="Times New Roman" w:hAnsi="Times New Roman" w:cs="Times New Roman"/>
          <w:sz w:val="24"/>
          <w:szCs w:val="24"/>
        </w:rPr>
        <w:t xml:space="preserve">, </w:t>
      </w:r>
      <w:r w:rsidR="00BB4991" w:rsidRPr="00141CA1">
        <w:rPr>
          <w:rFonts w:ascii="Times New Roman" w:hAnsi="Times New Roman" w:cs="Times New Roman"/>
          <w:sz w:val="24"/>
          <w:szCs w:val="24"/>
        </w:rPr>
        <w:t xml:space="preserve">ale również środków finansowych na realizację danego zadania </w:t>
      </w:r>
      <w:r w:rsidR="00100661" w:rsidRPr="00141CA1">
        <w:rPr>
          <w:rFonts w:ascii="Times New Roman" w:hAnsi="Times New Roman" w:cs="Times New Roman"/>
          <w:sz w:val="24"/>
          <w:szCs w:val="24"/>
        </w:rPr>
        <w:t>(tzw. wkład własny).</w:t>
      </w:r>
      <w:r w:rsidR="001E57E3" w:rsidRPr="00141CA1">
        <w:rPr>
          <w:rFonts w:ascii="Times New Roman" w:hAnsi="Times New Roman" w:cs="Times New Roman"/>
          <w:sz w:val="24"/>
          <w:szCs w:val="24"/>
        </w:rPr>
        <w:t xml:space="preserve"> </w:t>
      </w:r>
      <w:r w:rsidR="00BB4991" w:rsidRPr="00141CA1">
        <w:rPr>
          <w:rFonts w:ascii="Times New Roman" w:hAnsi="Times New Roman" w:cs="Times New Roman"/>
          <w:sz w:val="24"/>
          <w:szCs w:val="24"/>
        </w:rPr>
        <w:t xml:space="preserve">Stanowi to </w:t>
      </w:r>
      <w:r w:rsidR="002B53B4" w:rsidRPr="00141CA1">
        <w:rPr>
          <w:rFonts w:ascii="Times New Roman" w:hAnsi="Times New Roman" w:cs="Times New Roman"/>
          <w:sz w:val="24"/>
          <w:szCs w:val="24"/>
        </w:rPr>
        <w:t xml:space="preserve">w praktyce istotne ograniczenie </w:t>
      </w:r>
      <w:r w:rsidR="00BB4991" w:rsidRPr="00141CA1">
        <w:rPr>
          <w:rFonts w:ascii="Times New Roman" w:hAnsi="Times New Roman" w:cs="Times New Roman"/>
          <w:sz w:val="24"/>
          <w:szCs w:val="24"/>
        </w:rPr>
        <w:t xml:space="preserve"> </w:t>
      </w:r>
      <w:r w:rsidR="007B2CAD" w:rsidRPr="00141CA1">
        <w:rPr>
          <w:rFonts w:ascii="Times New Roman" w:hAnsi="Times New Roman" w:cs="Times New Roman"/>
          <w:sz w:val="24"/>
          <w:szCs w:val="24"/>
        </w:rPr>
        <w:t>przysługującego ogółowi podmiotów, w tym organizacjom pozarządowym</w:t>
      </w:r>
      <w:r w:rsidR="0012780D">
        <w:rPr>
          <w:rFonts w:ascii="Times New Roman" w:hAnsi="Times New Roman" w:cs="Times New Roman"/>
          <w:sz w:val="24"/>
          <w:szCs w:val="24"/>
        </w:rPr>
        <w:t>,</w:t>
      </w:r>
      <w:r w:rsidR="007B2CAD" w:rsidRPr="00141CA1">
        <w:rPr>
          <w:rFonts w:ascii="Times New Roman" w:hAnsi="Times New Roman" w:cs="Times New Roman"/>
          <w:sz w:val="24"/>
          <w:szCs w:val="24"/>
        </w:rPr>
        <w:t xml:space="preserve"> p</w:t>
      </w:r>
      <w:r w:rsidR="002B53B4" w:rsidRPr="00141CA1">
        <w:rPr>
          <w:rFonts w:ascii="Times New Roman" w:hAnsi="Times New Roman" w:cs="Times New Roman"/>
          <w:sz w:val="24"/>
          <w:szCs w:val="24"/>
        </w:rPr>
        <w:t>raw</w:t>
      </w:r>
      <w:r w:rsidR="007B2CAD" w:rsidRPr="00141CA1">
        <w:rPr>
          <w:rFonts w:ascii="Times New Roman" w:hAnsi="Times New Roman" w:cs="Times New Roman"/>
          <w:sz w:val="24"/>
          <w:szCs w:val="24"/>
        </w:rPr>
        <w:t>a</w:t>
      </w:r>
      <w:r w:rsidR="002B53B4" w:rsidRPr="00141CA1">
        <w:rPr>
          <w:rFonts w:ascii="Times New Roman" w:hAnsi="Times New Roman" w:cs="Times New Roman"/>
          <w:sz w:val="24"/>
          <w:szCs w:val="24"/>
        </w:rPr>
        <w:t xml:space="preserve"> realizacji zadań finansowanych ze środków publicznych</w:t>
      </w:r>
      <w:r w:rsidR="007B2CAD" w:rsidRPr="00141CA1">
        <w:rPr>
          <w:rStyle w:val="Odwoanieprzypisudolnego"/>
          <w:rFonts w:ascii="Times New Roman" w:hAnsi="Times New Roman" w:cs="Times New Roman"/>
          <w:sz w:val="24"/>
          <w:szCs w:val="24"/>
        </w:rPr>
        <w:footnoteReference w:id="3"/>
      </w:r>
      <w:r w:rsidR="0012780D">
        <w:rPr>
          <w:rFonts w:ascii="Times New Roman" w:hAnsi="Times New Roman" w:cs="Times New Roman"/>
          <w:sz w:val="24"/>
          <w:szCs w:val="24"/>
        </w:rPr>
        <w:t>,</w:t>
      </w:r>
      <w:r w:rsidR="007B2CAD" w:rsidRPr="00141CA1">
        <w:rPr>
          <w:rFonts w:ascii="Times New Roman" w:hAnsi="Times New Roman" w:cs="Times New Roman"/>
          <w:sz w:val="24"/>
          <w:szCs w:val="24"/>
        </w:rPr>
        <w:t xml:space="preserve"> zwłaszcza</w:t>
      </w:r>
      <w:r w:rsidR="002B53B4" w:rsidRPr="00141CA1">
        <w:rPr>
          <w:rFonts w:ascii="Times New Roman" w:hAnsi="Times New Roman" w:cs="Times New Roman"/>
          <w:sz w:val="24"/>
          <w:szCs w:val="24"/>
        </w:rPr>
        <w:t xml:space="preserve"> </w:t>
      </w:r>
      <w:r w:rsidR="00BB4991" w:rsidRPr="00141CA1">
        <w:rPr>
          <w:rFonts w:ascii="Times New Roman" w:hAnsi="Times New Roman" w:cs="Times New Roman"/>
          <w:sz w:val="24"/>
          <w:szCs w:val="24"/>
        </w:rPr>
        <w:t>dla</w:t>
      </w:r>
      <w:r w:rsidR="00F74163">
        <w:rPr>
          <w:rFonts w:ascii="Times New Roman" w:hAnsi="Times New Roman" w:cs="Times New Roman"/>
          <w:sz w:val="24"/>
          <w:szCs w:val="24"/>
        </w:rPr>
        <w:t> </w:t>
      </w:r>
      <w:r w:rsidR="00BB4991" w:rsidRPr="00141CA1">
        <w:rPr>
          <w:rFonts w:ascii="Times New Roman" w:hAnsi="Times New Roman" w:cs="Times New Roman"/>
          <w:sz w:val="24"/>
          <w:szCs w:val="24"/>
        </w:rPr>
        <w:t>mniejszych organizacji pozarządowych o lokalnym lub co najwyżej ponadlokalnym zasięgu działania</w:t>
      </w:r>
      <w:r w:rsidR="007B2CAD" w:rsidRPr="00141CA1">
        <w:rPr>
          <w:rFonts w:ascii="Times New Roman" w:hAnsi="Times New Roman" w:cs="Times New Roman"/>
          <w:sz w:val="24"/>
          <w:szCs w:val="24"/>
        </w:rPr>
        <w:t>. Podmioty te</w:t>
      </w:r>
      <w:r w:rsidR="00BB4991" w:rsidRPr="00141CA1">
        <w:rPr>
          <w:rFonts w:ascii="Times New Roman" w:hAnsi="Times New Roman" w:cs="Times New Roman"/>
          <w:sz w:val="24"/>
          <w:szCs w:val="24"/>
        </w:rPr>
        <w:t xml:space="preserve"> </w:t>
      </w:r>
      <w:r w:rsidR="007B2CAD" w:rsidRPr="00141CA1">
        <w:rPr>
          <w:rFonts w:ascii="Times New Roman" w:hAnsi="Times New Roman" w:cs="Times New Roman"/>
          <w:sz w:val="24"/>
          <w:szCs w:val="24"/>
        </w:rPr>
        <w:t xml:space="preserve">nierzadko </w:t>
      </w:r>
      <w:r w:rsidR="00BB4991" w:rsidRPr="00141CA1">
        <w:rPr>
          <w:rFonts w:ascii="Times New Roman" w:hAnsi="Times New Roman" w:cs="Times New Roman"/>
          <w:sz w:val="24"/>
          <w:szCs w:val="24"/>
        </w:rPr>
        <w:t xml:space="preserve">mają trudności z zapewnieniem </w:t>
      </w:r>
      <w:r w:rsidR="007B2CAD" w:rsidRPr="00141CA1">
        <w:rPr>
          <w:rFonts w:ascii="Times New Roman" w:hAnsi="Times New Roman" w:cs="Times New Roman"/>
          <w:sz w:val="24"/>
          <w:szCs w:val="24"/>
        </w:rPr>
        <w:t>przede wszystkim</w:t>
      </w:r>
      <w:r w:rsidR="00BB4991" w:rsidRPr="00141CA1">
        <w:rPr>
          <w:rFonts w:ascii="Times New Roman" w:hAnsi="Times New Roman" w:cs="Times New Roman"/>
          <w:sz w:val="24"/>
          <w:szCs w:val="24"/>
        </w:rPr>
        <w:t xml:space="preserve"> finansowych środków własnych (tzw. wkładów finansowych) w postepowaniach konkursowych prowadzonych na szczeblu jednostek samorządu terytorialnego</w:t>
      </w:r>
      <w:r w:rsidR="00003954" w:rsidRPr="00141CA1">
        <w:rPr>
          <w:rFonts w:ascii="Times New Roman" w:hAnsi="Times New Roman" w:cs="Times New Roman"/>
          <w:sz w:val="24"/>
          <w:szCs w:val="24"/>
        </w:rPr>
        <w:t xml:space="preserve"> (szersza informacja o sytuacji finansowej sektora non-profit poniżej)</w:t>
      </w:r>
      <w:r w:rsidR="00BB4991" w:rsidRPr="00141CA1">
        <w:rPr>
          <w:rFonts w:ascii="Times New Roman" w:hAnsi="Times New Roman" w:cs="Times New Roman"/>
          <w:sz w:val="24"/>
          <w:szCs w:val="24"/>
        </w:rPr>
        <w:t xml:space="preserve">. Proponowana zmiana </w:t>
      </w:r>
      <w:r w:rsidR="00787D9C" w:rsidRPr="00141CA1">
        <w:rPr>
          <w:rFonts w:ascii="Times New Roman" w:hAnsi="Times New Roman" w:cs="Times New Roman"/>
          <w:sz w:val="24"/>
          <w:szCs w:val="24"/>
        </w:rPr>
        <w:t>zakłada przy zlecaniu przez jednostki samorządu terytorialnego zadań publicznych</w:t>
      </w:r>
      <w:r w:rsidR="007B2CAD" w:rsidRPr="00141CA1">
        <w:rPr>
          <w:rFonts w:ascii="Times New Roman" w:hAnsi="Times New Roman" w:cs="Times New Roman"/>
          <w:sz w:val="24"/>
          <w:szCs w:val="24"/>
        </w:rPr>
        <w:t>,</w:t>
      </w:r>
      <w:r w:rsidR="00787D9C" w:rsidRPr="00141CA1">
        <w:rPr>
          <w:rFonts w:ascii="Times New Roman" w:hAnsi="Times New Roman" w:cs="Times New Roman"/>
          <w:sz w:val="24"/>
          <w:szCs w:val="24"/>
        </w:rPr>
        <w:t xml:space="preserve"> w rozumieniu art.</w:t>
      </w:r>
      <w:r w:rsidR="00F74163">
        <w:rPr>
          <w:rFonts w:ascii="Times New Roman" w:hAnsi="Times New Roman" w:cs="Times New Roman"/>
          <w:sz w:val="24"/>
          <w:szCs w:val="24"/>
        </w:rPr>
        <w:t> </w:t>
      </w:r>
      <w:r w:rsidR="00787D9C" w:rsidRPr="00141CA1">
        <w:rPr>
          <w:rFonts w:ascii="Times New Roman" w:hAnsi="Times New Roman" w:cs="Times New Roman"/>
          <w:sz w:val="24"/>
          <w:szCs w:val="24"/>
        </w:rPr>
        <w:t>221 ustawy z dnia 27 sierpnia 2009 r.</w:t>
      </w:r>
      <w:r w:rsidR="007874FB" w:rsidRPr="00141CA1">
        <w:rPr>
          <w:rFonts w:ascii="Times New Roman" w:hAnsi="Times New Roman" w:cs="Times New Roman"/>
          <w:sz w:val="24"/>
          <w:szCs w:val="24"/>
        </w:rPr>
        <w:t xml:space="preserve"> </w:t>
      </w:r>
      <w:r w:rsidR="00787D9C" w:rsidRPr="00141CA1">
        <w:rPr>
          <w:rFonts w:ascii="Times New Roman" w:hAnsi="Times New Roman" w:cs="Times New Roman"/>
          <w:sz w:val="24"/>
          <w:szCs w:val="24"/>
        </w:rPr>
        <w:t>o finansach publicznych</w:t>
      </w:r>
      <w:r w:rsidR="007874FB" w:rsidRPr="00141CA1">
        <w:rPr>
          <w:rFonts w:ascii="Times New Roman" w:hAnsi="Times New Roman" w:cs="Times New Roman"/>
          <w:sz w:val="24"/>
          <w:szCs w:val="24"/>
        </w:rPr>
        <w:t xml:space="preserve"> </w:t>
      </w:r>
      <w:r w:rsidR="0012780D">
        <w:rPr>
          <w:rFonts w:ascii="Times New Roman" w:hAnsi="Times New Roman" w:cs="Times New Roman"/>
          <w:sz w:val="24"/>
          <w:szCs w:val="24"/>
        </w:rPr>
        <w:t>(</w:t>
      </w:r>
      <w:r w:rsidR="007874FB" w:rsidRPr="00141CA1">
        <w:rPr>
          <w:rFonts w:ascii="Times New Roman" w:hAnsi="Times New Roman" w:cs="Times New Roman"/>
          <w:sz w:val="24"/>
          <w:szCs w:val="24"/>
        </w:rPr>
        <w:t>Dz.</w:t>
      </w:r>
      <w:r w:rsidR="00C118F6" w:rsidRPr="00141CA1">
        <w:rPr>
          <w:rFonts w:ascii="Times New Roman" w:hAnsi="Times New Roman" w:cs="Times New Roman"/>
          <w:sz w:val="24"/>
          <w:szCs w:val="24"/>
        </w:rPr>
        <w:t xml:space="preserve"> </w:t>
      </w:r>
      <w:r w:rsidR="007874FB" w:rsidRPr="00141CA1">
        <w:rPr>
          <w:rFonts w:ascii="Times New Roman" w:hAnsi="Times New Roman" w:cs="Times New Roman"/>
          <w:sz w:val="24"/>
          <w:szCs w:val="24"/>
        </w:rPr>
        <w:t>U. z 2024 r. poz. 1530</w:t>
      </w:r>
      <w:r w:rsidR="00C118F6" w:rsidRPr="00141CA1">
        <w:rPr>
          <w:rFonts w:ascii="Times New Roman" w:hAnsi="Times New Roman" w:cs="Times New Roman"/>
          <w:sz w:val="24"/>
          <w:szCs w:val="24"/>
        </w:rPr>
        <w:t xml:space="preserve">, z późn. </w:t>
      </w:r>
      <w:r w:rsidR="007874FB" w:rsidRPr="00141CA1">
        <w:rPr>
          <w:rFonts w:ascii="Times New Roman" w:hAnsi="Times New Roman" w:cs="Times New Roman"/>
          <w:sz w:val="24"/>
          <w:szCs w:val="24"/>
        </w:rPr>
        <w:t>zm.)</w:t>
      </w:r>
      <w:r w:rsidR="007B2CAD" w:rsidRPr="00141CA1">
        <w:rPr>
          <w:rFonts w:ascii="Times New Roman" w:hAnsi="Times New Roman" w:cs="Times New Roman"/>
          <w:sz w:val="24"/>
          <w:szCs w:val="24"/>
        </w:rPr>
        <w:t>,</w:t>
      </w:r>
      <w:r w:rsidR="00787D9C" w:rsidRPr="00141CA1">
        <w:rPr>
          <w:rFonts w:ascii="Times New Roman" w:hAnsi="Times New Roman" w:cs="Times New Roman"/>
          <w:sz w:val="24"/>
          <w:szCs w:val="24"/>
        </w:rPr>
        <w:t xml:space="preserve"> w formie wspierania </w:t>
      </w:r>
      <w:r w:rsidR="0050267B" w:rsidRPr="00141CA1">
        <w:rPr>
          <w:rFonts w:ascii="Times New Roman" w:hAnsi="Times New Roman" w:cs="Times New Roman"/>
          <w:sz w:val="24"/>
          <w:szCs w:val="24"/>
        </w:rPr>
        <w:t>ich realizacji</w:t>
      </w:r>
      <w:r w:rsidR="00787D9C" w:rsidRPr="00141CA1">
        <w:rPr>
          <w:rFonts w:ascii="Times New Roman" w:hAnsi="Times New Roman" w:cs="Times New Roman"/>
          <w:sz w:val="24"/>
          <w:szCs w:val="24"/>
        </w:rPr>
        <w:t xml:space="preserve">, wraz z udzieleniem dotacji na </w:t>
      </w:r>
      <w:r w:rsidR="008779C3">
        <w:rPr>
          <w:rFonts w:ascii="Times New Roman" w:hAnsi="Times New Roman" w:cs="Times New Roman"/>
          <w:sz w:val="24"/>
          <w:szCs w:val="24"/>
        </w:rPr>
        <w:t xml:space="preserve">finansowanie lub </w:t>
      </w:r>
      <w:r w:rsidR="00787D9C" w:rsidRPr="00141CA1">
        <w:rPr>
          <w:rFonts w:ascii="Times New Roman" w:hAnsi="Times New Roman" w:cs="Times New Roman"/>
          <w:sz w:val="24"/>
          <w:szCs w:val="24"/>
        </w:rPr>
        <w:t>dofinansowanie</w:t>
      </w:r>
      <w:r w:rsidR="007B2CAD" w:rsidRPr="00141CA1">
        <w:rPr>
          <w:rFonts w:ascii="Times New Roman" w:hAnsi="Times New Roman" w:cs="Times New Roman"/>
          <w:sz w:val="24"/>
          <w:szCs w:val="24"/>
        </w:rPr>
        <w:t>,</w:t>
      </w:r>
      <w:r w:rsidR="00787D9C" w:rsidRPr="00141CA1">
        <w:rPr>
          <w:rFonts w:ascii="Times New Roman" w:hAnsi="Times New Roman" w:cs="Times New Roman"/>
          <w:sz w:val="24"/>
          <w:szCs w:val="24"/>
        </w:rPr>
        <w:t xml:space="preserve"> </w:t>
      </w:r>
      <w:r w:rsidR="00E61D31" w:rsidRPr="00141CA1">
        <w:rPr>
          <w:rFonts w:ascii="Times New Roman" w:hAnsi="Times New Roman" w:cs="Times New Roman"/>
          <w:sz w:val="24"/>
          <w:szCs w:val="24"/>
        </w:rPr>
        <w:t>możliwość</w:t>
      </w:r>
      <w:r w:rsidR="00787D9C" w:rsidRPr="00141CA1">
        <w:rPr>
          <w:rFonts w:ascii="Times New Roman" w:hAnsi="Times New Roman" w:cs="Times New Roman"/>
          <w:sz w:val="24"/>
          <w:szCs w:val="24"/>
        </w:rPr>
        <w:t xml:space="preserve"> zapewnienia przez organizacje pozarządowe wyłącznie </w:t>
      </w:r>
      <w:r w:rsidR="00C43744" w:rsidRPr="00141CA1">
        <w:rPr>
          <w:rFonts w:ascii="Times New Roman" w:hAnsi="Times New Roman" w:cs="Times New Roman"/>
          <w:sz w:val="24"/>
          <w:szCs w:val="24"/>
        </w:rPr>
        <w:t>wkładu</w:t>
      </w:r>
      <w:r w:rsidR="0050267B" w:rsidRPr="00141CA1">
        <w:rPr>
          <w:rFonts w:ascii="Times New Roman" w:hAnsi="Times New Roman" w:cs="Times New Roman"/>
          <w:sz w:val="24"/>
          <w:szCs w:val="24"/>
        </w:rPr>
        <w:t xml:space="preserve"> </w:t>
      </w:r>
      <w:r w:rsidR="00E61D31" w:rsidRPr="00141CA1">
        <w:rPr>
          <w:rFonts w:ascii="Times New Roman" w:hAnsi="Times New Roman" w:cs="Times New Roman"/>
          <w:sz w:val="24"/>
          <w:szCs w:val="24"/>
        </w:rPr>
        <w:t xml:space="preserve">osobowego (świadczenia wolontariuszy i praca społeczna członków) oraz </w:t>
      </w:r>
      <w:r w:rsidR="0050267B" w:rsidRPr="00141CA1">
        <w:rPr>
          <w:rFonts w:ascii="Times New Roman" w:hAnsi="Times New Roman" w:cs="Times New Roman"/>
          <w:sz w:val="24"/>
          <w:szCs w:val="24"/>
        </w:rPr>
        <w:t>rzeczow</w:t>
      </w:r>
      <w:r w:rsidR="00C43744" w:rsidRPr="00141CA1">
        <w:rPr>
          <w:rFonts w:ascii="Times New Roman" w:hAnsi="Times New Roman" w:cs="Times New Roman"/>
          <w:sz w:val="24"/>
          <w:szCs w:val="24"/>
        </w:rPr>
        <w:t>ego</w:t>
      </w:r>
      <w:r w:rsidR="00E61D31" w:rsidRPr="00141CA1">
        <w:rPr>
          <w:rFonts w:ascii="Times New Roman" w:hAnsi="Times New Roman" w:cs="Times New Roman"/>
          <w:sz w:val="24"/>
          <w:szCs w:val="24"/>
        </w:rPr>
        <w:t xml:space="preserve"> (tzw. </w:t>
      </w:r>
      <w:r w:rsidR="00E61D31" w:rsidRPr="00141CA1">
        <w:rPr>
          <w:rFonts w:ascii="Times New Roman" w:hAnsi="Times New Roman" w:cs="Times New Roman"/>
          <w:sz w:val="24"/>
          <w:szCs w:val="24"/>
        </w:rPr>
        <w:lastRenderedPageBreak/>
        <w:t>wkład niefinansowy)</w:t>
      </w:r>
      <w:r w:rsidR="0050267B" w:rsidRPr="00141CA1">
        <w:rPr>
          <w:rFonts w:ascii="Times New Roman" w:hAnsi="Times New Roman" w:cs="Times New Roman"/>
          <w:sz w:val="24"/>
          <w:szCs w:val="24"/>
        </w:rPr>
        <w:t xml:space="preserve"> </w:t>
      </w:r>
      <w:r w:rsidR="007B2CAD" w:rsidRPr="00141CA1">
        <w:rPr>
          <w:rFonts w:ascii="Times New Roman" w:hAnsi="Times New Roman" w:cs="Times New Roman"/>
          <w:sz w:val="24"/>
          <w:szCs w:val="24"/>
        </w:rPr>
        <w:t>gwarantujących prawidłowe</w:t>
      </w:r>
      <w:r w:rsidR="0050267B" w:rsidRPr="00141CA1">
        <w:rPr>
          <w:rFonts w:ascii="Times New Roman" w:hAnsi="Times New Roman" w:cs="Times New Roman"/>
          <w:sz w:val="24"/>
          <w:szCs w:val="24"/>
        </w:rPr>
        <w:t xml:space="preserve"> wykonanie zadania publicznego</w:t>
      </w:r>
      <w:r w:rsidR="00787D9C" w:rsidRPr="00141CA1">
        <w:rPr>
          <w:rFonts w:ascii="Times New Roman" w:hAnsi="Times New Roman" w:cs="Times New Roman"/>
          <w:sz w:val="24"/>
          <w:szCs w:val="24"/>
        </w:rPr>
        <w:t xml:space="preserve"> </w:t>
      </w:r>
      <w:r w:rsidR="00E61D31" w:rsidRPr="00141CA1">
        <w:rPr>
          <w:rFonts w:ascii="Times New Roman" w:hAnsi="Times New Roman" w:cs="Times New Roman"/>
          <w:sz w:val="24"/>
          <w:szCs w:val="24"/>
        </w:rPr>
        <w:t>(art. 5 ust.</w:t>
      </w:r>
      <w:r w:rsidR="00F74163">
        <w:rPr>
          <w:rFonts w:ascii="Times New Roman" w:hAnsi="Times New Roman" w:cs="Times New Roman"/>
          <w:sz w:val="24"/>
          <w:szCs w:val="24"/>
        </w:rPr>
        <w:t> </w:t>
      </w:r>
      <w:r w:rsidR="00E61D31" w:rsidRPr="00141CA1">
        <w:rPr>
          <w:rFonts w:ascii="Times New Roman" w:hAnsi="Times New Roman" w:cs="Times New Roman"/>
          <w:sz w:val="24"/>
          <w:szCs w:val="24"/>
        </w:rPr>
        <w:t>4a  udppw</w:t>
      </w:r>
      <w:r w:rsidR="0050267B" w:rsidRPr="00141CA1">
        <w:rPr>
          <w:rFonts w:ascii="Times New Roman" w:hAnsi="Times New Roman" w:cs="Times New Roman"/>
          <w:sz w:val="24"/>
          <w:szCs w:val="24"/>
        </w:rPr>
        <w:t xml:space="preserve">). </w:t>
      </w:r>
      <w:r w:rsidR="00635D2A" w:rsidRPr="00141CA1">
        <w:rPr>
          <w:rFonts w:ascii="Times New Roman" w:hAnsi="Times New Roman" w:cs="Times New Roman"/>
          <w:sz w:val="24"/>
          <w:szCs w:val="24"/>
        </w:rPr>
        <w:t>Jednocześnie wyraźnie stwierdzono, że dopuszczalne jest zapewnienie przez</w:t>
      </w:r>
      <w:r w:rsidR="00F74163">
        <w:rPr>
          <w:rFonts w:ascii="Times New Roman" w:hAnsi="Times New Roman" w:cs="Times New Roman"/>
          <w:sz w:val="24"/>
          <w:szCs w:val="24"/>
        </w:rPr>
        <w:t> </w:t>
      </w:r>
      <w:r w:rsidR="00635D2A" w:rsidRPr="00141CA1">
        <w:rPr>
          <w:rFonts w:ascii="Times New Roman" w:hAnsi="Times New Roman" w:cs="Times New Roman"/>
          <w:sz w:val="24"/>
          <w:szCs w:val="24"/>
        </w:rPr>
        <w:t>organizację pozarządową dodatkowych środków finansowych własnych lub środków pochodzących z innych źródeł na realizację zadania publicznego (art. 5 ust. 4b udppw)</w:t>
      </w:r>
      <w:r w:rsidR="00956B12" w:rsidRPr="00141CA1">
        <w:rPr>
          <w:rFonts w:ascii="Times New Roman" w:hAnsi="Times New Roman" w:cs="Times New Roman"/>
          <w:sz w:val="24"/>
          <w:szCs w:val="24"/>
        </w:rPr>
        <w:t xml:space="preserve">. </w:t>
      </w:r>
      <w:r w:rsidR="000037E2">
        <w:rPr>
          <w:rFonts w:ascii="Times New Roman" w:hAnsi="Times New Roman" w:cs="Times New Roman"/>
          <w:sz w:val="24"/>
          <w:szCs w:val="24"/>
        </w:rPr>
        <w:t xml:space="preserve">Projektowany przepis zakłada, że na etapie składania </w:t>
      </w:r>
      <w:r w:rsidR="000037E2" w:rsidRPr="00C37D08">
        <w:rPr>
          <w:rFonts w:ascii="Times New Roman" w:hAnsi="Times New Roman" w:cs="Times New Roman"/>
          <w:sz w:val="24"/>
          <w:szCs w:val="24"/>
        </w:rPr>
        <w:t>ofer</w:t>
      </w:r>
      <w:r w:rsidR="000037E2">
        <w:rPr>
          <w:rFonts w:ascii="Times New Roman" w:hAnsi="Times New Roman" w:cs="Times New Roman"/>
          <w:sz w:val="24"/>
          <w:szCs w:val="24"/>
        </w:rPr>
        <w:t>ty</w:t>
      </w:r>
      <w:r w:rsidR="000037E2" w:rsidRPr="00C37D08">
        <w:rPr>
          <w:rFonts w:ascii="Times New Roman" w:hAnsi="Times New Roman" w:cs="Times New Roman"/>
          <w:sz w:val="24"/>
          <w:szCs w:val="24"/>
        </w:rPr>
        <w:t xml:space="preserve"> realizacji zadania publicznego, organizacja pozarządowa lub podmiot wymieniony w art. 3 ust. 3, może dokonać</w:t>
      </w:r>
      <w:r w:rsidR="000037E2">
        <w:rPr>
          <w:rFonts w:ascii="Times New Roman" w:hAnsi="Times New Roman" w:cs="Times New Roman"/>
          <w:sz w:val="24"/>
          <w:szCs w:val="24"/>
        </w:rPr>
        <w:t xml:space="preserve"> w ofercie</w:t>
      </w:r>
      <w:r w:rsidR="000037E2" w:rsidRPr="00C37D08">
        <w:rPr>
          <w:rFonts w:ascii="Times New Roman" w:hAnsi="Times New Roman" w:cs="Times New Roman"/>
          <w:sz w:val="24"/>
          <w:szCs w:val="24"/>
        </w:rPr>
        <w:t xml:space="preserve"> zastąpienia całości lub części </w:t>
      </w:r>
      <w:r w:rsidR="000037E2">
        <w:rPr>
          <w:rFonts w:ascii="Times New Roman" w:hAnsi="Times New Roman" w:cs="Times New Roman"/>
          <w:sz w:val="24"/>
          <w:szCs w:val="24"/>
        </w:rPr>
        <w:t xml:space="preserve">wymaganych </w:t>
      </w:r>
      <w:r w:rsidR="009D1918" w:rsidRPr="009D1918">
        <w:rPr>
          <w:rFonts w:ascii="Times New Roman" w:hAnsi="Times New Roman" w:cs="Times New Roman"/>
          <w:sz w:val="24"/>
          <w:szCs w:val="24"/>
        </w:rPr>
        <w:t>wkładów rzeczowych i osobowych</w:t>
      </w:r>
      <w:r w:rsidR="000037E2" w:rsidRPr="00C37D08">
        <w:rPr>
          <w:rFonts w:ascii="Times New Roman" w:hAnsi="Times New Roman" w:cs="Times New Roman"/>
          <w:sz w:val="24"/>
          <w:szCs w:val="24"/>
        </w:rPr>
        <w:t>,</w:t>
      </w:r>
      <w:r w:rsidR="000037E2">
        <w:rPr>
          <w:rFonts w:ascii="Times New Roman" w:hAnsi="Times New Roman" w:cs="Times New Roman"/>
          <w:sz w:val="24"/>
          <w:szCs w:val="24"/>
        </w:rPr>
        <w:t xml:space="preserve"> </w:t>
      </w:r>
      <w:r w:rsidR="000037E2" w:rsidRPr="00C37D08">
        <w:rPr>
          <w:rFonts w:ascii="Times New Roman" w:hAnsi="Times New Roman" w:cs="Times New Roman"/>
          <w:sz w:val="24"/>
          <w:szCs w:val="24"/>
        </w:rPr>
        <w:t>środkami finansowymi własnymi lub środkami finansowymi pochodzącymi z innych źródeł</w:t>
      </w:r>
      <w:r w:rsidR="00A124F6">
        <w:rPr>
          <w:rFonts w:ascii="Times New Roman" w:hAnsi="Times New Roman" w:cs="Times New Roman"/>
          <w:sz w:val="24"/>
          <w:szCs w:val="24"/>
        </w:rPr>
        <w:t>.</w:t>
      </w:r>
    </w:p>
    <w:p w14:paraId="36851159" w14:textId="2442C169" w:rsidR="008C2BFC" w:rsidRPr="00F65CA9" w:rsidRDefault="0050267B" w:rsidP="00E61D31">
      <w:pPr>
        <w:jc w:val="both"/>
        <w:rPr>
          <w:rFonts w:ascii="Times New Roman" w:hAnsi="Times New Roman" w:cs="Times New Roman"/>
          <w:sz w:val="24"/>
          <w:szCs w:val="24"/>
        </w:rPr>
      </w:pPr>
      <w:r w:rsidRPr="00141CA1">
        <w:rPr>
          <w:rFonts w:ascii="Times New Roman" w:hAnsi="Times New Roman" w:cs="Times New Roman"/>
          <w:sz w:val="24"/>
          <w:szCs w:val="24"/>
        </w:rPr>
        <w:t>Przyjęte rozwiązanie wymaga także wprowadzenia odpowiednich zmian w art. 14 ustawy określającym zakres przedmiotowy oferty realizacji zadania publicznego</w:t>
      </w:r>
      <w:r w:rsidR="003402ED" w:rsidRPr="00F65CA9">
        <w:rPr>
          <w:rFonts w:ascii="Times New Roman" w:hAnsi="Times New Roman" w:cs="Times New Roman"/>
          <w:sz w:val="24"/>
          <w:szCs w:val="24"/>
        </w:rPr>
        <w:t>.</w:t>
      </w:r>
      <w:r w:rsidR="00E61D31" w:rsidRPr="00F65CA9">
        <w:rPr>
          <w:rFonts w:ascii="Times New Roman" w:hAnsi="Times New Roman" w:cs="Times New Roman"/>
          <w:sz w:val="24"/>
          <w:szCs w:val="24"/>
        </w:rPr>
        <w:t xml:space="preserve"> </w:t>
      </w:r>
    </w:p>
    <w:p w14:paraId="42D6671F" w14:textId="2A9EEF71" w:rsidR="008C2BFC" w:rsidRPr="00F65CA9" w:rsidRDefault="008C2BFC" w:rsidP="008C2BFC">
      <w:pPr>
        <w:jc w:val="both"/>
        <w:rPr>
          <w:rFonts w:ascii="Times New Roman" w:hAnsi="Times New Roman" w:cs="Times New Roman"/>
          <w:sz w:val="24"/>
          <w:szCs w:val="24"/>
        </w:rPr>
      </w:pPr>
      <w:r w:rsidRPr="00F65CA9">
        <w:rPr>
          <w:rFonts w:ascii="Times New Roman" w:hAnsi="Times New Roman" w:cs="Times New Roman"/>
          <w:sz w:val="24"/>
          <w:szCs w:val="24"/>
        </w:rPr>
        <w:t>W konsekwencji, proponuje się też odpowiednią modyfikację art. 5 ust. 4 pkt 2, który dotyczyć będzie zlecania zadań publicznych</w:t>
      </w:r>
      <w:r w:rsidR="00192CC8">
        <w:rPr>
          <w:rFonts w:ascii="Times New Roman" w:hAnsi="Times New Roman" w:cs="Times New Roman"/>
          <w:sz w:val="24"/>
          <w:szCs w:val="24"/>
        </w:rPr>
        <w:t xml:space="preserve">, o których mowa w </w:t>
      </w:r>
      <w:r w:rsidRPr="00F65CA9">
        <w:rPr>
          <w:rFonts w:ascii="Times New Roman" w:hAnsi="Times New Roman" w:cs="Times New Roman"/>
          <w:sz w:val="24"/>
          <w:szCs w:val="24"/>
        </w:rPr>
        <w:t>art. 127 ust. 1 pkt 1 lit. e, art. 151 ust. 1 ustawy o finansach publicznych w formie wspierania przez pozostałe organy administracji publicznej i w tym zakresie proponuje się pozostawienie funkcjonującego obecnie rozwiązania z koniecznością zapewnienia wkładu finansowego przez organizację pozarządową.</w:t>
      </w:r>
      <w:r w:rsidR="001E42DF" w:rsidRPr="00F65CA9">
        <w:rPr>
          <w:rFonts w:ascii="Times New Roman" w:hAnsi="Times New Roman" w:cs="Times New Roman"/>
          <w:sz w:val="24"/>
          <w:szCs w:val="24"/>
        </w:rPr>
        <w:t xml:space="preserve"> </w:t>
      </w:r>
    </w:p>
    <w:p w14:paraId="28E3E295" w14:textId="169C8066" w:rsidR="007233BB" w:rsidRPr="00F65CA9" w:rsidRDefault="003402ED" w:rsidP="00E61D31">
      <w:pPr>
        <w:jc w:val="both"/>
        <w:rPr>
          <w:rFonts w:ascii="Times New Roman" w:hAnsi="Times New Roman" w:cs="Times New Roman"/>
          <w:sz w:val="24"/>
          <w:szCs w:val="24"/>
        </w:rPr>
      </w:pPr>
      <w:r w:rsidRPr="00F65CA9">
        <w:rPr>
          <w:rFonts w:ascii="Times New Roman" w:hAnsi="Times New Roman" w:cs="Times New Roman"/>
          <w:sz w:val="24"/>
          <w:szCs w:val="24"/>
        </w:rPr>
        <w:t xml:space="preserve">W przypadku, o którym mowa w art. 5 ust. 4 pkt 2 tj. wspierania wykonywania zadań publicznych, wraz z udzieleniem dotacji na </w:t>
      </w:r>
      <w:r w:rsidR="00643060" w:rsidRPr="00F65CA9">
        <w:rPr>
          <w:rFonts w:ascii="Times New Roman" w:hAnsi="Times New Roman" w:cs="Times New Roman"/>
          <w:sz w:val="24"/>
          <w:szCs w:val="24"/>
        </w:rPr>
        <w:t xml:space="preserve">ich </w:t>
      </w:r>
      <w:r w:rsidRPr="00F65CA9">
        <w:rPr>
          <w:rFonts w:ascii="Times New Roman" w:hAnsi="Times New Roman" w:cs="Times New Roman"/>
          <w:sz w:val="24"/>
          <w:szCs w:val="24"/>
        </w:rPr>
        <w:t xml:space="preserve">dofinansowanie, oferta zawiera </w:t>
      </w:r>
      <w:r w:rsidR="001B47BA" w:rsidRPr="00F65CA9">
        <w:rPr>
          <w:rFonts w:ascii="Times New Roman" w:hAnsi="Times New Roman" w:cs="Times New Roman"/>
          <w:sz w:val="24"/>
          <w:szCs w:val="24"/>
        </w:rPr>
        <w:t xml:space="preserve">również </w:t>
      </w:r>
      <w:r w:rsidRPr="00F65CA9">
        <w:rPr>
          <w:rFonts w:ascii="Times New Roman" w:hAnsi="Times New Roman" w:cs="Times New Roman"/>
          <w:sz w:val="24"/>
          <w:szCs w:val="24"/>
        </w:rPr>
        <w:t xml:space="preserve">informację nt. planowanej wysokości środków finansowych własnych lub środków pochodzących z innych źródeł na realizację zadania publicznego (tzw. wkład finansowy). </w:t>
      </w:r>
      <w:r w:rsidR="00E61D31" w:rsidRPr="00F65CA9">
        <w:rPr>
          <w:rFonts w:ascii="Times New Roman" w:hAnsi="Times New Roman" w:cs="Times New Roman"/>
          <w:sz w:val="24"/>
          <w:szCs w:val="24"/>
        </w:rPr>
        <w:t>Natomiast</w:t>
      </w:r>
      <w:r w:rsidRPr="00F65CA9">
        <w:rPr>
          <w:rFonts w:ascii="Times New Roman" w:hAnsi="Times New Roman" w:cs="Times New Roman"/>
          <w:sz w:val="24"/>
          <w:szCs w:val="24"/>
        </w:rPr>
        <w:t xml:space="preserve"> przy wspieraniu wykonywania zadań publicznych, jako zadań zleconych</w:t>
      </w:r>
      <w:r w:rsidR="00192CC8">
        <w:rPr>
          <w:rFonts w:ascii="Times New Roman" w:hAnsi="Times New Roman" w:cs="Times New Roman"/>
          <w:sz w:val="24"/>
          <w:szCs w:val="24"/>
        </w:rPr>
        <w:t xml:space="preserve">, o których mowa w </w:t>
      </w:r>
      <w:r w:rsidRPr="00F65CA9">
        <w:rPr>
          <w:rFonts w:ascii="Times New Roman" w:hAnsi="Times New Roman" w:cs="Times New Roman"/>
          <w:sz w:val="24"/>
          <w:szCs w:val="24"/>
        </w:rPr>
        <w:t>art. 221 ustawy z dnia 27 sierpnia 2009 r. o finansach publicznych</w:t>
      </w:r>
      <w:r w:rsidR="00DD64BF" w:rsidRPr="00F65CA9">
        <w:rPr>
          <w:rFonts w:ascii="Times New Roman" w:hAnsi="Times New Roman" w:cs="Times New Roman"/>
          <w:sz w:val="24"/>
          <w:szCs w:val="24"/>
        </w:rPr>
        <w:t>, określonych w</w:t>
      </w:r>
      <w:r w:rsidR="0010098C">
        <w:rPr>
          <w:rFonts w:ascii="Times New Roman" w:hAnsi="Times New Roman" w:cs="Times New Roman"/>
          <w:sz w:val="24"/>
          <w:szCs w:val="24"/>
        </w:rPr>
        <w:t> </w:t>
      </w:r>
      <w:r w:rsidR="00DD64BF" w:rsidRPr="00F65CA9">
        <w:rPr>
          <w:rFonts w:ascii="Times New Roman" w:hAnsi="Times New Roman" w:cs="Times New Roman"/>
          <w:sz w:val="24"/>
          <w:szCs w:val="24"/>
        </w:rPr>
        <w:t>dodawanym art. 5 ust. 4 pkt 3 ustawy,</w:t>
      </w:r>
      <w:r w:rsidRPr="00F65CA9">
        <w:rPr>
          <w:rFonts w:ascii="Times New Roman" w:hAnsi="Times New Roman" w:cs="Times New Roman"/>
          <w:sz w:val="24"/>
          <w:szCs w:val="24"/>
        </w:rPr>
        <w:t xml:space="preserve"> </w:t>
      </w:r>
      <w:r w:rsidR="00DD64BF" w:rsidRPr="00F65CA9">
        <w:rPr>
          <w:rFonts w:ascii="Times New Roman" w:hAnsi="Times New Roman" w:cs="Times New Roman"/>
          <w:sz w:val="24"/>
          <w:szCs w:val="24"/>
        </w:rPr>
        <w:t>oferta zawiera, poza innymi enumeratywnie wskazanymi elementami składowymi określonymi w art. 14 ust. 1 ustawy,</w:t>
      </w:r>
      <w:r w:rsidR="00E61D31" w:rsidRPr="00F65CA9">
        <w:rPr>
          <w:rFonts w:ascii="Times New Roman" w:hAnsi="Times New Roman" w:cs="Times New Roman"/>
          <w:sz w:val="24"/>
          <w:szCs w:val="24"/>
        </w:rPr>
        <w:t xml:space="preserve"> informacj</w:t>
      </w:r>
      <w:r w:rsidR="00AF3C07" w:rsidRPr="00F65CA9">
        <w:rPr>
          <w:rFonts w:ascii="Times New Roman" w:hAnsi="Times New Roman" w:cs="Times New Roman"/>
          <w:sz w:val="24"/>
          <w:szCs w:val="24"/>
        </w:rPr>
        <w:t>e</w:t>
      </w:r>
      <w:r w:rsidR="00DD64BF" w:rsidRPr="00F65CA9">
        <w:rPr>
          <w:rFonts w:ascii="Times New Roman" w:hAnsi="Times New Roman" w:cs="Times New Roman"/>
          <w:sz w:val="24"/>
          <w:szCs w:val="24"/>
        </w:rPr>
        <w:t xml:space="preserve"> o</w:t>
      </w:r>
      <w:r w:rsidR="0010098C">
        <w:rPr>
          <w:rFonts w:ascii="Times New Roman" w:hAnsi="Times New Roman" w:cs="Times New Roman"/>
          <w:sz w:val="24"/>
          <w:szCs w:val="24"/>
        </w:rPr>
        <w:t> </w:t>
      </w:r>
      <w:r w:rsidR="00DD64BF" w:rsidRPr="00F65CA9">
        <w:rPr>
          <w:rFonts w:ascii="Times New Roman" w:hAnsi="Times New Roman" w:cs="Times New Roman"/>
          <w:sz w:val="24"/>
          <w:szCs w:val="24"/>
        </w:rPr>
        <w:t>posiadanych</w:t>
      </w:r>
      <w:r w:rsidR="00C10C72">
        <w:rPr>
          <w:rFonts w:ascii="Times New Roman" w:hAnsi="Times New Roman" w:cs="Times New Roman"/>
          <w:sz w:val="24"/>
          <w:szCs w:val="24"/>
        </w:rPr>
        <w:t xml:space="preserve"> </w:t>
      </w:r>
      <w:r w:rsidR="00C17DB9" w:rsidRPr="00C17DB9">
        <w:rPr>
          <w:rFonts w:ascii="Times New Roman" w:hAnsi="Times New Roman" w:cs="Times New Roman"/>
          <w:sz w:val="24"/>
          <w:szCs w:val="24"/>
        </w:rPr>
        <w:t>wkład</w:t>
      </w:r>
      <w:r w:rsidR="00C17DB9">
        <w:rPr>
          <w:rFonts w:ascii="Times New Roman" w:hAnsi="Times New Roman" w:cs="Times New Roman"/>
          <w:sz w:val="24"/>
          <w:szCs w:val="24"/>
        </w:rPr>
        <w:t>ach</w:t>
      </w:r>
      <w:r w:rsidR="00C17DB9" w:rsidRPr="00C17DB9">
        <w:rPr>
          <w:rFonts w:ascii="Times New Roman" w:hAnsi="Times New Roman" w:cs="Times New Roman"/>
          <w:sz w:val="24"/>
          <w:szCs w:val="24"/>
        </w:rPr>
        <w:t xml:space="preserve"> rzeczowych i osobowych</w:t>
      </w:r>
      <w:r w:rsidR="00C10C72">
        <w:rPr>
          <w:rFonts w:ascii="Times New Roman" w:hAnsi="Times New Roman" w:cs="Times New Roman"/>
          <w:sz w:val="24"/>
          <w:szCs w:val="24"/>
        </w:rPr>
        <w:t xml:space="preserve"> </w:t>
      </w:r>
      <w:r w:rsidR="00DD64BF" w:rsidRPr="00F65CA9">
        <w:rPr>
          <w:rFonts w:ascii="Times New Roman" w:hAnsi="Times New Roman" w:cs="Times New Roman"/>
          <w:sz w:val="24"/>
          <w:szCs w:val="24"/>
        </w:rPr>
        <w:t>zapewniających wykonanie zadania publicznego</w:t>
      </w:r>
      <w:r w:rsidR="00E61D31" w:rsidRPr="00F65CA9">
        <w:rPr>
          <w:rFonts w:ascii="Times New Roman" w:hAnsi="Times New Roman" w:cs="Times New Roman"/>
          <w:sz w:val="24"/>
          <w:szCs w:val="24"/>
        </w:rPr>
        <w:t>.</w:t>
      </w:r>
      <w:r w:rsidR="000037E2">
        <w:rPr>
          <w:rFonts w:ascii="Times New Roman" w:hAnsi="Times New Roman" w:cs="Times New Roman"/>
          <w:sz w:val="24"/>
          <w:szCs w:val="24"/>
        </w:rPr>
        <w:t xml:space="preserve"> Natomiast w przypadku podjęcia przez organizację decyzji o zastąpieniu </w:t>
      </w:r>
      <w:r w:rsidR="00D5670E" w:rsidRPr="00D5670E">
        <w:rPr>
          <w:rFonts w:ascii="Times New Roman" w:hAnsi="Times New Roman" w:cs="Times New Roman"/>
          <w:sz w:val="24"/>
          <w:szCs w:val="24"/>
        </w:rPr>
        <w:t>wkładów rzeczowych i osobowych</w:t>
      </w:r>
      <w:r w:rsidR="000037E2">
        <w:rPr>
          <w:rFonts w:ascii="Times New Roman" w:hAnsi="Times New Roman" w:cs="Times New Roman"/>
          <w:sz w:val="24"/>
          <w:szCs w:val="24"/>
        </w:rPr>
        <w:t>, środkami finansowymi, oferta zawierać będzie także</w:t>
      </w:r>
      <w:r w:rsidR="000037E2" w:rsidRPr="00C37D08">
        <w:rPr>
          <w:rFonts w:ascii="Times New Roman" w:hAnsi="Times New Roman" w:cs="Times New Roman"/>
          <w:sz w:val="24"/>
          <w:szCs w:val="24"/>
        </w:rPr>
        <w:t xml:space="preserve"> informację o</w:t>
      </w:r>
      <w:r w:rsidR="0010098C">
        <w:rPr>
          <w:rFonts w:ascii="Times New Roman" w:hAnsi="Times New Roman" w:cs="Times New Roman"/>
          <w:sz w:val="24"/>
          <w:szCs w:val="24"/>
        </w:rPr>
        <w:t> </w:t>
      </w:r>
      <w:r w:rsidR="000037E2" w:rsidRPr="00C37D08">
        <w:rPr>
          <w:rFonts w:ascii="Times New Roman" w:hAnsi="Times New Roman" w:cs="Times New Roman"/>
          <w:sz w:val="24"/>
          <w:szCs w:val="24"/>
        </w:rPr>
        <w:t>wysokości środków finansowych własnych lub środków pochodzących z innych źródeł przeznaczonych na realizację zadania publicznego</w:t>
      </w:r>
      <w:r w:rsidR="000037E2">
        <w:rPr>
          <w:rFonts w:ascii="Times New Roman" w:hAnsi="Times New Roman" w:cs="Times New Roman"/>
          <w:sz w:val="24"/>
          <w:szCs w:val="24"/>
        </w:rPr>
        <w:t xml:space="preserve">. </w:t>
      </w:r>
      <w:r w:rsidR="00956B12" w:rsidRPr="00F65CA9">
        <w:rPr>
          <w:rFonts w:ascii="Times New Roman" w:hAnsi="Times New Roman" w:cs="Times New Roman"/>
          <w:sz w:val="24"/>
          <w:szCs w:val="24"/>
        </w:rPr>
        <w:t>Z kolei organ administracji publicznej  dokonując oceny oferty zgodnie z art. 15 udppw, w przypadku zlecenia realizacji przez</w:t>
      </w:r>
      <w:r w:rsidR="0010098C">
        <w:rPr>
          <w:rFonts w:ascii="Times New Roman" w:hAnsi="Times New Roman" w:cs="Times New Roman"/>
          <w:sz w:val="24"/>
          <w:szCs w:val="24"/>
        </w:rPr>
        <w:t> </w:t>
      </w:r>
      <w:r w:rsidR="00956B12" w:rsidRPr="00F65CA9">
        <w:rPr>
          <w:rFonts w:ascii="Times New Roman" w:hAnsi="Times New Roman" w:cs="Times New Roman"/>
          <w:sz w:val="24"/>
          <w:szCs w:val="24"/>
        </w:rPr>
        <w:t>jednostki samorządu terytorialnego zadań publicznych zgodnie z proponowanym nowym brzmieniem art. 5 ust. 3 udpp</w:t>
      </w:r>
      <w:r w:rsidR="00E439F0">
        <w:rPr>
          <w:rFonts w:ascii="Times New Roman" w:hAnsi="Times New Roman" w:cs="Times New Roman"/>
          <w:sz w:val="24"/>
          <w:szCs w:val="24"/>
        </w:rPr>
        <w:t>w</w:t>
      </w:r>
      <w:r w:rsidR="00956B12" w:rsidRPr="00F65CA9">
        <w:rPr>
          <w:rFonts w:ascii="Times New Roman" w:hAnsi="Times New Roman" w:cs="Times New Roman"/>
          <w:sz w:val="24"/>
          <w:szCs w:val="24"/>
        </w:rPr>
        <w:t>, na dotychczasowych zasadach będzie oceniał m.in. możliwość realizacji zadania publicznego przez organizację pozarządową, przedstawioną kalkulację kosztów wykonania ww. zadania, proponowaną jakoś</w:t>
      </w:r>
      <w:r w:rsidR="007E6B16">
        <w:rPr>
          <w:rFonts w:ascii="Times New Roman" w:hAnsi="Times New Roman" w:cs="Times New Roman"/>
          <w:sz w:val="24"/>
          <w:szCs w:val="24"/>
        </w:rPr>
        <w:t>ć</w:t>
      </w:r>
      <w:r w:rsidR="00956B12" w:rsidRPr="00F65CA9">
        <w:rPr>
          <w:rFonts w:ascii="Times New Roman" w:hAnsi="Times New Roman" w:cs="Times New Roman"/>
          <w:sz w:val="24"/>
          <w:szCs w:val="24"/>
        </w:rPr>
        <w:t xml:space="preserve"> wykonania zadania i kwalifikacje osób zaangażowanych do jego realizacji. Odnośnie do tzw. wkładu własnego organizacji ocenie podlegać będzie planowany przez organizację pozarządową wkład rzeczowy i osobowy</w:t>
      </w:r>
      <w:r w:rsidR="000037E2">
        <w:rPr>
          <w:rFonts w:ascii="Times New Roman" w:hAnsi="Times New Roman" w:cs="Times New Roman"/>
          <w:sz w:val="24"/>
          <w:szCs w:val="24"/>
        </w:rPr>
        <w:t xml:space="preserve"> lub</w:t>
      </w:r>
      <w:r w:rsidR="0010098C">
        <w:rPr>
          <w:rFonts w:ascii="Times New Roman" w:hAnsi="Times New Roman" w:cs="Times New Roman"/>
          <w:sz w:val="24"/>
          <w:szCs w:val="24"/>
        </w:rPr>
        <w:t> </w:t>
      </w:r>
      <w:r w:rsidR="00956B12" w:rsidRPr="00F65CA9">
        <w:rPr>
          <w:rFonts w:ascii="Times New Roman" w:hAnsi="Times New Roman" w:cs="Times New Roman"/>
          <w:sz w:val="24"/>
          <w:szCs w:val="24"/>
        </w:rPr>
        <w:t>zakładan</w:t>
      </w:r>
      <w:r w:rsidR="000037E2">
        <w:rPr>
          <w:rFonts w:ascii="Times New Roman" w:hAnsi="Times New Roman" w:cs="Times New Roman"/>
          <w:sz w:val="24"/>
          <w:szCs w:val="24"/>
        </w:rPr>
        <w:t>y</w:t>
      </w:r>
      <w:r w:rsidR="00956B12" w:rsidRPr="00F65CA9">
        <w:rPr>
          <w:rFonts w:ascii="Times New Roman" w:hAnsi="Times New Roman" w:cs="Times New Roman"/>
          <w:sz w:val="24"/>
          <w:szCs w:val="24"/>
        </w:rPr>
        <w:t xml:space="preserve"> przez organizację pozarządową udział środków finansowych własnych lub</w:t>
      </w:r>
      <w:r w:rsidR="0010098C">
        <w:rPr>
          <w:rFonts w:ascii="Times New Roman" w:hAnsi="Times New Roman" w:cs="Times New Roman"/>
          <w:sz w:val="24"/>
          <w:szCs w:val="24"/>
        </w:rPr>
        <w:t> </w:t>
      </w:r>
      <w:r w:rsidR="00956B12" w:rsidRPr="00F65CA9">
        <w:rPr>
          <w:rFonts w:ascii="Times New Roman" w:hAnsi="Times New Roman" w:cs="Times New Roman"/>
          <w:sz w:val="24"/>
          <w:szCs w:val="24"/>
        </w:rPr>
        <w:t>środków pochodzących z innych źródeł na realizację zadania publicznego</w:t>
      </w:r>
      <w:r w:rsidR="000037E2">
        <w:rPr>
          <w:rFonts w:ascii="Times New Roman" w:hAnsi="Times New Roman" w:cs="Times New Roman"/>
          <w:sz w:val="24"/>
          <w:szCs w:val="24"/>
        </w:rPr>
        <w:t xml:space="preserve"> - jeśli organizacja postanowi o zastąpieniu całości lub części wkładu rzeczowego i osobowego tymi środkami finansowymi</w:t>
      </w:r>
      <w:r w:rsidR="00956B12" w:rsidRPr="00F65CA9">
        <w:rPr>
          <w:rFonts w:ascii="Times New Roman" w:hAnsi="Times New Roman" w:cs="Times New Roman"/>
          <w:sz w:val="24"/>
          <w:szCs w:val="24"/>
        </w:rPr>
        <w:t xml:space="preserve">. </w:t>
      </w:r>
      <w:r w:rsidR="000037E2">
        <w:rPr>
          <w:rFonts w:ascii="Times New Roman" w:hAnsi="Times New Roman" w:cs="Times New Roman"/>
          <w:sz w:val="24"/>
          <w:szCs w:val="24"/>
        </w:rPr>
        <w:t>Zatem</w:t>
      </w:r>
      <w:r w:rsidR="000037E2" w:rsidRPr="0056692F">
        <w:rPr>
          <w:rFonts w:ascii="Times New Roman" w:hAnsi="Times New Roman" w:cs="Times New Roman"/>
          <w:sz w:val="24"/>
          <w:szCs w:val="24"/>
        </w:rPr>
        <w:t xml:space="preserve"> </w:t>
      </w:r>
      <w:r w:rsidR="0056692F" w:rsidRPr="0056692F">
        <w:rPr>
          <w:rFonts w:ascii="Times New Roman" w:hAnsi="Times New Roman" w:cs="Times New Roman"/>
          <w:sz w:val="24"/>
          <w:szCs w:val="24"/>
        </w:rPr>
        <w:t>w przypadku zapewnienia przez organizację pozarządową oraz podmioty wymienione w art. 3 ust. 3 środków finansowych własnych lub środków pochodzących z innych źródeł na realizację zadania publicznego, o których mowa w ar. 5 ust. 4b udpp</w:t>
      </w:r>
      <w:r w:rsidR="00201937">
        <w:rPr>
          <w:rFonts w:ascii="Times New Roman" w:hAnsi="Times New Roman" w:cs="Times New Roman"/>
          <w:sz w:val="24"/>
          <w:szCs w:val="24"/>
        </w:rPr>
        <w:t>w</w:t>
      </w:r>
      <w:r w:rsidR="0056692F" w:rsidRPr="0056692F">
        <w:rPr>
          <w:rFonts w:ascii="Times New Roman" w:hAnsi="Times New Roman" w:cs="Times New Roman"/>
          <w:sz w:val="24"/>
          <w:szCs w:val="24"/>
        </w:rPr>
        <w:t>, ocenie ww. organu będzie podlegać przedstawiona kalkulacja kosztów realizacji zadania publicznego finansowana także z tych środków.</w:t>
      </w:r>
      <w:r w:rsidR="0056692F">
        <w:rPr>
          <w:rFonts w:ascii="Times New Roman" w:hAnsi="Times New Roman" w:cs="Times New Roman"/>
          <w:sz w:val="24"/>
          <w:szCs w:val="24"/>
        </w:rPr>
        <w:t xml:space="preserve"> </w:t>
      </w:r>
      <w:r w:rsidR="007233BB" w:rsidRPr="00F65CA9">
        <w:rPr>
          <w:rFonts w:ascii="Times New Roman" w:hAnsi="Times New Roman" w:cs="Times New Roman"/>
          <w:sz w:val="24"/>
          <w:szCs w:val="24"/>
        </w:rPr>
        <w:t>Propozycja nie obejmuje otrzymywanych przez organizacje pozarządowe z budżetu jednostki samorządu terytorialnego dotacji celowych na</w:t>
      </w:r>
      <w:r w:rsidR="0010098C">
        <w:rPr>
          <w:rFonts w:ascii="Times New Roman" w:hAnsi="Times New Roman" w:cs="Times New Roman"/>
          <w:sz w:val="24"/>
          <w:szCs w:val="24"/>
        </w:rPr>
        <w:t> </w:t>
      </w:r>
      <w:r w:rsidR="007233BB" w:rsidRPr="00F65CA9">
        <w:rPr>
          <w:rFonts w:ascii="Times New Roman" w:hAnsi="Times New Roman" w:cs="Times New Roman"/>
          <w:sz w:val="24"/>
          <w:szCs w:val="24"/>
        </w:rPr>
        <w:t>dofinansowanie inwestycji związanych z realizacją tych zadań.</w:t>
      </w:r>
    </w:p>
    <w:p w14:paraId="20FCC50F" w14:textId="665C475A" w:rsidR="00663B7A" w:rsidRPr="00F65CA9" w:rsidRDefault="001B22F7" w:rsidP="00100661">
      <w:pPr>
        <w:jc w:val="both"/>
        <w:rPr>
          <w:rFonts w:ascii="Times New Roman" w:hAnsi="Times New Roman" w:cs="Times New Roman"/>
          <w:sz w:val="24"/>
          <w:szCs w:val="24"/>
        </w:rPr>
      </w:pPr>
      <w:r w:rsidRPr="00F65CA9">
        <w:rPr>
          <w:rFonts w:ascii="Times New Roman" w:hAnsi="Times New Roman" w:cs="Times New Roman"/>
          <w:sz w:val="24"/>
          <w:szCs w:val="24"/>
        </w:rPr>
        <w:t>Proponowana z</w:t>
      </w:r>
      <w:r w:rsidR="001E57E3" w:rsidRPr="00F65CA9">
        <w:rPr>
          <w:rFonts w:ascii="Times New Roman" w:hAnsi="Times New Roman" w:cs="Times New Roman"/>
          <w:sz w:val="24"/>
          <w:szCs w:val="24"/>
        </w:rPr>
        <w:t xml:space="preserve">miana przyczyni się </w:t>
      </w:r>
      <w:r w:rsidR="008D2C20" w:rsidRPr="00F65CA9">
        <w:rPr>
          <w:rFonts w:ascii="Times New Roman" w:hAnsi="Times New Roman" w:cs="Times New Roman"/>
          <w:sz w:val="24"/>
          <w:szCs w:val="24"/>
        </w:rPr>
        <w:t xml:space="preserve">do </w:t>
      </w:r>
      <w:r w:rsidR="00A81ED5" w:rsidRPr="00F65CA9">
        <w:rPr>
          <w:rFonts w:ascii="Times New Roman" w:hAnsi="Times New Roman" w:cs="Times New Roman"/>
          <w:sz w:val="24"/>
          <w:szCs w:val="24"/>
        </w:rPr>
        <w:t>znacznego ograniczenia istniejącej bariery dostępu do</w:t>
      </w:r>
      <w:r w:rsidR="0010098C">
        <w:rPr>
          <w:rFonts w:ascii="Times New Roman" w:hAnsi="Times New Roman" w:cs="Times New Roman"/>
          <w:sz w:val="24"/>
          <w:szCs w:val="24"/>
        </w:rPr>
        <w:t> </w:t>
      </w:r>
      <w:r w:rsidR="00A81ED5" w:rsidRPr="00F65CA9">
        <w:rPr>
          <w:rFonts w:ascii="Times New Roman" w:hAnsi="Times New Roman" w:cs="Times New Roman"/>
          <w:sz w:val="24"/>
          <w:szCs w:val="24"/>
        </w:rPr>
        <w:t xml:space="preserve">środków publicznych </w:t>
      </w:r>
      <w:r w:rsidRPr="00F65CA9">
        <w:rPr>
          <w:rFonts w:ascii="Times New Roman" w:hAnsi="Times New Roman" w:cs="Times New Roman"/>
          <w:sz w:val="24"/>
          <w:szCs w:val="24"/>
        </w:rPr>
        <w:t xml:space="preserve">na dofinansowanie zadań publicznych zlecanych przez jednostki samorządu terytorialnego </w:t>
      </w:r>
      <w:r w:rsidR="00A81ED5" w:rsidRPr="00F65CA9">
        <w:rPr>
          <w:rFonts w:ascii="Times New Roman" w:hAnsi="Times New Roman" w:cs="Times New Roman"/>
          <w:sz w:val="24"/>
          <w:szCs w:val="24"/>
        </w:rPr>
        <w:t xml:space="preserve">dla mniejszych podmiotów stanowiących większość </w:t>
      </w:r>
      <w:r w:rsidRPr="00F65CA9">
        <w:rPr>
          <w:rFonts w:ascii="Times New Roman" w:hAnsi="Times New Roman" w:cs="Times New Roman"/>
          <w:sz w:val="24"/>
          <w:szCs w:val="24"/>
        </w:rPr>
        <w:t>sektora organizacji non-profit w Polsce.</w:t>
      </w:r>
    </w:p>
    <w:p w14:paraId="068E2C90" w14:textId="3A3342C5" w:rsidR="005D4B3B" w:rsidRPr="00F65CA9" w:rsidRDefault="00712D9A" w:rsidP="00C436F8">
      <w:pPr>
        <w:jc w:val="both"/>
        <w:rPr>
          <w:rFonts w:ascii="Times New Roman" w:hAnsi="Times New Roman" w:cs="Times New Roman"/>
          <w:sz w:val="24"/>
          <w:szCs w:val="24"/>
        </w:rPr>
      </w:pPr>
      <w:r w:rsidRPr="00F65CA9">
        <w:rPr>
          <w:rFonts w:ascii="Times New Roman" w:hAnsi="Times New Roman" w:cs="Times New Roman"/>
          <w:sz w:val="24"/>
          <w:szCs w:val="24"/>
        </w:rPr>
        <w:t xml:space="preserve">Najnowsze </w:t>
      </w:r>
      <w:bookmarkStart w:id="0" w:name="_Hlk189820907"/>
      <w:r w:rsidRPr="00F65CA9">
        <w:rPr>
          <w:rFonts w:ascii="Times New Roman" w:hAnsi="Times New Roman" w:cs="Times New Roman"/>
          <w:sz w:val="24"/>
          <w:szCs w:val="24"/>
        </w:rPr>
        <w:t>badani</w:t>
      </w:r>
      <w:r w:rsidR="001B22F7" w:rsidRPr="00F65CA9">
        <w:rPr>
          <w:rFonts w:ascii="Times New Roman" w:hAnsi="Times New Roman" w:cs="Times New Roman"/>
          <w:sz w:val="24"/>
          <w:szCs w:val="24"/>
        </w:rPr>
        <w:t>e</w:t>
      </w:r>
      <w:r w:rsidRPr="00F65CA9">
        <w:rPr>
          <w:rFonts w:ascii="Times New Roman" w:hAnsi="Times New Roman" w:cs="Times New Roman"/>
          <w:sz w:val="24"/>
          <w:szCs w:val="24"/>
        </w:rPr>
        <w:t xml:space="preserve"> GUS z 2024 r. dotyczące sektora non-profit w Polsce </w:t>
      </w:r>
      <w:bookmarkEnd w:id="0"/>
      <w:r w:rsidRPr="00F65CA9">
        <w:rPr>
          <w:rFonts w:ascii="Times New Roman" w:hAnsi="Times New Roman" w:cs="Times New Roman"/>
          <w:sz w:val="24"/>
          <w:szCs w:val="24"/>
        </w:rPr>
        <w:t>w 2022 r.</w:t>
      </w:r>
      <w:r w:rsidRPr="00F65CA9">
        <w:rPr>
          <w:rStyle w:val="Odwoanieprzypisudolnego"/>
          <w:rFonts w:ascii="Times New Roman" w:hAnsi="Times New Roman" w:cs="Times New Roman"/>
          <w:sz w:val="24"/>
          <w:szCs w:val="24"/>
        </w:rPr>
        <w:footnoteReference w:id="4"/>
      </w:r>
      <w:r w:rsidRPr="00F65CA9">
        <w:rPr>
          <w:rFonts w:ascii="Times New Roman" w:hAnsi="Times New Roman" w:cs="Times New Roman"/>
          <w:sz w:val="24"/>
          <w:szCs w:val="24"/>
        </w:rPr>
        <w:t xml:space="preserve"> potwierdza zaobserwowane już we wcześniejszych badaniach zjawisko znaczącego rozwarstwienia ekonomicznego sektora organizacji pozarządowych. Wielkość tego zjawiska obrazują istotne różnice występujące pomiędzy średnią i medianą</w:t>
      </w:r>
      <w:r w:rsidRPr="00F65CA9">
        <w:rPr>
          <w:rStyle w:val="Odwoanieprzypisudolnego"/>
          <w:rFonts w:ascii="Times New Roman" w:hAnsi="Times New Roman" w:cs="Times New Roman"/>
          <w:sz w:val="24"/>
          <w:szCs w:val="24"/>
        </w:rPr>
        <w:footnoteReference w:id="5"/>
      </w:r>
      <w:r w:rsidRPr="00F65CA9">
        <w:rPr>
          <w:rFonts w:ascii="Times New Roman" w:hAnsi="Times New Roman" w:cs="Times New Roman"/>
          <w:sz w:val="24"/>
          <w:szCs w:val="24"/>
        </w:rPr>
        <w:t xml:space="preserve"> uzyskanych przychodów </w:t>
      </w:r>
      <w:r w:rsidR="00BC71EF" w:rsidRPr="00F65CA9">
        <w:rPr>
          <w:rFonts w:ascii="Times New Roman" w:hAnsi="Times New Roman" w:cs="Times New Roman"/>
          <w:sz w:val="24"/>
          <w:szCs w:val="24"/>
        </w:rPr>
        <w:t xml:space="preserve">wśród podmiotów tworzących ten sektor </w:t>
      </w:r>
      <w:r w:rsidRPr="00F65CA9">
        <w:rPr>
          <w:rFonts w:ascii="Times New Roman" w:hAnsi="Times New Roman" w:cs="Times New Roman"/>
          <w:sz w:val="24"/>
          <w:szCs w:val="24"/>
        </w:rPr>
        <w:t>- w 2022 r. przeciętne przychody organizacji non-profit były ponad 16-krotnie wyższe niż mediana. W skali kraju średnie roczne przychody badanych organizacji wyniosły 4</w:t>
      </w:r>
      <w:r w:rsidR="00C240FA" w:rsidRPr="00F65CA9">
        <w:rPr>
          <w:rFonts w:ascii="Times New Roman" w:hAnsi="Times New Roman" w:cs="Times New Roman"/>
          <w:sz w:val="24"/>
          <w:szCs w:val="24"/>
        </w:rPr>
        <w:t>36</w:t>
      </w:r>
      <w:r w:rsidRPr="00F65CA9">
        <w:rPr>
          <w:rFonts w:ascii="Times New Roman" w:hAnsi="Times New Roman" w:cs="Times New Roman"/>
          <w:sz w:val="24"/>
          <w:szCs w:val="24"/>
        </w:rPr>
        <w:t>,</w:t>
      </w:r>
      <w:r w:rsidR="00C240FA" w:rsidRPr="00F65CA9">
        <w:rPr>
          <w:rFonts w:ascii="Times New Roman" w:hAnsi="Times New Roman" w:cs="Times New Roman"/>
          <w:sz w:val="24"/>
          <w:szCs w:val="24"/>
        </w:rPr>
        <w:t>7</w:t>
      </w:r>
      <w:r w:rsidRPr="00F65CA9">
        <w:rPr>
          <w:rFonts w:ascii="Times New Roman" w:hAnsi="Times New Roman" w:cs="Times New Roman"/>
          <w:sz w:val="24"/>
          <w:szCs w:val="24"/>
        </w:rPr>
        <w:t xml:space="preserve"> tys. zł, jednak dla połowy organizacji nie przekroczyły one </w:t>
      </w:r>
      <w:r w:rsidR="00C240FA" w:rsidRPr="00F65CA9">
        <w:rPr>
          <w:rFonts w:ascii="Times New Roman" w:hAnsi="Times New Roman" w:cs="Times New Roman"/>
          <w:sz w:val="24"/>
          <w:szCs w:val="24"/>
        </w:rPr>
        <w:t>26</w:t>
      </w:r>
      <w:r w:rsidRPr="00F65CA9">
        <w:rPr>
          <w:rFonts w:ascii="Times New Roman" w:hAnsi="Times New Roman" w:cs="Times New Roman"/>
          <w:sz w:val="24"/>
          <w:szCs w:val="24"/>
        </w:rPr>
        <w:t>,</w:t>
      </w:r>
      <w:r w:rsidR="00C240FA" w:rsidRPr="00F65CA9">
        <w:rPr>
          <w:rFonts w:ascii="Times New Roman" w:hAnsi="Times New Roman" w:cs="Times New Roman"/>
          <w:sz w:val="24"/>
          <w:szCs w:val="24"/>
        </w:rPr>
        <w:t>6</w:t>
      </w:r>
      <w:r w:rsidRPr="00F65CA9">
        <w:rPr>
          <w:rFonts w:ascii="Times New Roman" w:hAnsi="Times New Roman" w:cs="Times New Roman"/>
          <w:sz w:val="24"/>
          <w:szCs w:val="24"/>
        </w:rPr>
        <w:t xml:space="preserve"> tys. zł. </w:t>
      </w:r>
      <w:r w:rsidR="002B53B4" w:rsidRPr="00F65CA9">
        <w:rPr>
          <w:rFonts w:ascii="Times New Roman" w:hAnsi="Times New Roman" w:cs="Times New Roman"/>
          <w:sz w:val="24"/>
          <w:szCs w:val="24"/>
        </w:rPr>
        <w:t>Niską średnią wartością przychodów cechowały się stowarzyszenia i podobne organizacje społeczne (350,3 tys. zł), będące najliczniejszą grupą wśród rejestrowych organizacji non-profit (68,9</w:t>
      </w:r>
      <w:r w:rsidR="00DF028B">
        <w:rPr>
          <w:rFonts w:ascii="Times New Roman" w:hAnsi="Times New Roman" w:cs="Times New Roman"/>
          <w:sz w:val="24"/>
          <w:szCs w:val="24"/>
        </w:rPr>
        <w:t> </w:t>
      </w:r>
      <w:r w:rsidR="002B53B4" w:rsidRPr="00F65CA9">
        <w:rPr>
          <w:rFonts w:ascii="Times New Roman" w:hAnsi="Times New Roman" w:cs="Times New Roman"/>
          <w:sz w:val="24"/>
          <w:szCs w:val="24"/>
        </w:rPr>
        <w:t xml:space="preserve">tys.). </w:t>
      </w:r>
      <w:r w:rsidRPr="00F65CA9">
        <w:rPr>
          <w:rFonts w:ascii="Times New Roman" w:hAnsi="Times New Roman" w:cs="Times New Roman"/>
          <w:sz w:val="24"/>
          <w:szCs w:val="24"/>
        </w:rPr>
        <w:t xml:space="preserve">Dodatkowo z omawianych badań wynika, że </w:t>
      </w:r>
      <w:r w:rsidR="00C240FA" w:rsidRPr="00F65CA9">
        <w:rPr>
          <w:rFonts w:ascii="Times New Roman" w:hAnsi="Times New Roman" w:cs="Times New Roman"/>
          <w:sz w:val="24"/>
          <w:szCs w:val="24"/>
        </w:rPr>
        <w:t>w 2022 r. 81,7% podmiotów objętych badaniem wykazało uzyskiwanie przychodów, co oznacza, że niemal 20% populacji organizacji non-profit nie uzyskiwało żadnych przychodów. Odsetek ten był wyższy niż</w:t>
      </w:r>
      <w:r w:rsidR="001B47BA" w:rsidRPr="00F65CA9">
        <w:rPr>
          <w:rFonts w:ascii="Times New Roman" w:hAnsi="Times New Roman" w:cs="Times New Roman"/>
          <w:sz w:val="24"/>
          <w:szCs w:val="24"/>
        </w:rPr>
        <w:t xml:space="preserve"> </w:t>
      </w:r>
      <w:r w:rsidR="001B47BA" w:rsidRPr="00F65CA9">
        <w:rPr>
          <w:rFonts w:ascii="Times New Roman" w:hAnsi="Times New Roman" w:cs="Times New Roman"/>
          <w:sz w:val="24"/>
          <w:szCs w:val="24"/>
        </w:rPr>
        <w:br/>
      </w:r>
      <w:r w:rsidR="00C240FA" w:rsidRPr="00F65CA9">
        <w:rPr>
          <w:rFonts w:ascii="Times New Roman" w:hAnsi="Times New Roman" w:cs="Times New Roman"/>
          <w:sz w:val="24"/>
          <w:szCs w:val="24"/>
        </w:rPr>
        <w:t>w poprzednich latach, gdy oscylował wokół 10%.</w:t>
      </w:r>
    </w:p>
    <w:p w14:paraId="7E8D1F4F" w14:textId="1B2811AE" w:rsidR="005D4B3B" w:rsidRPr="00F65CA9" w:rsidRDefault="005D4B3B" w:rsidP="00C436F8">
      <w:pPr>
        <w:jc w:val="both"/>
        <w:rPr>
          <w:rFonts w:ascii="Times New Roman" w:hAnsi="Times New Roman" w:cs="Times New Roman"/>
          <w:sz w:val="24"/>
          <w:szCs w:val="24"/>
        </w:rPr>
      </w:pPr>
      <w:r w:rsidRPr="00F65CA9">
        <w:rPr>
          <w:rFonts w:ascii="Times New Roman" w:hAnsi="Times New Roman" w:cs="Times New Roman"/>
          <w:sz w:val="24"/>
          <w:szCs w:val="24"/>
        </w:rPr>
        <w:t>Cyt. powyżej badania GUS z 2024 r. wskazują również na istotne znaczenie przychodów publicznych o charakterze nierynkowym, które dominowały w strukturze przychodów organizacji non-profit, stanowiąc niemal 41%, a wśród stowarzyszeń i podobnych organizacji społecznych prawie 45% przychodów ogółem. Jednocześnie środki pochodzące od administracji samorządowej to ponad 18%</w:t>
      </w:r>
      <w:r w:rsidR="008F058D">
        <w:rPr>
          <w:rFonts w:ascii="Times New Roman" w:hAnsi="Times New Roman" w:cs="Times New Roman"/>
          <w:sz w:val="24"/>
          <w:szCs w:val="24"/>
        </w:rPr>
        <w:t>,</w:t>
      </w:r>
      <w:r w:rsidRPr="00F65CA9">
        <w:rPr>
          <w:rFonts w:ascii="Times New Roman" w:hAnsi="Times New Roman" w:cs="Times New Roman"/>
          <w:sz w:val="24"/>
          <w:szCs w:val="24"/>
        </w:rPr>
        <w:t xml:space="preserve"> a od administracji rządowej niecałe 11% przychodów organizacji non-profit w Polsce. Podkreśla to szczególną rolą środków przyznawanych organizacjom pozarządowym przez jednostki samorządu terytorialnego</w:t>
      </w:r>
      <w:r w:rsidR="008F058D">
        <w:rPr>
          <w:rFonts w:ascii="Times New Roman" w:hAnsi="Times New Roman" w:cs="Times New Roman"/>
          <w:sz w:val="24"/>
          <w:szCs w:val="24"/>
        </w:rPr>
        <w:t>,</w:t>
      </w:r>
      <w:r w:rsidR="00734D6B" w:rsidRPr="00F65CA9">
        <w:rPr>
          <w:rFonts w:ascii="Times New Roman" w:hAnsi="Times New Roman" w:cs="Times New Roman"/>
          <w:sz w:val="24"/>
          <w:szCs w:val="24"/>
        </w:rPr>
        <w:t xml:space="preserve"> a</w:t>
      </w:r>
      <w:r w:rsidR="00A940BB">
        <w:rPr>
          <w:rFonts w:ascii="Times New Roman" w:hAnsi="Times New Roman" w:cs="Times New Roman"/>
          <w:sz w:val="24"/>
          <w:szCs w:val="24"/>
        </w:rPr>
        <w:t> </w:t>
      </w:r>
      <w:r w:rsidR="00734D6B" w:rsidRPr="00F65CA9">
        <w:rPr>
          <w:rFonts w:ascii="Times New Roman" w:hAnsi="Times New Roman" w:cs="Times New Roman"/>
          <w:sz w:val="24"/>
          <w:szCs w:val="24"/>
        </w:rPr>
        <w:t>w</w:t>
      </w:r>
      <w:r w:rsidR="00A940BB">
        <w:rPr>
          <w:rFonts w:ascii="Times New Roman" w:hAnsi="Times New Roman" w:cs="Times New Roman"/>
          <w:sz w:val="24"/>
          <w:szCs w:val="24"/>
        </w:rPr>
        <w:t> </w:t>
      </w:r>
      <w:r w:rsidR="00734D6B" w:rsidRPr="00F65CA9">
        <w:rPr>
          <w:rFonts w:ascii="Times New Roman" w:hAnsi="Times New Roman" w:cs="Times New Roman"/>
          <w:sz w:val="24"/>
          <w:szCs w:val="24"/>
        </w:rPr>
        <w:t>konsekwencji wagę proponowanych zmian w obszarze zasad wspierania realizacji przez</w:t>
      </w:r>
      <w:r w:rsidR="00A940BB">
        <w:rPr>
          <w:rFonts w:ascii="Times New Roman" w:hAnsi="Times New Roman" w:cs="Times New Roman"/>
          <w:sz w:val="24"/>
          <w:szCs w:val="24"/>
        </w:rPr>
        <w:t> </w:t>
      </w:r>
      <w:r w:rsidR="00734D6B" w:rsidRPr="00F65CA9">
        <w:rPr>
          <w:rFonts w:ascii="Times New Roman" w:hAnsi="Times New Roman" w:cs="Times New Roman"/>
          <w:sz w:val="24"/>
          <w:szCs w:val="24"/>
        </w:rPr>
        <w:t xml:space="preserve">organizacje pozarządowe zadań publicznych. </w:t>
      </w:r>
    </w:p>
    <w:p w14:paraId="40656082" w14:textId="231E168C" w:rsidR="00F30B82" w:rsidRPr="00F65CA9" w:rsidRDefault="008D2C20" w:rsidP="00734FE1">
      <w:pPr>
        <w:jc w:val="both"/>
        <w:rPr>
          <w:rFonts w:ascii="Times New Roman" w:hAnsi="Times New Roman" w:cs="Times New Roman"/>
          <w:sz w:val="24"/>
          <w:szCs w:val="24"/>
        </w:rPr>
      </w:pPr>
      <w:r w:rsidRPr="00F65CA9">
        <w:rPr>
          <w:rFonts w:ascii="Times New Roman" w:hAnsi="Times New Roman" w:cs="Times New Roman"/>
          <w:sz w:val="24"/>
          <w:szCs w:val="24"/>
        </w:rPr>
        <w:t xml:space="preserve">Ponadto </w:t>
      </w:r>
      <w:r w:rsidR="00663B7A" w:rsidRPr="00F65CA9">
        <w:rPr>
          <w:rFonts w:ascii="Times New Roman" w:hAnsi="Times New Roman" w:cs="Times New Roman"/>
          <w:sz w:val="24"/>
          <w:szCs w:val="24"/>
        </w:rPr>
        <w:t xml:space="preserve">proponuje się </w:t>
      </w:r>
      <w:r w:rsidR="00C436F8" w:rsidRPr="00F65CA9">
        <w:rPr>
          <w:rFonts w:ascii="Times New Roman" w:hAnsi="Times New Roman" w:cs="Times New Roman"/>
          <w:sz w:val="24"/>
          <w:szCs w:val="24"/>
        </w:rPr>
        <w:t xml:space="preserve">wprowadzenie </w:t>
      </w:r>
      <w:r w:rsidR="00BC71EF" w:rsidRPr="00F65CA9">
        <w:rPr>
          <w:rFonts w:ascii="Times New Roman" w:hAnsi="Times New Roman" w:cs="Times New Roman"/>
          <w:sz w:val="24"/>
          <w:szCs w:val="24"/>
        </w:rPr>
        <w:t>stosowania</w:t>
      </w:r>
      <w:r w:rsidR="00C436F8" w:rsidRPr="00F65CA9">
        <w:rPr>
          <w:rFonts w:ascii="Times New Roman" w:hAnsi="Times New Roman" w:cs="Times New Roman"/>
          <w:sz w:val="24"/>
          <w:szCs w:val="24"/>
        </w:rPr>
        <w:t xml:space="preserve"> uproszczonych ofert </w:t>
      </w:r>
      <w:r w:rsidR="007233BB" w:rsidRPr="00F65CA9">
        <w:rPr>
          <w:rFonts w:ascii="Times New Roman" w:hAnsi="Times New Roman" w:cs="Times New Roman"/>
          <w:sz w:val="24"/>
          <w:szCs w:val="24"/>
        </w:rPr>
        <w:t xml:space="preserve">realizacji zadań publicznych </w:t>
      </w:r>
      <w:r w:rsidR="00C436F8" w:rsidRPr="00F65CA9">
        <w:rPr>
          <w:rFonts w:ascii="Times New Roman" w:hAnsi="Times New Roman" w:cs="Times New Roman"/>
          <w:sz w:val="24"/>
          <w:szCs w:val="24"/>
        </w:rPr>
        <w:t xml:space="preserve">i sprawozdań </w:t>
      </w:r>
      <w:r w:rsidR="007233BB" w:rsidRPr="00F65CA9">
        <w:rPr>
          <w:rFonts w:ascii="Times New Roman" w:hAnsi="Times New Roman" w:cs="Times New Roman"/>
          <w:sz w:val="24"/>
          <w:szCs w:val="24"/>
        </w:rPr>
        <w:t xml:space="preserve">z ich wykonania </w:t>
      </w:r>
      <w:r w:rsidR="00C436F8" w:rsidRPr="00F65CA9">
        <w:rPr>
          <w:rFonts w:ascii="Times New Roman" w:hAnsi="Times New Roman" w:cs="Times New Roman"/>
          <w:sz w:val="24"/>
          <w:szCs w:val="24"/>
        </w:rPr>
        <w:t xml:space="preserve">– </w:t>
      </w:r>
      <w:r w:rsidR="00663B7A" w:rsidRPr="00F65CA9">
        <w:rPr>
          <w:rFonts w:ascii="Times New Roman" w:hAnsi="Times New Roman" w:cs="Times New Roman"/>
          <w:sz w:val="24"/>
          <w:szCs w:val="24"/>
        </w:rPr>
        <w:t>określonych już w</w:t>
      </w:r>
      <w:r w:rsidR="00C436F8" w:rsidRPr="00F65CA9">
        <w:rPr>
          <w:rFonts w:ascii="Times New Roman" w:hAnsi="Times New Roman" w:cs="Times New Roman"/>
          <w:sz w:val="24"/>
          <w:szCs w:val="24"/>
        </w:rPr>
        <w:t xml:space="preserve"> obowiązujących </w:t>
      </w:r>
      <w:r w:rsidR="00663B7A" w:rsidRPr="00F65CA9">
        <w:rPr>
          <w:rFonts w:ascii="Times New Roman" w:hAnsi="Times New Roman" w:cs="Times New Roman"/>
          <w:sz w:val="24"/>
          <w:szCs w:val="24"/>
        </w:rPr>
        <w:t xml:space="preserve">przepisach ustawy (art. 19a ust. 7b i ust. 7c ustawy) </w:t>
      </w:r>
      <w:r w:rsidR="00C436F8" w:rsidRPr="00F65CA9">
        <w:rPr>
          <w:rFonts w:ascii="Times New Roman" w:hAnsi="Times New Roman" w:cs="Times New Roman"/>
          <w:sz w:val="24"/>
          <w:szCs w:val="24"/>
        </w:rPr>
        <w:t>-</w:t>
      </w:r>
      <w:r w:rsidR="000B278B" w:rsidRPr="00F65CA9">
        <w:rPr>
          <w:rFonts w:ascii="Times New Roman" w:hAnsi="Times New Roman" w:cs="Times New Roman"/>
          <w:sz w:val="24"/>
          <w:szCs w:val="24"/>
        </w:rPr>
        <w:t xml:space="preserve"> także w przypadku zlecania zadań publicznych</w:t>
      </w:r>
      <w:r w:rsidR="00C470F4" w:rsidRPr="00F65CA9">
        <w:rPr>
          <w:rFonts w:ascii="Times New Roman" w:hAnsi="Times New Roman" w:cs="Times New Roman"/>
          <w:sz w:val="24"/>
          <w:szCs w:val="24"/>
        </w:rPr>
        <w:t xml:space="preserve"> </w:t>
      </w:r>
      <w:r w:rsidR="00C470F4" w:rsidRPr="00F65CA9">
        <w:rPr>
          <w:rFonts w:ascii="Times New Roman" w:hAnsi="Times New Roman" w:cs="Times New Roman"/>
          <w:sz w:val="24"/>
          <w:szCs w:val="24"/>
        </w:rPr>
        <w:br/>
      </w:r>
      <w:r w:rsidR="000B278B" w:rsidRPr="00F65CA9">
        <w:rPr>
          <w:rFonts w:ascii="Times New Roman" w:hAnsi="Times New Roman" w:cs="Times New Roman"/>
          <w:sz w:val="24"/>
          <w:szCs w:val="24"/>
        </w:rPr>
        <w:t>w trybie otwartego konkursu ofe</w:t>
      </w:r>
      <w:r w:rsidR="00F47B8D" w:rsidRPr="00F65CA9">
        <w:rPr>
          <w:rFonts w:ascii="Times New Roman" w:hAnsi="Times New Roman" w:cs="Times New Roman"/>
          <w:sz w:val="24"/>
          <w:szCs w:val="24"/>
        </w:rPr>
        <w:t>rt albo trybów pozakonkursowych</w:t>
      </w:r>
      <w:r w:rsidR="000B278B" w:rsidRPr="00F65CA9">
        <w:rPr>
          <w:rFonts w:ascii="Times New Roman" w:hAnsi="Times New Roman" w:cs="Times New Roman"/>
          <w:sz w:val="24"/>
          <w:szCs w:val="24"/>
        </w:rPr>
        <w:t>.</w:t>
      </w:r>
      <w:r w:rsidR="00A81ED5" w:rsidRPr="00F65CA9">
        <w:rPr>
          <w:rFonts w:ascii="Times New Roman" w:hAnsi="Times New Roman" w:cs="Times New Roman"/>
          <w:sz w:val="24"/>
          <w:szCs w:val="24"/>
        </w:rPr>
        <w:t xml:space="preserve"> Przyjęte rozwiązanie </w:t>
      </w:r>
      <w:r w:rsidR="00234527" w:rsidRPr="00F65CA9">
        <w:rPr>
          <w:rFonts w:ascii="Times New Roman" w:hAnsi="Times New Roman" w:cs="Times New Roman"/>
          <w:sz w:val="24"/>
          <w:szCs w:val="24"/>
        </w:rPr>
        <w:t xml:space="preserve">będzie </w:t>
      </w:r>
      <w:r w:rsidR="007233BB" w:rsidRPr="00F65CA9">
        <w:rPr>
          <w:rFonts w:ascii="Times New Roman" w:hAnsi="Times New Roman" w:cs="Times New Roman"/>
          <w:sz w:val="24"/>
          <w:szCs w:val="24"/>
        </w:rPr>
        <w:t>miało zastosowanie w przypadku ofert realizacji zadania publicznego zakładających dofinansowanie lub finansowanie ze środków dotacji w wysokości nieprzekraczającej kwoty 60 000,00 zł.</w:t>
      </w:r>
      <w:r w:rsidR="00C470F4" w:rsidRPr="00F65CA9">
        <w:rPr>
          <w:rFonts w:ascii="Times New Roman" w:hAnsi="Times New Roman" w:cs="Times New Roman"/>
          <w:sz w:val="24"/>
          <w:szCs w:val="24"/>
        </w:rPr>
        <w:t xml:space="preserve"> Proponowane rozwiązanie stanowiłoby odpowiedź na opisany powyżej problem dużego rozwarstwienia ekonomicznego sektora organizacji pozarządowych oraz przyczyniło się do ograniczenia istniejącej bariery dostępu do środków publicznych na dofinansowanie zadań publicznych zlecanych przez organy administracji publicznej.</w:t>
      </w:r>
      <w:r w:rsidR="00E017A3" w:rsidRPr="00F65CA9">
        <w:rPr>
          <w:rFonts w:ascii="Times New Roman" w:hAnsi="Times New Roman" w:cs="Times New Roman"/>
          <w:sz w:val="24"/>
          <w:szCs w:val="24"/>
        </w:rPr>
        <w:t xml:space="preserve"> Jednocześnie </w:t>
      </w:r>
      <w:r w:rsidR="003036C3" w:rsidRPr="00F65CA9">
        <w:rPr>
          <w:rFonts w:ascii="Times New Roman" w:hAnsi="Times New Roman" w:cs="Times New Roman"/>
          <w:sz w:val="24"/>
          <w:szCs w:val="24"/>
        </w:rPr>
        <w:t>podkreślić</w:t>
      </w:r>
      <w:r w:rsidR="00E017A3" w:rsidRPr="00F65CA9">
        <w:rPr>
          <w:rFonts w:ascii="Times New Roman" w:hAnsi="Times New Roman" w:cs="Times New Roman"/>
          <w:sz w:val="24"/>
          <w:szCs w:val="24"/>
        </w:rPr>
        <w:t xml:space="preserve"> należy, że </w:t>
      </w:r>
      <w:r w:rsidR="00363CC9" w:rsidRPr="00F65CA9">
        <w:rPr>
          <w:rFonts w:ascii="Times New Roman" w:hAnsi="Times New Roman" w:cs="Times New Roman"/>
          <w:sz w:val="24"/>
          <w:szCs w:val="24"/>
        </w:rPr>
        <w:t>projektowany w art. 19a nowy ust. 7</w:t>
      </w:r>
      <w:r w:rsidR="00623FB2" w:rsidRPr="00F65CA9">
        <w:rPr>
          <w:rFonts w:ascii="Times New Roman" w:hAnsi="Times New Roman" w:cs="Times New Roman"/>
          <w:sz w:val="24"/>
          <w:szCs w:val="24"/>
        </w:rPr>
        <w:t xml:space="preserve">aa </w:t>
      </w:r>
      <w:r w:rsidR="00363CC9" w:rsidRPr="00F65CA9">
        <w:rPr>
          <w:rFonts w:ascii="Times New Roman" w:hAnsi="Times New Roman" w:cs="Times New Roman"/>
          <w:sz w:val="24"/>
          <w:szCs w:val="24"/>
        </w:rPr>
        <w:t>stanowić ma wyjątek od</w:t>
      </w:r>
      <w:r w:rsidR="00F30B82" w:rsidRPr="00F65CA9">
        <w:rPr>
          <w:rFonts w:ascii="Times New Roman" w:hAnsi="Times New Roman" w:cs="Times New Roman"/>
          <w:sz w:val="24"/>
          <w:szCs w:val="24"/>
        </w:rPr>
        <w:t xml:space="preserve"> rozwiązania dotyczącego tzw. tryb</w:t>
      </w:r>
      <w:r w:rsidR="00AA5012" w:rsidRPr="00F65CA9">
        <w:rPr>
          <w:rFonts w:ascii="Times New Roman" w:hAnsi="Times New Roman" w:cs="Times New Roman"/>
          <w:sz w:val="24"/>
          <w:szCs w:val="24"/>
        </w:rPr>
        <w:t>u</w:t>
      </w:r>
      <w:r w:rsidR="00F30B82" w:rsidRPr="00F65CA9">
        <w:rPr>
          <w:rFonts w:ascii="Times New Roman" w:hAnsi="Times New Roman" w:cs="Times New Roman"/>
          <w:sz w:val="24"/>
          <w:szCs w:val="24"/>
        </w:rPr>
        <w:t xml:space="preserve"> „małych dotacji”, służący możliwości stosowania uproszczonych wzorów ofert i sprawozdań w ściśle określonych przypadkach wskazanych w treści projektowanej regulacji.</w:t>
      </w:r>
    </w:p>
    <w:p w14:paraId="185AB221" w14:textId="42F5343F" w:rsidR="00E952F6" w:rsidRPr="00F65CA9" w:rsidRDefault="008D2C20" w:rsidP="00734FE1">
      <w:pPr>
        <w:jc w:val="both"/>
        <w:rPr>
          <w:rFonts w:ascii="Times New Roman" w:hAnsi="Times New Roman" w:cs="Times New Roman"/>
          <w:sz w:val="24"/>
          <w:szCs w:val="24"/>
        </w:rPr>
      </w:pPr>
      <w:r w:rsidRPr="00F65CA9">
        <w:rPr>
          <w:rFonts w:ascii="Times New Roman" w:hAnsi="Times New Roman" w:cs="Times New Roman"/>
          <w:sz w:val="24"/>
          <w:szCs w:val="24"/>
        </w:rPr>
        <w:t>W</w:t>
      </w:r>
      <w:r w:rsidR="00E952F6" w:rsidRPr="00F65CA9">
        <w:rPr>
          <w:rFonts w:ascii="Times New Roman" w:hAnsi="Times New Roman" w:cs="Times New Roman"/>
          <w:sz w:val="24"/>
          <w:szCs w:val="24"/>
        </w:rPr>
        <w:t xml:space="preserve"> powyższym obszarze proponuje się </w:t>
      </w:r>
      <w:r w:rsidRPr="00F65CA9">
        <w:rPr>
          <w:rFonts w:ascii="Times New Roman" w:hAnsi="Times New Roman" w:cs="Times New Roman"/>
          <w:sz w:val="24"/>
          <w:szCs w:val="24"/>
        </w:rPr>
        <w:t xml:space="preserve">również </w:t>
      </w:r>
      <w:r w:rsidR="00E952F6" w:rsidRPr="00F65CA9">
        <w:rPr>
          <w:rFonts w:ascii="Times New Roman" w:hAnsi="Times New Roman" w:cs="Times New Roman"/>
          <w:sz w:val="24"/>
          <w:szCs w:val="24"/>
        </w:rPr>
        <w:t xml:space="preserve">podwyższenie dotychczas obowiązujących limitów kwotowych w trybie pozakonkursowym określonym w art. 19a ustawy dotyczącym zlecania zadań publicznych o charakterze lokalnym lub regionalnym przez organy jednostek samorządu terytorialnego (tzw. tryb „małych dotacji”). </w:t>
      </w:r>
      <w:r w:rsidR="006E0C14" w:rsidRPr="00F65CA9">
        <w:rPr>
          <w:rFonts w:ascii="Times New Roman" w:hAnsi="Times New Roman" w:cs="Times New Roman"/>
          <w:sz w:val="24"/>
          <w:szCs w:val="24"/>
        </w:rPr>
        <w:t xml:space="preserve">Zakładana zmiana wynika </w:t>
      </w:r>
      <w:r w:rsidR="00956B12" w:rsidRPr="00F65CA9">
        <w:rPr>
          <w:rFonts w:ascii="Times New Roman" w:hAnsi="Times New Roman" w:cs="Times New Roman"/>
          <w:sz w:val="24"/>
          <w:szCs w:val="24"/>
        </w:rPr>
        <w:t xml:space="preserve">w dużym stopniu </w:t>
      </w:r>
      <w:r w:rsidR="006E0C14" w:rsidRPr="00F65CA9">
        <w:rPr>
          <w:rFonts w:ascii="Times New Roman" w:hAnsi="Times New Roman" w:cs="Times New Roman"/>
          <w:sz w:val="24"/>
          <w:szCs w:val="24"/>
        </w:rPr>
        <w:t xml:space="preserve">z utraty wartości pieniądza w czasie i konieczności dostosowania limitów kwotowych do obowiązujących cen. </w:t>
      </w:r>
      <w:r w:rsidR="00956B12" w:rsidRPr="00F65CA9">
        <w:rPr>
          <w:rFonts w:ascii="Times New Roman" w:eastAsia="Calibri" w:hAnsi="Times New Roman" w:cs="Times New Roman"/>
          <w:sz w:val="24"/>
          <w:szCs w:val="24"/>
        </w:rPr>
        <w:t>Zgodnie z danymi przedstawionymi przez GUS wskaźnik skumulowanej inflacji w Polsce w okresie od 2015 r. do 2024 r. wyniósł niemal 47%</w:t>
      </w:r>
      <w:r w:rsidR="00956B12" w:rsidRPr="00F65CA9">
        <w:rPr>
          <w:rFonts w:ascii="Times New Roman" w:eastAsia="Calibri" w:hAnsi="Times New Roman" w:cs="Times New Roman"/>
          <w:sz w:val="24"/>
          <w:szCs w:val="24"/>
          <w:vertAlign w:val="superscript"/>
        </w:rPr>
        <w:footnoteReference w:id="6"/>
      </w:r>
      <w:r w:rsidR="00956B12" w:rsidRPr="00F65CA9">
        <w:rPr>
          <w:rFonts w:ascii="Times New Roman" w:eastAsia="Calibri" w:hAnsi="Times New Roman" w:cs="Times New Roman"/>
          <w:sz w:val="24"/>
          <w:szCs w:val="24"/>
        </w:rPr>
        <w:t xml:space="preserve">. </w:t>
      </w:r>
      <w:r w:rsidR="006E0C14" w:rsidRPr="00F65CA9">
        <w:rPr>
          <w:rFonts w:ascii="Times New Roman" w:hAnsi="Times New Roman" w:cs="Times New Roman"/>
          <w:sz w:val="24"/>
          <w:szCs w:val="24"/>
        </w:rPr>
        <w:t>W</w:t>
      </w:r>
      <w:r w:rsidR="00FD1DC2">
        <w:rPr>
          <w:rFonts w:ascii="Times New Roman" w:hAnsi="Times New Roman" w:cs="Times New Roman"/>
          <w:sz w:val="24"/>
          <w:szCs w:val="24"/>
        </w:rPr>
        <w:t> </w:t>
      </w:r>
      <w:r w:rsidR="006E0C14" w:rsidRPr="00F65CA9">
        <w:rPr>
          <w:rFonts w:ascii="Times New Roman" w:hAnsi="Times New Roman" w:cs="Times New Roman"/>
          <w:sz w:val="24"/>
          <w:szCs w:val="24"/>
        </w:rPr>
        <w:t>konsekwencji wprowadzonych zmian wysokość dofinansowania lub finansowania zadania publicznego nie mogłaby przekraczać kwoty 20 000 zł (obecnie jest to 10 000 zł). Jednocześnie łączna kwota środków finansowych przekazanych przez jednostkę samorządu terytorialnego tej samej organizacji pozarządowej w danym roku kalendarzowym nie mogłaby przekroczyć kwoty 40 000 zł (obecnie jest to 20 000 zł). Omawiana zmiana umożliwi zwiększenie skali zlecania zadań publicznych o charakterze przede wszystkim lokalnym, stosunkowo niewielkich pod względem</w:t>
      </w:r>
      <w:r w:rsidR="00734FE1" w:rsidRPr="00F65CA9">
        <w:rPr>
          <w:rFonts w:ascii="Times New Roman" w:hAnsi="Times New Roman" w:cs="Times New Roman"/>
          <w:sz w:val="24"/>
          <w:szCs w:val="24"/>
        </w:rPr>
        <w:t xml:space="preserve"> wysokości</w:t>
      </w:r>
      <w:r w:rsidR="006E0C14" w:rsidRPr="00F65CA9">
        <w:rPr>
          <w:rFonts w:ascii="Times New Roman" w:hAnsi="Times New Roman" w:cs="Times New Roman"/>
          <w:sz w:val="24"/>
          <w:szCs w:val="24"/>
        </w:rPr>
        <w:t xml:space="preserve"> </w:t>
      </w:r>
      <w:r w:rsidR="00734FE1" w:rsidRPr="00F65CA9">
        <w:rPr>
          <w:rFonts w:ascii="Times New Roman" w:hAnsi="Times New Roman" w:cs="Times New Roman"/>
          <w:sz w:val="24"/>
          <w:szCs w:val="24"/>
        </w:rPr>
        <w:t>finansowania środkami publicznymi</w:t>
      </w:r>
      <w:r w:rsidR="003F4140" w:rsidRPr="00F65CA9">
        <w:rPr>
          <w:rFonts w:ascii="Times New Roman" w:hAnsi="Times New Roman" w:cs="Times New Roman"/>
          <w:sz w:val="24"/>
          <w:szCs w:val="24"/>
        </w:rPr>
        <w:t>, ale istotnych i celowych z</w:t>
      </w:r>
      <w:r w:rsidR="00FD1DC2">
        <w:rPr>
          <w:rFonts w:ascii="Times New Roman" w:hAnsi="Times New Roman" w:cs="Times New Roman"/>
          <w:sz w:val="24"/>
          <w:szCs w:val="24"/>
        </w:rPr>
        <w:t> </w:t>
      </w:r>
      <w:r w:rsidR="003F4140" w:rsidRPr="00F65CA9">
        <w:rPr>
          <w:rFonts w:ascii="Times New Roman" w:hAnsi="Times New Roman" w:cs="Times New Roman"/>
          <w:sz w:val="24"/>
          <w:szCs w:val="24"/>
        </w:rPr>
        <w:t>punktu widzenia społeczności lokalnych.</w:t>
      </w:r>
      <w:r w:rsidR="00734FE1" w:rsidRPr="00F65CA9">
        <w:rPr>
          <w:rFonts w:ascii="Times New Roman" w:hAnsi="Times New Roman" w:cs="Times New Roman"/>
          <w:sz w:val="24"/>
          <w:szCs w:val="24"/>
        </w:rPr>
        <w:t xml:space="preserve"> Dodatkowo przyczyni się do osiągnięcia tego </w:t>
      </w:r>
      <w:r w:rsidR="00F47B8D" w:rsidRPr="00F65CA9">
        <w:rPr>
          <w:rFonts w:ascii="Times New Roman" w:hAnsi="Times New Roman" w:cs="Times New Roman"/>
          <w:sz w:val="24"/>
          <w:szCs w:val="24"/>
        </w:rPr>
        <w:t>rezultatu</w:t>
      </w:r>
      <w:r w:rsidR="00734FE1" w:rsidRPr="00F65CA9">
        <w:rPr>
          <w:rFonts w:ascii="Times New Roman" w:hAnsi="Times New Roman" w:cs="Times New Roman"/>
          <w:sz w:val="24"/>
          <w:szCs w:val="24"/>
        </w:rPr>
        <w:t xml:space="preserve"> podniesienie </w:t>
      </w:r>
      <w:r w:rsidR="00F47B8D" w:rsidRPr="00F65CA9">
        <w:rPr>
          <w:rFonts w:ascii="Times New Roman" w:hAnsi="Times New Roman" w:cs="Times New Roman"/>
          <w:sz w:val="24"/>
          <w:szCs w:val="24"/>
        </w:rPr>
        <w:t xml:space="preserve">wysokości </w:t>
      </w:r>
      <w:r w:rsidR="00734FE1" w:rsidRPr="00F65CA9">
        <w:rPr>
          <w:rFonts w:ascii="Times New Roman" w:hAnsi="Times New Roman" w:cs="Times New Roman"/>
          <w:sz w:val="24"/>
          <w:szCs w:val="24"/>
        </w:rPr>
        <w:t>progu środków finansowych przyznanych przez organ wykonawczy jednostki samorządu terytorialnego w ww. trybie z 20% do 30% dotacji planowanych w roku budżetowym na realizację zadań publicznych przez organizacje pozarządowe.</w:t>
      </w:r>
    </w:p>
    <w:p w14:paraId="6A706A5C" w14:textId="03793FD0" w:rsidR="0014192F" w:rsidRPr="00F65CA9" w:rsidRDefault="00F47B8D" w:rsidP="00C436F8">
      <w:pPr>
        <w:jc w:val="both"/>
        <w:rPr>
          <w:rFonts w:ascii="Times New Roman" w:hAnsi="Times New Roman" w:cs="Times New Roman"/>
          <w:sz w:val="24"/>
          <w:szCs w:val="24"/>
        </w:rPr>
      </w:pPr>
      <w:r w:rsidRPr="00F65CA9">
        <w:rPr>
          <w:rFonts w:ascii="Times New Roman" w:hAnsi="Times New Roman" w:cs="Times New Roman"/>
          <w:sz w:val="24"/>
          <w:szCs w:val="24"/>
        </w:rPr>
        <w:t>Z kolei</w:t>
      </w:r>
      <w:r w:rsidR="000B278B" w:rsidRPr="00F65CA9">
        <w:rPr>
          <w:rFonts w:ascii="Times New Roman" w:hAnsi="Times New Roman" w:cs="Times New Roman"/>
          <w:sz w:val="24"/>
          <w:szCs w:val="24"/>
        </w:rPr>
        <w:t xml:space="preserve"> w </w:t>
      </w:r>
      <w:r w:rsidRPr="00F65CA9">
        <w:rPr>
          <w:rFonts w:ascii="Times New Roman" w:hAnsi="Times New Roman" w:cs="Times New Roman"/>
          <w:sz w:val="24"/>
          <w:szCs w:val="24"/>
        </w:rPr>
        <w:t>odniesieniu do</w:t>
      </w:r>
      <w:r w:rsidR="000B278B" w:rsidRPr="00F65CA9">
        <w:rPr>
          <w:rFonts w:ascii="Times New Roman" w:hAnsi="Times New Roman" w:cs="Times New Roman"/>
          <w:sz w:val="24"/>
          <w:szCs w:val="24"/>
        </w:rPr>
        <w:t xml:space="preserve"> tzw. współpracy pozafinansowej organów administracji publicznej</w:t>
      </w:r>
      <w:r w:rsidR="00C324DA" w:rsidRPr="00F65CA9">
        <w:rPr>
          <w:rFonts w:ascii="Times New Roman" w:hAnsi="Times New Roman" w:cs="Times New Roman"/>
          <w:sz w:val="24"/>
          <w:szCs w:val="24"/>
        </w:rPr>
        <w:t xml:space="preserve"> </w:t>
      </w:r>
      <w:r w:rsidR="00C324DA" w:rsidRPr="00F65CA9">
        <w:rPr>
          <w:rFonts w:ascii="Times New Roman" w:hAnsi="Times New Roman" w:cs="Times New Roman"/>
          <w:sz w:val="24"/>
          <w:szCs w:val="24"/>
        </w:rPr>
        <w:br/>
      </w:r>
      <w:r w:rsidR="000B278B" w:rsidRPr="00F65CA9">
        <w:rPr>
          <w:rFonts w:ascii="Times New Roman" w:hAnsi="Times New Roman" w:cs="Times New Roman"/>
          <w:sz w:val="24"/>
          <w:szCs w:val="24"/>
        </w:rPr>
        <w:t>z organizacjami pozarządowymi</w:t>
      </w:r>
      <w:r w:rsidRPr="00F65CA9">
        <w:rPr>
          <w:rFonts w:ascii="Times New Roman" w:hAnsi="Times New Roman" w:cs="Times New Roman"/>
          <w:sz w:val="24"/>
          <w:szCs w:val="24"/>
        </w:rPr>
        <w:t xml:space="preserve"> zakłada się wprowadzenie zmian</w:t>
      </w:r>
      <w:r w:rsidR="000B278B" w:rsidRPr="00F65CA9">
        <w:rPr>
          <w:rFonts w:ascii="Times New Roman" w:hAnsi="Times New Roman" w:cs="Times New Roman"/>
          <w:sz w:val="24"/>
          <w:szCs w:val="24"/>
        </w:rPr>
        <w:t xml:space="preserve"> w zakresie tworzenia rocznych lub wieloletnich programów współpracy jednostek samorządu terytorialnego</w:t>
      </w:r>
      <w:r w:rsidR="00C324DA" w:rsidRPr="00F65CA9">
        <w:rPr>
          <w:rFonts w:ascii="Times New Roman" w:hAnsi="Times New Roman" w:cs="Times New Roman"/>
          <w:sz w:val="24"/>
          <w:szCs w:val="24"/>
        </w:rPr>
        <w:t xml:space="preserve"> </w:t>
      </w:r>
      <w:r w:rsidR="00C324DA" w:rsidRPr="00F65CA9">
        <w:rPr>
          <w:rFonts w:ascii="Times New Roman" w:hAnsi="Times New Roman" w:cs="Times New Roman"/>
          <w:sz w:val="24"/>
          <w:szCs w:val="24"/>
        </w:rPr>
        <w:br/>
      </w:r>
      <w:r w:rsidR="000B278B" w:rsidRPr="00F65CA9">
        <w:rPr>
          <w:rFonts w:ascii="Times New Roman" w:hAnsi="Times New Roman" w:cs="Times New Roman"/>
          <w:sz w:val="24"/>
          <w:szCs w:val="24"/>
        </w:rPr>
        <w:t xml:space="preserve">z organizacji pozarządowymi. </w:t>
      </w:r>
      <w:r w:rsidR="00CC1F5B" w:rsidRPr="00F65CA9">
        <w:rPr>
          <w:rFonts w:ascii="Times New Roman" w:hAnsi="Times New Roman" w:cs="Times New Roman"/>
          <w:sz w:val="24"/>
          <w:szCs w:val="24"/>
        </w:rPr>
        <w:t>P</w:t>
      </w:r>
      <w:r w:rsidR="000B278B" w:rsidRPr="00F65CA9">
        <w:rPr>
          <w:rFonts w:ascii="Times New Roman" w:hAnsi="Times New Roman" w:cs="Times New Roman"/>
          <w:sz w:val="24"/>
          <w:szCs w:val="24"/>
        </w:rPr>
        <w:t>roponowana zmiana m</w:t>
      </w:r>
      <w:r w:rsidRPr="00F65CA9">
        <w:rPr>
          <w:rFonts w:ascii="Times New Roman" w:hAnsi="Times New Roman" w:cs="Times New Roman"/>
          <w:sz w:val="24"/>
          <w:szCs w:val="24"/>
        </w:rPr>
        <w:t>a charakter doprecyzowujący i</w:t>
      </w:r>
      <w:r w:rsidR="00FD1DC2">
        <w:rPr>
          <w:rFonts w:ascii="Times New Roman" w:hAnsi="Times New Roman" w:cs="Times New Roman"/>
          <w:sz w:val="24"/>
          <w:szCs w:val="24"/>
        </w:rPr>
        <w:t> </w:t>
      </w:r>
      <w:r w:rsidRPr="00F65CA9">
        <w:rPr>
          <w:rFonts w:ascii="Times New Roman" w:hAnsi="Times New Roman" w:cs="Times New Roman"/>
          <w:sz w:val="24"/>
          <w:szCs w:val="24"/>
        </w:rPr>
        <w:t>przyczyni</w:t>
      </w:r>
      <w:r w:rsidR="000B278B" w:rsidRPr="00F65CA9">
        <w:rPr>
          <w:rFonts w:ascii="Times New Roman" w:hAnsi="Times New Roman" w:cs="Times New Roman"/>
          <w:sz w:val="24"/>
          <w:szCs w:val="24"/>
        </w:rPr>
        <w:t xml:space="preserve"> </w:t>
      </w:r>
      <w:r w:rsidRPr="00F65CA9">
        <w:rPr>
          <w:rFonts w:ascii="Times New Roman" w:hAnsi="Times New Roman" w:cs="Times New Roman"/>
          <w:sz w:val="24"/>
          <w:szCs w:val="24"/>
        </w:rPr>
        <w:t>się do</w:t>
      </w:r>
      <w:r w:rsidR="000B278B" w:rsidRPr="00F65CA9">
        <w:rPr>
          <w:rFonts w:ascii="Times New Roman" w:hAnsi="Times New Roman" w:cs="Times New Roman"/>
          <w:sz w:val="24"/>
          <w:szCs w:val="24"/>
        </w:rPr>
        <w:t xml:space="preserve"> </w:t>
      </w:r>
      <w:r w:rsidRPr="00F65CA9">
        <w:rPr>
          <w:rFonts w:ascii="Times New Roman" w:hAnsi="Times New Roman" w:cs="Times New Roman"/>
          <w:sz w:val="24"/>
          <w:szCs w:val="24"/>
        </w:rPr>
        <w:t>ujednolicenia</w:t>
      </w:r>
      <w:r w:rsidR="00CC1F5B" w:rsidRPr="00F65CA9">
        <w:rPr>
          <w:rFonts w:ascii="Times New Roman" w:hAnsi="Times New Roman" w:cs="Times New Roman"/>
          <w:sz w:val="24"/>
          <w:szCs w:val="24"/>
        </w:rPr>
        <w:t xml:space="preserve"> dotychczasowej praktyki </w:t>
      </w:r>
      <w:r w:rsidRPr="00F65CA9">
        <w:rPr>
          <w:rFonts w:ascii="Times New Roman" w:hAnsi="Times New Roman" w:cs="Times New Roman"/>
          <w:sz w:val="24"/>
          <w:szCs w:val="24"/>
        </w:rPr>
        <w:t>oraz wyeliminowania</w:t>
      </w:r>
      <w:r w:rsidR="00CC1F5B" w:rsidRPr="00F65CA9">
        <w:rPr>
          <w:rFonts w:ascii="Times New Roman" w:hAnsi="Times New Roman" w:cs="Times New Roman"/>
          <w:sz w:val="24"/>
          <w:szCs w:val="24"/>
        </w:rPr>
        <w:t xml:space="preserve"> wątpliwości interpretacyjnych dotyczących charakteru prawnego ww. programu. Zamierzony efekt ma zostać osiągnięty poprzez jednoznaczne wskazanie w nowelizowanym przepisie art. 5a ustawy, że roczne oraz wieloletnie programy współpracy jednostek samorządu terytorialnego</w:t>
      </w:r>
      <w:r w:rsidR="00C324DA" w:rsidRPr="00F65CA9">
        <w:rPr>
          <w:rFonts w:ascii="Times New Roman" w:hAnsi="Times New Roman" w:cs="Times New Roman"/>
          <w:sz w:val="24"/>
          <w:szCs w:val="24"/>
        </w:rPr>
        <w:t xml:space="preserve"> </w:t>
      </w:r>
      <w:r w:rsidR="00C324DA" w:rsidRPr="00F65CA9">
        <w:rPr>
          <w:rFonts w:ascii="Times New Roman" w:hAnsi="Times New Roman" w:cs="Times New Roman"/>
          <w:sz w:val="24"/>
          <w:szCs w:val="24"/>
        </w:rPr>
        <w:br/>
        <w:t>z organizacjami</w:t>
      </w:r>
      <w:r w:rsidR="00CC1F5B" w:rsidRPr="00F65CA9">
        <w:rPr>
          <w:rFonts w:ascii="Times New Roman" w:hAnsi="Times New Roman" w:cs="Times New Roman"/>
          <w:sz w:val="24"/>
          <w:szCs w:val="24"/>
        </w:rPr>
        <w:t xml:space="preserve"> pozarządowymi nie stanowią aktów prawa miejscowego.</w:t>
      </w:r>
      <w:r w:rsidR="006F0CC4" w:rsidRPr="00F65CA9">
        <w:rPr>
          <w:rFonts w:ascii="Times New Roman" w:hAnsi="Times New Roman" w:cs="Times New Roman"/>
          <w:sz w:val="24"/>
          <w:szCs w:val="24"/>
        </w:rPr>
        <w:t xml:space="preserve"> Należy podkreślić, że proponowana zmiana stanowi również realizację wniosku pokontrolnego Najwyższej Izby Kontroli</w:t>
      </w:r>
      <w:r w:rsidR="006F0CC4" w:rsidRPr="00F65CA9">
        <w:rPr>
          <w:rStyle w:val="Odwoanieprzypisudolnego"/>
          <w:rFonts w:ascii="Times New Roman" w:hAnsi="Times New Roman" w:cs="Times New Roman"/>
          <w:sz w:val="24"/>
          <w:szCs w:val="24"/>
        </w:rPr>
        <w:footnoteReference w:id="7"/>
      </w:r>
      <w:r w:rsidR="006F0CC4" w:rsidRPr="00F65CA9">
        <w:rPr>
          <w:rFonts w:ascii="Times New Roman" w:hAnsi="Times New Roman" w:cs="Times New Roman"/>
          <w:sz w:val="24"/>
          <w:szCs w:val="24"/>
        </w:rPr>
        <w:t>.</w:t>
      </w:r>
      <w:r w:rsidR="001D30B9">
        <w:rPr>
          <w:rFonts w:ascii="Times New Roman" w:hAnsi="Times New Roman" w:cs="Times New Roman"/>
          <w:sz w:val="24"/>
          <w:szCs w:val="24"/>
        </w:rPr>
        <w:t xml:space="preserve"> NIK uznała analizowane programy </w:t>
      </w:r>
      <w:r w:rsidR="001D30B9" w:rsidRPr="001D30B9">
        <w:rPr>
          <w:rFonts w:ascii="Times New Roman" w:hAnsi="Times New Roman" w:cs="Times New Roman"/>
          <w:sz w:val="24"/>
          <w:szCs w:val="24"/>
        </w:rPr>
        <w:t>za akty prawa miejscowego: „biorąc pod uwagę materię tych programów w objętych kontrolą jednostkach, skierowaną do nieokreślonego kręgu odbiorców (organizacji pozarządowych i podmiotów pożytku publicznego), a także powszechność jego obowiązywania, zasadne wydaje się uznanie, że w takich przypadkach uchwała podejmowana na podstawie art. 5a ust. 1 i ust. 4 udpp</w:t>
      </w:r>
      <w:r w:rsidR="00213187">
        <w:rPr>
          <w:rFonts w:ascii="Times New Roman" w:hAnsi="Times New Roman" w:cs="Times New Roman"/>
          <w:sz w:val="24"/>
          <w:szCs w:val="24"/>
        </w:rPr>
        <w:t>w</w:t>
      </w:r>
      <w:r w:rsidR="001D30B9" w:rsidRPr="001D30B9">
        <w:rPr>
          <w:rFonts w:ascii="Times New Roman" w:hAnsi="Times New Roman" w:cs="Times New Roman"/>
          <w:sz w:val="24"/>
          <w:szCs w:val="24"/>
        </w:rPr>
        <w:t xml:space="preserve"> jest aktem prawa miejscowego”</w:t>
      </w:r>
      <w:r w:rsidR="001D30B9">
        <w:rPr>
          <w:rFonts w:ascii="Times New Roman" w:hAnsi="Times New Roman" w:cs="Times New Roman"/>
          <w:sz w:val="24"/>
          <w:szCs w:val="24"/>
        </w:rPr>
        <w:t xml:space="preserve">. </w:t>
      </w:r>
      <w:r w:rsidR="001D30B9" w:rsidRPr="001D30B9">
        <w:rPr>
          <w:rFonts w:ascii="Times New Roman" w:hAnsi="Times New Roman" w:cs="Times New Roman"/>
          <w:sz w:val="24"/>
          <w:szCs w:val="24"/>
        </w:rPr>
        <w:t>Jednocześnie odnosząc się do praktyki</w:t>
      </w:r>
      <w:r w:rsidR="001D30B9">
        <w:rPr>
          <w:rFonts w:ascii="Times New Roman" w:hAnsi="Times New Roman" w:cs="Times New Roman"/>
          <w:sz w:val="24"/>
          <w:szCs w:val="24"/>
        </w:rPr>
        <w:t xml:space="preserve"> orzeczniczej</w:t>
      </w:r>
      <w:r w:rsidR="001D30B9" w:rsidRPr="001D30B9">
        <w:rPr>
          <w:rFonts w:ascii="Times New Roman" w:hAnsi="Times New Roman" w:cs="Times New Roman"/>
          <w:sz w:val="24"/>
          <w:szCs w:val="24"/>
        </w:rPr>
        <w:t xml:space="preserve"> (stojącej w sprzeczności z</w:t>
      </w:r>
      <w:r w:rsidR="006675E1">
        <w:rPr>
          <w:rFonts w:ascii="Times New Roman" w:hAnsi="Times New Roman" w:cs="Times New Roman"/>
          <w:sz w:val="24"/>
          <w:szCs w:val="24"/>
        </w:rPr>
        <w:t> </w:t>
      </w:r>
      <w:r w:rsidR="001D30B9" w:rsidRPr="001D30B9">
        <w:rPr>
          <w:rFonts w:ascii="Times New Roman" w:hAnsi="Times New Roman" w:cs="Times New Roman"/>
          <w:sz w:val="24"/>
          <w:szCs w:val="24"/>
        </w:rPr>
        <w:t xml:space="preserve">opinią części doktryny) NIK stwierdziła, że „pogląd ten należy uznać za trafny pod </w:t>
      </w:r>
      <w:r w:rsidR="006675E1">
        <w:rPr>
          <w:rFonts w:ascii="Times New Roman" w:hAnsi="Times New Roman" w:cs="Times New Roman"/>
          <w:sz w:val="24"/>
          <w:szCs w:val="24"/>
        </w:rPr>
        <w:t> </w:t>
      </w:r>
      <w:r w:rsidR="001D30B9" w:rsidRPr="001D30B9">
        <w:rPr>
          <w:rFonts w:ascii="Times New Roman" w:hAnsi="Times New Roman" w:cs="Times New Roman"/>
          <w:sz w:val="24"/>
          <w:szCs w:val="24"/>
        </w:rPr>
        <w:t>warunkiem, że konkretny program faktycznie zawiera normy o charakterze generalno-abstrakcyjnym. Nie każdy zatem program jest z definicji aktem prawa miejscowego. Stąd też w rozstrzygnięciach nadzorczych wojewodów pojawia się rozbieżność”</w:t>
      </w:r>
      <w:r w:rsidR="001D30B9">
        <w:rPr>
          <w:rFonts w:ascii="Times New Roman" w:hAnsi="Times New Roman" w:cs="Times New Roman"/>
          <w:sz w:val="24"/>
          <w:szCs w:val="24"/>
        </w:rPr>
        <w:t>.</w:t>
      </w:r>
      <w:r w:rsidR="006967FF">
        <w:rPr>
          <w:rFonts w:ascii="Times New Roman" w:hAnsi="Times New Roman" w:cs="Times New Roman"/>
          <w:sz w:val="24"/>
          <w:szCs w:val="24"/>
        </w:rPr>
        <w:t xml:space="preserve"> W celu wyeliminowania wątpliwości interpretacyjnych należy ten problem rozwiązać interwencją ustawową poprzez jednoznaczne przesądzenie, że programy współpracy nie są aktami prawa miejscowego. Są to bowiem dokumenty o charakterze planistycznym</w:t>
      </w:r>
      <w:r w:rsidR="00A93C1C">
        <w:rPr>
          <w:rFonts w:ascii="Times New Roman" w:hAnsi="Times New Roman" w:cs="Times New Roman"/>
          <w:sz w:val="24"/>
          <w:szCs w:val="24"/>
        </w:rPr>
        <w:t>.</w:t>
      </w:r>
    </w:p>
    <w:p w14:paraId="75AD4B79" w14:textId="065B8F5A" w:rsidR="00E952F6" w:rsidRPr="00F65CA9" w:rsidRDefault="00734FE1" w:rsidP="0019225C">
      <w:pPr>
        <w:spacing w:after="0"/>
        <w:jc w:val="both"/>
        <w:rPr>
          <w:rFonts w:ascii="Times New Roman" w:hAnsi="Times New Roman" w:cs="Times New Roman"/>
          <w:sz w:val="24"/>
          <w:szCs w:val="24"/>
        </w:rPr>
      </w:pPr>
      <w:r w:rsidRPr="00F65CA9">
        <w:rPr>
          <w:rFonts w:ascii="Times New Roman" w:hAnsi="Times New Roman" w:cs="Times New Roman"/>
          <w:sz w:val="24"/>
          <w:szCs w:val="24"/>
        </w:rPr>
        <w:t>Pr</w:t>
      </w:r>
      <w:r w:rsidR="00C324DA" w:rsidRPr="00F65CA9">
        <w:rPr>
          <w:rFonts w:ascii="Times New Roman" w:hAnsi="Times New Roman" w:cs="Times New Roman"/>
          <w:sz w:val="24"/>
          <w:szCs w:val="24"/>
        </w:rPr>
        <w:t>zedstawione</w:t>
      </w:r>
      <w:r w:rsidRPr="00F65CA9">
        <w:rPr>
          <w:rFonts w:ascii="Times New Roman" w:hAnsi="Times New Roman" w:cs="Times New Roman"/>
          <w:sz w:val="24"/>
          <w:szCs w:val="24"/>
        </w:rPr>
        <w:t xml:space="preserve"> w projekcie </w:t>
      </w:r>
      <w:r w:rsidR="00F47B8D" w:rsidRPr="00F65CA9">
        <w:rPr>
          <w:rFonts w:ascii="Times New Roman" w:hAnsi="Times New Roman" w:cs="Times New Roman"/>
          <w:sz w:val="24"/>
          <w:szCs w:val="24"/>
        </w:rPr>
        <w:t xml:space="preserve">nowelizacji ustawy </w:t>
      </w:r>
      <w:r w:rsidRPr="00F65CA9">
        <w:rPr>
          <w:rFonts w:ascii="Times New Roman" w:hAnsi="Times New Roman" w:cs="Times New Roman"/>
          <w:sz w:val="24"/>
          <w:szCs w:val="24"/>
        </w:rPr>
        <w:t>zmiany zostały opracowane na podstawie uwag zgłaszanych</w:t>
      </w:r>
      <w:r w:rsidR="0019225C" w:rsidRPr="00F65CA9">
        <w:rPr>
          <w:rFonts w:ascii="Times New Roman" w:hAnsi="Times New Roman" w:cs="Times New Roman"/>
          <w:sz w:val="24"/>
          <w:szCs w:val="24"/>
        </w:rPr>
        <w:t xml:space="preserve"> </w:t>
      </w:r>
      <w:r w:rsidRPr="00F65CA9">
        <w:rPr>
          <w:rFonts w:ascii="Times New Roman" w:hAnsi="Times New Roman" w:cs="Times New Roman"/>
          <w:sz w:val="24"/>
          <w:szCs w:val="24"/>
        </w:rPr>
        <w:t>zarówno przez administrację publiczną, w tym jednostki</w:t>
      </w:r>
      <w:r w:rsidR="0019225C" w:rsidRPr="00F65CA9">
        <w:rPr>
          <w:rFonts w:ascii="Times New Roman" w:hAnsi="Times New Roman" w:cs="Times New Roman"/>
          <w:sz w:val="24"/>
          <w:szCs w:val="24"/>
        </w:rPr>
        <w:t xml:space="preserve"> samorządu terytorialnego</w:t>
      </w:r>
      <w:r w:rsidR="0095376D">
        <w:rPr>
          <w:rFonts w:ascii="Times New Roman" w:hAnsi="Times New Roman" w:cs="Times New Roman"/>
          <w:sz w:val="24"/>
          <w:szCs w:val="24"/>
        </w:rPr>
        <w:t>,</w:t>
      </w:r>
      <w:r w:rsidR="0019225C" w:rsidRPr="00F65CA9">
        <w:rPr>
          <w:rFonts w:ascii="Times New Roman" w:hAnsi="Times New Roman" w:cs="Times New Roman"/>
          <w:sz w:val="24"/>
          <w:szCs w:val="24"/>
        </w:rPr>
        <w:t xml:space="preserve"> jak i </w:t>
      </w:r>
      <w:r w:rsidRPr="00F65CA9">
        <w:rPr>
          <w:rFonts w:ascii="Times New Roman" w:hAnsi="Times New Roman" w:cs="Times New Roman"/>
          <w:sz w:val="24"/>
          <w:szCs w:val="24"/>
        </w:rPr>
        <w:t>organizacje pozarządowe.</w:t>
      </w:r>
    </w:p>
    <w:p w14:paraId="14354B0F" w14:textId="77777777" w:rsidR="0019225C" w:rsidRPr="00F65CA9" w:rsidRDefault="0019225C" w:rsidP="0019225C">
      <w:pPr>
        <w:spacing w:after="0"/>
        <w:jc w:val="both"/>
        <w:rPr>
          <w:rFonts w:ascii="Times New Roman" w:hAnsi="Times New Roman" w:cs="Times New Roman"/>
          <w:sz w:val="24"/>
          <w:szCs w:val="24"/>
        </w:rPr>
      </w:pPr>
    </w:p>
    <w:p w14:paraId="5B8D39B7" w14:textId="3E6886C3" w:rsidR="0019225C" w:rsidRPr="00F65CA9" w:rsidRDefault="00623FB2" w:rsidP="00B6650C">
      <w:pPr>
        <w:jc w:val="both"/>
        <w:rPr>
          <w:rFonts w:ascii="Times New Roman" w:hAnsi="Times New Roman" w:cs="Times New Roman"/>
          <w:sz w:val="24"/>
          <w:szCs w:val="24"/>
        </w:rPr>
      </w:pPr>
      <w:r w:rsidRPr="00F65CA9">
        <w:rPr>
          <w:rFonts w:ascii="Times New Roman" w:hAnsi="Times New Roman" w:cs="Times New Roman"/>
          <w:sz w:val="24"/>
          <w:szCs w:val="24"/>
        </w:rPr>
        <w:t>W</w:t>
      </w:r>
      <w:r w:rsidR="0019225C" w:rsidRPr="00F65CA9">
        <w:rPr>
          <w:rFonts w:ascii="Times New Roman" w:hAnsi="Times New Roman" w:cs="Times New Roman"/>
          <w:sz w:val="24"/>
          <w:szCs w:val="24"/>
        </w:rPr>
        <w:t xml:space="preserve"> zakresie obowiązków sprawozdawczych organizacji pożytku publicznego przedmiotowy projekt nowelizacji ustawy zakłada zmianę art. 23 ust. 6c ustawy poprzez aktualizację obowiązujących limitów kwotowych. Proponowana zmiana </w:t>
      </w:r>
      <w:r w:rsidR="00D60F73" w:rsidRPr="00F65CA9">
        <w:rPr>
          <w:rFonts w:ascii="Times New Roman" w:hAnsi="Times New Roman" w:cs="Times New Roman"/>
          <w:sz w:val="24"/>
          <w:szCs w:val="24"/>
        </w:rPr>
        <w:t>przewiduje podwyższenie</w:t>
      </w:r>
      <w:r w:rsidR="0019225C" w:rsidRPr="00F65CA9">
        <w:rPr>
          <w:rFonts w:ascii="Times New Roman" w:hAnsi="Times New Roman" w:cs="Times New Roman"/>
          <w:sz w:val="24"/>
          <w:szCs w:val="24"/>
        </w:rPr>
        <w:t xml:space="preserve"> </w:t>
      </w:r>
      <w:r w:rsidR="00D60F73" w:rsidRPr="00F65CA9">
        <w:rPr>
          <w:rFonts w:ascii="Times New Roman" w:hAnsi="Times New Roman" w:cs="Times New Roman"/>
          <w:sz w:val="24"/>
          <w:szCs w:val="24"/>
        </w:rPr>
        <w:t xml:space="preserve">progu </w:t>
      </w:r>
      <w:r w:rsidR="0019225C" w:rsidRPr="00F65CA9">
        <w:rPr>
          <w:rFonts w:ascii="Times New Roman" w:hAnsi="Times New Roman" w:cs="Times New Roman"/>
          <w:sz w:val="24"/>
          <w:szCs w:val="24"/>
        </w:rPr>
        <w:t>rocznej kwoty przychodu organizacji pożytku publicznego</w:t>
      </w:r>
      <w:r w:rsidR="00D60F73" w:rsidRPr="00F65CA9">
        <w:rPr>
          <w:rFonts w:ascii="Times New Roman" w:hAnsi="Times New Roman" w:cs="Times New Roman"/>
          <w:sz w:val="24"/>
          <w:szCs w:val="24"/>
        </w:rPr>
        <w:t xml:space="preserve"> </w:t>
      </w:r>
      <w:r w:rsidR="00F47B8D" w:rsidRPr="00F65CA9">
        <w:rPr>
          <w:rFonts w:ascii="Times New Roman" w:hAnsi="Times New Roman" w:cs="Times New Roman"/>
          <w:sz w:val="24"/>
          <w:szCs w:val="24"/>
        </w:rPr>
        <w:t>uprawniającego do składania rocznych sprawozdań merytorycznych</w:t>
      </w:r>
      <w:r w:rsidR="007233BB" w:rsidRPr="00F65CA9">
        <w:rPr>
          <w:rFonts w:ascii="Times New Roman" w:hAnsi="Times New Roman" w:cs="Times New Roman"/>
          <w:sz w:val="24"/>
          <w:szCs w:val="24"/>
        </w:rPr>
        <w:t xml:space="preserve"> z działalności</w:t>
      </w:r>
      <w:r w:rsidR="00F47B8D" w:rsidRPr="00F65CA9">
        <w:rPr>
          <w:rFonts w:ascii="Times New Roman" w:hAnsi="Times New Roman" w:cs="Times New Roman"/>
          <w:sz w:val="24"/>
          <w:szCs w:val="24"/>
        </w:rPr>
        <w:t xml:space="preserve"> w formie uproszczonego sprawozdania </w:t>
      </w:r>
      <w:r w:rsidR="00D60F73" w:rsidRPr="00F65CA9">
        <w:rPr>
          <w:rFonts w:ascii="Times New Roman" w:hAnsi="Times New Roman" w:cs="Times New Roman"/>
          <w:sz w:val="24"/>
          <w:szCs w:val="24"/>
        </w:rPr>
        <w:t>z</w:t>
      </w:r>
      <w:r w:rsidR="006675E1">
        <w:rPr>
          <w:rFonts w:ascii="Times New Roman" w:hAnsi="Times New Roman" w:cs="Times New Roman"/>
          <w:sz w:val="24"/>
          <w:szCs w:val="24"/>
        </w:rPr>
        <w:t> </w:t>
      </w:r>
      <w:r w:rsidR="00D60F73" w:rsidRPr="00F65CA9">
        <w:rPr>
          <w:rFonts w:ascii="Times New Roman" w:hAnsi="Times New Roman" w:cs="Times New Roman"/>
          <w:sz w:val="24"/>
          <w:szCs w:val="24"/>
        </w:rPr>
        <w:t>kwoty 100 tys. zł do 200 tys. zł</w:t>
      </w:r>
      <w:r w:rsidR="0019225C" w:rsidRPr="00F65CA9">
        <w:rPr>
          <w:rFonts w:ascii="Times New Roman" w:hAnsi="Times New Roman" w:cs="Times New Roman"/>
          <w:sz w:val="24"/>
          <w:szCs w:val="24"/>
        </w:rPr>
        <w:t>. Obowiązujący limit kwotowy został wprowadzony w 2015</w:t>
      </w:r>
      <w:r w:rsidR="006675E1">
        <w:rPr>
          <w:rFonts w:ascii="Times New Roman" w:hAnsi="Times New Roman" w:cs="Times New Roman"/>
          <w:sz w:val="24"/>
          <w:szCs w:val="24"/>
        </w:rPr>
        <w:t> </w:t>
      </w:r>
      <w:r w:rsidR="0019225C" w:rsidRPr="00F65CA9">
        <w:rPr>
          <w:rFonts w:ascii="Times New Roman" w:hAnsi="Times New Roman" w:cs="Times New Roman"/>
          <w:sz w:val="24"/>
          <w:szCs w:val="24"/>
        </w:rPr>
        <w:t>r. i wymaga aktualizacji.</w:t>
      </w:r>
      <w:r w:rsidR="00712D9A" w:rsidRPr="00F65CA9">
        <w:rPr>
          <w:rFonts w:ascii="Times New Roman" w:hAnsi="Times New Roman" w:cs="Times New Roman"/>
          <w:sz w:val="24"/>
          <w:szCs w:val="24"/>
        </w:rPr>
        <w:t xml:space="preserve"> Wspomniane</w:t>
      </w:r>
      <w:r w:rsidR="007233BB" w:rsidRPr="00F65CA9">
        <w:rPr>
          <w:rFonts w:ascii="Times New Roman" w:hAnsi="Times New Roman" w:cs="Times New Roman"/>
          <w:sz w:val="24"/>
          <w:szCs w:val="24"/>
        </w:rPr>
        <w:t xml:space="preserve"> </w:t>
      </w:r>
      <w:r w:rsidR="00712D9A" w:rsidRPr="00F65CA9">
        <w:rPr>
          <w:rFonts w:ascii="Times New Roman" w:hAnsi="Times New Roman" w:cs="Times New Roman"/>
          <w:sz w:val="24"/>
          <w:szCs w:val="24"/>
        </w:rPr>
        <w:t>badania GUS z 2024 r. dotyczące sektora non-profit w</w:t>
      </w:r>
      <w:r w:rsidR="006675E1">
        <w:rPr>
          <w:rFonts w:ascii="Times New Roman" w:hAnsi="Times New Roman" w:cs="Times New Roman"/>
          <w:sz w:val="24"/>
          <w:szCs w:val="24"/>
        </w:rPr>
        <w:t> </w:t>
      </w:r>
      <w:r w:rsidR="00712D9A" w:rsidRPr="00F65CA9">
        <w:rPr>
          <w:rFonts w:ascii="Times New Roman" w:hAnsi="Times New Roman" w:cs="Times New Roman"/>
          <w:sz w:val="24"/>
          <w:szCs w:val="24"/>
        </w:rPr>
        <w:t xml:space="preserve">Polsce </w:t>
      </w:r>
      <w:r w:rsidR="00B6650C" w:rsidRPr="00F65CA9">
        <w:rPr>
          <w:rFonts w:ascii="Times New Roman" w:hAnsi="Times New Roman" w:cs="Times New Roman"/>
          <w:sz w:val="24"/>
          <w:szCs w:val="24"/>
        </w:rPr>
        <w:t xml:space="preserve">wskazują, że średnia wartość przychodów organizacji pożytku publicznego w 2022 r. wynosiła 1 715,0 tys. zł. Jednocześnie biorąc pod uwagę badanie GUS z 2018 r. dotyczące organizacji pozarządowych w Polsce, z których wynika, że średnia wartość przychodów tych organizacji w 2016 r. </w:t>
      </w:r>
      <w:r w:rsidR="00C324DA" w:rsidRPr="00F65CA9">
        <w:rPr>
          <w:rFonts w:ascii="Times New Roman" w:hAnsi="Times New Roman" w:cs="Times New Roman"/>
          <w:sz w:val="24"/>
          <w:szCs w:val="24"/>
        </w:rPr>
        <w:t>stanowiła</w:t>
      </w:r>
      <w:r w:rsidR="00B6650C" w:rsidRPr="00F65CA9">
        <w:rPr>
          <w:rFonts w:ascii="Times New Roman" w:hAnsi="Times New Roman" w:cs="Times New Roman"/>
          <w:sz w:val="24"/>
          <w:szCs w:val="24"/>
        </w:rPr>
        <w:t xml:space="preserve"> jedynie 819 tys. zł, oznacza to wzrost na przestrzeni 6 lat średniej wartości przychodów ww. organizacji o prawie 110%. </w:t>
      </w:r>
      <w:r w:rsidR="00B765AF" w:rsidRPr="00F65CA9">
        <w:rPr>
          <w:rFonts w:ascii="Times New Roman" w:eastAsia="Calibri" w:hAnsi="Times New Roman" w:cs="Times New Roman"/>
          <w:sz w:val="24"/>
          <w:szCs w:val="24"/>
        </w:rPr>
        <w:t>Z kolei według danych</w:t>
      </w:r>
      <w:r w:rsidR="00B765AF" w:rsidRPr="00F65CA9">
        <w:rPr>
          <w:rFonts w:ascii="Times New Roman" w:eastAsia="Calibri" w:hAnsi="Times New Roman" w:cs="Times New Roman"/>
          <w:sz w:val="24"/>
          <w:szCs w:val="24"/>
          <w:vertAlign w:val="superscript"/>
        </w:rPr>
        <w:footnoteReference w:id="8"/>
      </w:r>
      <w:r w:rsidR="00B765AF" w:rsidRPr="00F65CA9">
        <w:rPr>
          <w:rFonts w:ascii="Times New Roman" w:eastAsia="Calibri" w:hAnsi="Times New Roman" w:cs="Times New Roman"/>
          <w:sz w:val="24"/>
          <w:szCs w:val="24"/>
        </w:rPr>
        <w:t xml:space="preserve">  Narodowego Instytutu Wolności</w:t>
      </w:r>
      <w:r w:rsidR="00A5782A">
        <w:rPr>
          <w:rFonts w:ascii="Times New Roman" w:eastAsia="Calibri" w:hAnsi="Times New Roman" w:cs="Times New Roman"/>
          <w:sz w:val="24"/>
          <w:szCs w:val="24"/>
        </w:rPr>
        <w:t xml:space="preserve"> </w:t>
      </w:r>
      <w:r w:rsidR="00B765AF" w:rsidRPr="00F65CA9">
        <w:rPr>
          <w:rFonts w:ascii="Times New Roman" w:eastAsia="Calibri" w:hAnsi="Times New Roman" w:cs="Times New Roman"/>
          <w:sz w:val="24"/>
          <w:szCs w:val="24"/>
        </w:rPr>
        <w:t>- Centrum Rozwoju Społeczeństwa Obywatelskiego z</w:t>
      </w:r>
      <w:r w:rsidR="006675E1">
        <w:rPr>
          <w:rFonts w:ascii="Times New Roman" w:eastAsia="Calibri" w:hAnsi="Times New Roman" w:cs="Times New Roman"/>
          <w:sz w:val="24"/>
          <w:szCs w:val="24"/>
        </w:rPr>
        <w:t> </w:t>
      </w:r>
      <w:r w:rsidR="00B765AF" w:rsidRPr="00F65CA9">
        <w:rPr>
          <w:rFonts w:ascii="Times New Roman" w:eastAsia="Calibri" w:hAnsi="Times New Roman" w:cs="Times New Roman"/>
          <w:sz w:val="24"/>
          <w:szCs w:val="24"/>
        </w:rPr>
        <w:t>siedzibą w Warszawie</w:t>
      </w:r>
      <w:r w:rsidR="00B765AF" w:rsidRPr="00F65CA9">
        <w:rPr>
          <w:rFonts w:ascii="Times New Roman" w:eastAsia="Calibri" w:hAnsi="Times New Roman" w:cs="Times New Roman"/>
          <w:sz w:val="24"/>
          <w:szCs w:val="24"/>
          <w:vertAlign w:val="superscript"/>
        </w:rPr>
        <w:footnoteReference w:id="9"/>
      </w:r>
      <w:r w:rsidR="00B765AF" w:rsidRPr="00F65CA9">
        <w:rPr>
          <w:rFonts w:ascii="Times New Roman" w:eastAsia="Calibri" w:hAnsi="Times New Roman" w:cs="Times New Roman"/>
          <w:sz w:val="24"/>
          <w:szCs w:val="24"/>
        </w:rPr>
        <w:t xml:space="preserve"> za lata 2020-2023 wynika, że pomimo zwiększającej się liczby organizacji pożytku publicznego, zmniejsza się liczba tych organizacji, które sporządzają uproszczone sprawozdanie merytoryczne z działalności (za 2020 r. 4786 organizacji złożyło ww. sprawozdanie, co stanowiło 50,6% ogółu podmiotów, które wypełniło obowiązek sprawozdawczy; natomiast za 2023 r. zaledwie 3 947 organizacji złożyło ww. sprawozdanie, co stanowi jedynie 40,76% ogółu podmiotów, które wypełniło obowiązek sprawozdawczy). Proponowan</w:t>
      </w:r>
      <w:r w:rsidR="0095376D">
        <w:rPr>
          <w:rFonts w:ascii="Times New Roman" w:eastAsia="Calibri" w:hAnsi="Times New Roman" w:cs="Times New Roman"/>
          <w:sz w:val="24"/>
          <w:szCs w:val="24"/>
        </w:rPr>
        <w:t>e</w:t>
      </w:r>
      <w:r w:rsidR="00B765AF" w:rsidRPr="00F65CA9">
        <w:rPr>
          <w:rFonts w:ascii="Times New Roman" w:eastAsia="Calibri" w:hAnsi="Times New Roman" w:cs="Times New Roman"/>
          <w:sz w:val="24"/>
          <w:szCs w:val="24"/>
        </w:rPr>
        <w:t xml:space="preserve"> podniesienie ww. kwoty progu do wysokości 200 tys. zł, będzie skutkowało, zgodnie z danymi NIW-CRSO, zwiększeniem o 1 182 liczby organizacji pożytku publicznego uprawnionych do składania uproszczonego sprawozdania. W konsekwencji proponowanym rozwiązaniem zostałoby objętych niemal 53% organizacji posiadających status organizacji pożytku publicznego. Podsumowując</w:t>
      </w:r>
      <w:r w:rsidR="00B765AF" w:rsidRPr="00F65CA9">
        <w:rPr>
          <w:rFonts w:ascii="Times New Roman" w:hAnsi="Times New Roman" w:cs="Times New Roman"/>
          <w:sz w:val="24"/>
          <w:szCs w:val="24"/>
        </w:rPr>
        <w:t xml:space="preserve"> p</w:t>
      </w:r>
      <w:r w:rsidR="0019225C" w:rsidRPr="00F65CA9">
        <w:rPr>
          <w:rFonts w:ascii="Times New Roman" w:hAnsi="Times New Roman" w:cs="Times New Roman"/>
          <w:sz w:val="24"/>
          <w:szCs w:val="24"/>
        </w:rPr>
        <w:t xml:space="preserve">roponowana zmiana przyczyni się do ograniczenia obciążeń administracyjnych </w:t>
      </w:r>
      <w:r w:rsidR="00B765AF" w:rsidRPr="00F65CA9">
        <w:rPr>
          <w:rFonts w:ascii="Times New Roman" w:hAnsi="Times New Roman" w:cs="Times New Roman"/>
          <w:sz w:val="24"/>
          <w:szCs w:val="24"/>
        </w:rPr>
        <w:t xml:space="preserve">dla ponad 12% </w:t>
      </w:r>
      <w:r w:rsidR="0019225C" w:rsidRPr="00F65CA9">
        <w:rPr>
          <w:rFonts w:ascii="Times New Roman" w:hAnsi="Times New Roman" w:cs="Times New Roman"/>
          <w:sz w:val="24"/>
          <w:szCs w:val="24"/>
        </w:rPr>
        <w:t xml:space="preserve">organizacji pożytku publicznego poprzez zwiększenie liczby </w:t>
      </w:r>
      <w:r w:rsidR="00B6650C" w:rsidRPr="00F65CA9">
        <w:rPr>
          <w:rFonts w:ascii="Times New Roman" w:hAnsi="Times New Roman" w:cs="Times New Roman"/>
          <w:sz w:val="24"/>
          <w:szCs w:val="24"/>
        </w:rPr>
        <w:t>podmiotów</w:t>
      </w:r>
      <w:r w:rsidR="0019225C" w:rsidRPr="00F65CA9">
        <w:rPr>
          <w:rFonts w:ascii="Times New Roman" w:hAnsi="Times New Roman" w:cs="Times New Roman"/>
          <w:sz w:val="24"/>
          <w:szCs w:val="24"/>
        </w:rPr>
        <w:t xml:space="preserve"> mogących korzystać </w:t>
      </w:r>
      <w:r w:rsidR="00F47B8D" w:rsidRPr="00F65CA9">
        <w:rPr>
          <w:rFonts w:ascii="Times New Roman" w:hAnsi="Times New Roman" w:cs="Times New Roman"/>
          <w:sz w:val="24"/>
          <w:szCs w:val="24"/>
        </w:rPr>
        <w:t xml:space="preserve">z </w:t>
      </w:r>
      <w:r w:rsidR="0019225C" w:rsidRPr="00F65CA9">
        <w:rPr>
          <w:rFonts w:ascii="Times New Roman" w:hAnsi="Times New Roman" w:cs="Times New Roman"/>
          <w:sz w:val="24"/>
          <w:szCs w:val="24"/>
        </w:rPr>
        <w:t>możliwości sporządzania</w:t>
      </w:r>
      <w:r w:rsidR="00F47B8D" w:rsidRPr="00F65CA9">
        <w:rPr>
          <w:rFonts w:ascii="Times New Roman" w:hAnsi="Times New Roman" w:cs="Times New Roman"/>
          <w:sz w:val="24"/>
          <w:szCs w:val="24"/>
        </w:rPr>
        <w:t xml:space="preserve"> sprawozdania</w:t>
      </w:r>
      <w:r w:rsidR="0019225C" w:rsidRPr="00F65CA9">
        <w:rPr>
          <w:rFonts w:ascii="Times New Roman" w:hAnsi="Times New Roman" w:cs="Times New Roman"/>
          <w:sz w:val="24"/>
          <w:szCs w:val="24"/>
        </w:rPr>
        <w:t xml:space="preserve"> </w:t>
      </w:r>
      <w:r w:rsidR="00C324DA" w:rsidRPr="00F65CA9">
        <w:rPr>
          <w:rFonts w:ascii="Times New Roman" w:hAnsi="Times New Roman" w:cs="Times New Roman"/>
          <w:sz w:val="24"/>
          <w:szCs w:val="24"/>
        </w:rPr>
        <w:t xml:space="preserve">merytorycznego z działalności </w:t>
      </w:r>
      <w:r w:rsidR="00F47B8D" w:rsidRPr="00F65CA9">
        <w:rPr>
          <w:rFonts w:ascii="Times New Roman" w:hAnsi="Times New Roman" w:cs="Times New Roman"/>
          <w:sz w:val="24"/>
          <w:szCs w:val="24"/>
        </w:rPr>
        <w:t xml:space="preserve">w formie </w:t>
      </w:r>
      <w:r w:rsidR="0019225C" w:rsidRPr="00F65CA9">
        <w:rPr>
          <w:rFonts w:ascii="Times New Roman" w:hAnsi="Times New Roman" w:cs="Times New Roman"/>
          <w:sz w:val="24"/>
          <w:szCs w:val="24"/>
        </w:rPr>
        <w:t>upr</w:t>
      </w:r>
      <w:r w:rsidR="00F47B8D" w:rsidRPr="00F65CA9">
        <w:rPr>
          <w:rFonts w:ascii="Times New Roman" w:hAnsi="Times New Roman" w:cs="Times New Roman"/>
          <w:sz w:val="24"/>
          <w:szCs w:val="24"/>
        </w:rPr>
        <w:t>oszczonej</w:t>
      </w:r>
      <w:r w:rsidR="0019225C" w:rsidRPr="00F65CA9">
        <w:rPr>
          <w:rFonts w:ascii="Times New Roman" w:hAnsi="Times New Roman" w:cs="Times New Roman"/>
          <w:sz w:val="24"/>
          <w:szCs w:val="24"/>
        </w:rPr>
        <w:t>.</w:t>
      </w:r>
    </w:p>
    <w:p w14:paraId="53EC1552" w14:textId="3724C28B" w:rsidR="0019225C" w:rsidRPr="00F65CA9" w:rsidRDefault="0019225C" w:rsidP="00C324DA">
      <w:pPr>
        <w:jc w:val="both"/>
        <w:rPr>
          <w:rFonts w:ascii="Times New Roman" w:hAnsi="Times New Roman" w:cs="Times New Roman"/>
          <w:sz w:val="24"/>
          <w:szCs w:val="24"/>
        </w:rPr>
      </w:pPr>
      <w:r w:rsidRPr="00F65CA9">
        <w:rPr>
          <w:rFonts w:ascii="Times New Roman" w:hAnsi="Times New Roman" w:cs="Times New Roman"/>
          <w:sz w:val="24"/>
          <w:szCs w:val="24"/>
        </w:rPr>
        <w:t>W obszarze nadzoru Przewodniczącego Komitetu do spraw Pożytku Publicznego nad</w:t>
      </w:r>
      <w:r w:rsidR="001C1111">
        <w:rPr>
          <w:rFonts w:ascii="Times New Roman" w:hAnsi="Times New Roman" w:cs="Times New Roman"/>
          <w:sz w:val="24"/>
          <w:szCs w:val="24"/>
        </w:rPr>
        <w:t> </w:t>
      </w:r>
      <w:r w:rsidRPr="00F65CA9">
        <w:rPr>
          <w:rFonts w:ascii="Times New Roman" w:hAnsi="Times New Roman" w:cs="Times New Roman"/>
          <w:sz w:val="24"/>
          <w:szCs w:val="24"/>
        </w:rPr>
        <w:t>organizacjami pożytku publicznego proponuje się zmianę art. 31 ustawy polegającą na</w:t>
      </w:r>
      <w:r w:rsidR="001C1111">
        <w:rPr>
          <w:rFonts w:ascii="Times New Roman" w:hAnsi="Times New Roman" w:cs="Times New Roman"/>
          <w:sz w:val="24"/>
          <w:szCs w:val="24"/>
        </w:rPr>
        <w:t> </w:t>
      </w:r>
      <w:r w:rsidRPr="00F65CA9">
        <w:rPr>
          <w:rFonts w:ascii="Times New Roman" w:hAnsi="Times New Roman" w:cs="Times New Roman"/>
          <w:sz w:val="24"/>
          <w:szCs w:val="24"/>
        </w:rPr>
        <w:t>zastąpieniu obowiązku sporządzania protokołu kontroli, obowiązkiem opracowywania projektu wystąpienia pokontrolnego. Efektem postulowanej zmiany będzie unowocześnienie - na wzór innych regulacji w zakresie kontroli, w tym ustawy z dnia 15 lipca 2011 r. o kontroli</w:t>
      </w:r>
      <w:r w:rsidR="00C95820" w:rsidRPr="00F65CA9">
        <w:rPr>
          <w:rFonts w:ascii="Times New Roman" w:hAnsi="Times New Roman" w:cs="Times New Roman"/>
          <w:sz w:val="24"/>
          <w:szCs w:val="24"/>
        </w:rPr>
        <w:t xml:space="preserve"> </w:t>
      </w:r>
      <w:r w:rsidR="00C95820" w:rsidRPr="00F65CA9">
        <w:rPr>
          <w:rFonts w:ascii="Times New Roman" w:hAnsi="Times New Roman" w:cs="Times New Roman"/>
          <w:sz w:val="24"/>
          <w:szCs w:val="24"/>
        </w:rPr>
        <w:br/>
      </w:r>
      <w:r w:rsidRPr="00F65CA9">
        <w:rPr>
          <w:rFonts w:ascii="Times New Roman" w:hAnsi="Times New Roman" w:cs="Times New Roman"/>
          <w:sz w:val="24"/>
          <w:szCs w:val="24"/>
        </w:rPr>
        <w:t xml:space="preserve">w administracji rządowej </w:t>
      </w:r>
      <w:r w:rsidR="00C324DA" w:rsidRPr="00F65CA9">
        <w:rPr>
          <w:rFonts w:ascii="Times New Roman" w:hAnsi="Times New Roman" w:cs="Times New Roman"/>
          <w:sz w:val="24"/>
          <w:szCs w:val="24"/>
        </w:rPr>
        <w:t xml:space="preserve">(Dz. U. z 2020 r. poz. 224) </w:t>
      </w:r>
      <w:r w:rsidRPr="00F65CA9">
        <w:rPr>
          <w:rFonts w:ascii="Times New Roman" w:hAnsi="Times New Roman" w:cs="Times New Roman"/>
          <w:sz w:val="24"/>
          <w:szCs w:val="24"/>
        </w:rPr>
        <w:t>- przepisów regulujących zasady przeprowadzania postępowania kontrolnego w organizacjach pożytku publicznego. Proponowane rozwiązanie przyczyni się do efektywniejszego przeprowadzania kontroli przy</w:t>
      </w:r>
      <w:r w:rsidR="001C1111">
        <w:rPr>
          <w:rFonts w:ascii="Times New Roman" w:hAnsi="Times New Roman" w:cs="Times New Roman"/>
          <w:sz w:val="24"/>
          <w:szCs w:val="24"/>
        </w:rPr>
        <w:t> </w:t>
      </w:r>
      <w:r w:rsidRPr="00F65CA9">
        <w:rPr>
          <w:rFonts w:ascii="Times New Roman" w:hAnsi="Times New Roman" w:cs="Times New Roman"/>
          <w:sz w:val="24"/>
          <w:szCs w:val="24"/>
        </w:rPr>
        <w:t xml:space="preserve">jednoczesnym ograniczeniu obciążeń administracyjnych kontrolowanych organizacji pożytku publicznego. </w:t>
      </w:r>
      <w:r w:rsidR="0056692F" w:rsidRPr="0056692F">
        <w:rPr>
          <w:rFonts w:ascii="Times New Roman" w:hAnsi="Times New Roman" w:cs="Times New Roman"/>
          <w:sz w:val="24"/>
          <w:szCs w:val="24"/>
        </w:rPr>
        <w:t>Konsekwencją tej zmiany będzie zmiana brzemienia at. 32 ustawy, w</w:t>
      </w:r>
      <w:r w:rsidR="001C1111">
        <w:rPr>
          <w:rFonts w:ascii="Times New Roman" w:hAnsi="Times New Roman" w:cs="Times New Roman"/>
          <w:sz w:val="24"/>
          <w:szCs w:val="24"/>
        </w:rPr>
        <w:t> </w:t>
      </w:r>
      <w:r w:rsidR="0056692F" w:rsidRPr="0056692F">
        <w:rPr>
          <w:rFonts w:ascii="Times New Roman" w:hAnsi="Times New Roman" w:cs="Times New Roman"/>
          <w:sz w:val="24"/>
          <w:szCs w:val="24"/>
        </w:rPr>
        <w:t>którym wyrażenie „protokół kontroli" zostanie zastąpione wyrazami "projekt wystąpienia pokontrolnego”.</w:t>
      </w:r>
    </w:p>
    <w:p w14:paraId="22FABD96" w14:textId="36B10985" w:rsidR="00D60F73" w:rsidRPr="00F65CA9" w:rsidRDefault="00D60F73" w:rsidP="00C436F8">
      <w:pPr>
        <w:jc w:val="both"/>
        <w:rPr>
          <w:rFonts w:ascii="Times New Roman" w:hAnsi="Times New Roman" w:cs="Times New Roman"/>
          <w:sz w:val="24"/>
          <w:szCs w:val="24"/>
        </w:rPr>
      </w:pPr>
      <w:r w:rsidRPr="00F65CA9">
        <w:rPr>
          <w:rFonts w:ascii="Times New Roman" w:hAnsi="Times New Roman" w:cs="Times New Roman"/>
          <w:sz w:val="24"/>
          <w:szCs w:val="24"/>
        </w:rPr>
        <w:t>Powyższe zmiany wynikają z doświadczeń własnych Kancelarii Prezesa Rady Ministrów</w:t>
      </w:r>
      <w:r w:rsidR="007233BB" w:rsidRPr="00F65CA9">
        <w:rPr>
          <w:rFonts w:ascii="Times New Roman" w:hAnsi="Times New Roman" w:cs="Times New Roman"/>
          <w:sz w:val="24"/>
          <w:szCs w:val="24"/>
        </w:rPr>
        <w:t xml:space="preserve"> oraz</w:t>
      </w:r>
      <w:r w:rsidR="001C1111">
        <w:rPr>
          <w:rFonts w:ascii="Times New Roman" w:hAnsi="Times New Roman" w:cs="Times New Roman"/>
          <w:sz w:val="24"/>
          <w:szCs w:val="24"/>
        </w:rPr>
        <w:t> </w:t>
      </w:r>
      <w:r w:rsidRPr="00F65CA9">
        <w:rPr>
          <w:rFonts w:ascii="Times New Roman" w:hAnsi="Times New Roman" w:cs="Times New Roman"/>
          <w:sz w:val="24"/>
          <w:szCs w:val="24"/>
        </w:rPr>
        <w:t>podmiotów realizujących kontrole organizacji pożytku publicznego powierzone przez</w:t>
      </w:r>
      <w:r w:rsidR="001C1111">
        <w:rPr>
          <w:rFonts w:ascii="Times New Roman" w:hAnsi="Times New Roman" w:cs="Times New Roman"/>
          <w:sz w:val="24"/>
          <w:szCs w:val="24"/>
        </w:rPr>
        <w:t> </w:t>
      </w:r>
      <w:r w:rsidRPr="00F65CA9">
        <w:rPr>
          <w:rFonts w:ascii="Times New Roman" w:hAnsi="Times New Roman" w:cs="Times New Roman"/>
          <w:sz w:val="24"/>
          <w:szCs w:val="24"/>
        </w:rPr>
        <w:t>Przewodniczącego Komitetu do spraw Pożytku Publicznego.</w:t>
      </w:r>
    </w:p>
    <w:p w14:paraId="4B27EA90" w14:textId="747F48E7" w:rsidR="00B67510" w:rsidRPr="00F65CA9" w:rsidRDefault="00D60F73" w:rsidP="00B67510">
      <w:pPr>
        <w:jc w:val="both"/>
        <w:rPr>
          <w:rFonts w:ascii="Times New Roman" w:hAnsi="Times New Roman" w:cs="Times New Roman"/>
          <w:sz w:val="24"/>
          <w:szCs w:val="24"/>
        </w:rPr>
      </w:pPr>
      <w:r w:rsidRPr="00F65CA9">
        <w:rPr>
          <w:rFonts w:ascii="Times New Roman" w:hAnsi="Times New Roman" w:cs="Times New Roman"/>
          <w:sz w:val="24"/>
          <w:szCs w:val="24"/>
        </w:rPr>
        <w:t>Nowelizacja ustawy zakłada również zmianę przepisów dotyczących o</w:t>
      </w:r>
      <w:r w:rsidR="00B67510" w:rsidRPr="00F65CA9">
        <w:rPr>
          <w:rFonts w:ascii="Times New Roman" w:hAnsi="Times New Roman" w:cs="Times New Roman"/>
          <w:sz w:val="24"/>
          <w:szCs w:val="24"/>
        </w:rPr>
        <w:t>rganizacji</w:t>
      </w:r>
      <w:r w:rsidRPr="00F65CA9">
        <w:rPr>
          <w:rFonts w:ascii="Times New Roman" w:hAnsi="Times New Roman" w:cs="Times New Roman"/>
          <w:sz w:val="24"/>
          <w:szCs w:val="24"/>
        </w:rPr>
        <w:t xml:space="preserve"> i tryb</w:t>
      </w:r>
      <w:r w:rsidR="00B67510" w:rsidRPr="00F65CA9">
        <w:rPr>
          <w:rFonts w:ascii="Times New Roman" w:hAnsi="Times New Roman" w:cs="Times New Roman"/>
          <w:sz w:val="24"/>
          <w:szCs w:val="24"/>
        </w:rPr>
        <w:t>u</w:t>
      </w:r>
      <w:r w:rsidRPr="00F65CA9">
        <w:rPr>
          <w:rFonts w:ascii="Times New Roman" w:hAnsi="Times New Roman" w:cs="Times New Roman"/>
          <w:sz w:val="24"/>
          <w:szCs w:val="24"/>
        </w:rPr>
        <w:t xml:space="preserve"> działania Komitetu do spraw Pożytku Publicznego</w:t>
      </w:r>
      <w:r w:rsidR="0081762D" w:rsidRPr="00F65CA9">
        <w:rPr>
          <w:rStyle w:val="Odwoanieprzypisudolnego"/>
          <w:rFonts w:ascii="Times New Roman" w:hAnsi="Times New Roman" w:cs="Times New Roman"/>
          <w:sz w:val="24"/>
          <w:szCs w:val="24"/>
        </w:rPr>
        <w:footnoteReference w:id="10"/>
      </w:r>
      <w:r w:rsidR="00B67510" w:rsidRPr="00F65CA9">
        <w:rPr>
          <w:rFonts w:ascii="Times New Roman" w:hAnsi="Times New Roman" w:cs="Times New Roman"/>
          <w:sz w:val="24"/>
          <w:szCs w:val="24"/>
        </w:rPr>
        <w:t xml:space="preserve">. </w:t>
      </w:r>
      <w:r w:rsidR="0081762D" w:rsidRPr="00F65CA9">
        <w:rPr>
          <w:rFonts w:ascii="Times New Roman" w:hAnsi="Times New Roman" w:cs="Times New Roman"/>
          <w:sz w:val="24"/>
          <w:szCs w:val="24"/>
        </w:rPr>
        <w:t>Przewiduje się</w:t>
      </w:r>
      <w:r w:rsidR="00B67510" w:rsidRPr="00F65CA9">
        <w:rPr>
          <w:rFonts w:ascii="Times New Roman" w:hAnsi="Times New Roman" w:cs="Times New Roman"/>
          <w:sz w:val="24"/>
          <w:szCs w:val="24"/>
        </w:rPr>
        <w:t xml:space="preserve"> rezygnację z obowiązku przyjmowania planu prac przez Komitet i przedstawiania go do zatwierdzenia przez Radę Ministrów. Dotychczasowe doświadczenia z </w:t>
      </w:r>
      <w:r w:rsidR="009A7136" w:rsidRPr="00F65CA9">
        <w:rPr>
          <w:rFonts w:ascii="Times New Roman" w:hAnsi="Times New Roman" w:cs="Times New Roman"/>
          <w:sz w:val="24"/>
          <w:szCs w:val="24"/>
        </w:rPr>
        <w:t>funkcjonowania</w:t>
      </w:r>
      <w:r w:rsidR="00B67510" w:rsidRPr="00F65CA9">
        <w:rPr>
          <w:rFonts w:ascii="Times New Roman" w:hAnsi="Times New Roman" w:cs="Times New Roman"/>
          <w:sz w:val="24"/>
          <w:szCs w:val="24"/>
        </w:rPr>
        <w:t xml:space="preserve"> Komitetu wskazują, że</w:t>
      </w:r>
      <w:r w:rsidR="001C1111">
        <w:rPr>
          <w:rFonts w:ascii="Times New Roman" w:hAnsi="Times New Roman" w:cs="Times New Roman"/>
          <w:sz w:val="24"/>
          <w:szCs w:val="24"/>
        </w:rPr>
        <w:t> </w:t>
      </w:r>
      <w:r w:rsidR="00B67510" w:rsidRPr="00F65CA9">
        <w:rPr>
          <w:rFonts w:ascii="Times New Roman" w:hAnsi="Times New Roman" w:cs="Times New Roman"/>
          <w:sz w:val="24"/>
          <w:szCs w:val="24"/>
        </w:rPr>
        <w:t>zagadnienia podejmowane przez Komitet wynikały w dużej mierze z bieżących potrzeb lub</w:t>
      </w:r>
      <w:r w:rsidR="001C1111">
        <w:rPr>
          <w:rFonts w:ascii="Times New Roman" w:hAnsi="Times New Roman" w:cs="Times New Roman"/>
          <w:sz w:val="24"/>
          <w:szCs w:val="24"/>
        </w:rPr>
        <w:t> </w:t>
      </w:r>
      <w:r w:rsidR="00B67510" w:rsidRPr="00F65CA9">
        <w:rPr>
          <w:rFonts w:ascii="Times New Roman" w:hAnsi="Times New Roman" w:cs="Times New Roman"/>
          <w:sz w:val="24"/>
          <w:szCs w:val="24"/>
        </w:rPr>
        <w:t xml:space="preserve">okoliczności nie dających się przewidzieć. </w:t>
      </w:r>
      <w:r w:rsidR="009A7136" w:rsidRPr="00F65CA9">
        <w:rPr>
          <w:rFonts w:ascii="Times New Roman" w:hAnsi="Times New Roman" w:cs="Times New Roman"/>
          <w:sz w:val="24"/>
          <w:szCs w:val="24"/>
        </w:rPr>
        <w:t>W konsekwencji p</w:t>
      </w:r>
      <w:r w:rsidR="00B67510" w:rsidRPr="00F65CA9">
        <w:rPr>
          <w:rFonts w:ascii="Times New Roman" w:hAnsi="Times New Roman" w:cs="Times New Roman"/>
          <w:sz w:val="24"/>
          <w:szCs w:val="24"/>
        </w:rPr>
        <w:t>lan pracy przyjmowany przez</w:t>
      </w:r>
      <w:r w:rsidR="001C1111">
        <w:rPr>
          <w:rFonts w:ascii="Times New Roman" w:hAnsi="Times New Roman" w:cs="Times New Roman"/>
          <w:sz w:val="24"/>
          <w:szCs w:val="24"/>
        </w:rPr>
        <w:t> </w:t>
      </w:r>
      <w:r w:rsidR="00B67510" w:rsidRPr="00F65CA9">
        <w:rPr>
          <w:rFonts w:ascii="Times New Roman" w:hAnsi="Times New Roman" w:cs="Times New Roman"/>
          <w:sz w:val="24"/>
          <w:szCs w:val="24"/>
        </w:rPr>
        <w:t>Komitet ma de facto c</w:t>
      </w:r>
      <w:r w:rsidR="009A7136" w:rsidRPr="00F65CA9">
        <w:rPr>
          <w:rFonts w:ascii="Times New Roman" w:hAnsi="Times New Roman" w:cs="Times New Roman"/>
          <w:sz w:val="24"/>
          <w:szCs w:val="24"/>
        </w:rPr>
        <w:t xml:space="preserve">harakter ramowy i ulega zmianom. </w:t>
      </w:r>
      <w:r w:rsidR="0081762D" w:rsidRPr="00F65CA9">
        <w:rPr>
          <w:rFonts w:ascii="Times New Roman" w:hAnsi="Times New Roman" w:cs="Times New Roman"/>
          <w:sz w:val="24"/>
          <w:szCs w:val="24"/>
        </w:rPr>
        <w:t>D</w:t>
      </w:r>
      <w:r w:rsidR="00B67510" w:rsidRPr="00F65CA9">
        <w:rPr>
          <w:rFonts w:ascii="Times New Roman" w:hAnsi="Times New Roman" w:cs="Times New Roman"/>
          <w:sz w:val="24"/>
          <w:szCs w:val="24"/>
        </w:rPr>
        <w:t xml:space="preserve">otychczasowa praktyka funkcjonowania Komitetu wykazała </w:t>
      </w:r>
      <w:r w:rsidR="0081762D" w:rsidRPr="00F65CA9">
        <w:rPr>
          <w:rFonts w:ascii="Times New Roman" w:hAnsi="Times New Roman" w:cs="Times New Roman"/>
          <w:sz w:val="24"/>
          <w:szCs w:val="24"/>
        </w:rPr>
        <w:t xml:space="preserve">również </w:t>
      </w:r>
      <w:r w:rsidR="00B67510" w:rsidRPr="00F65CA9">
        <w:rPr>
          <w:rFonts w:ascii="Times New Roman" w:hAnsi="Times New Roman" w:cs="Times New Roman"/>
          <w:sz w:val="24"/>
          <w:szCs w:val="24"/>
        </w:rPr>
        <w:t xml:space="preserve">ograniczoną zasadność i przydatność </w:t>
      </w:r>
      <w:r w:rsidR="0081762D" w:rsidRPr="00F65CA9">
        <w:rPr>
          <w:rFonts w:ascii="Times New Roman" w:hAnsi="Times New Roman" w:cs="Times New Roman"/>
          <w:sz w:val="24"/>
          <w:szCs w:val="24"/>
        </w:rPr>
        <w:t>obowiązku przedstawiania p</w:t>
      </w:r>
      <w:r w:rsidR="00B67510" w:rsidRPr="00F65CA9">
        <w:rPr>
          <w:rFonts w:ascii="Times New Roman" w:hAnsi="Times New Roman" w:cs="Times New Roman"/>
          <w:sz w:val="24"/>
          <w:szCs w:val="24"/>
        </w:rPr>
        <w:t>lanu pracy Komitetu do zatwierdzenia Radzie Ministrów.</w:t>
      </w:r>
      <w:r w:rsidR="0081762D" w:rsidRPr="00F65CA9">
        <w:rPr>
          <w:rFonts w:ascii="Times New Roman" w:hAnsi="Times New Roman" w:cs="Times New Roman"/>
          <w:sz w:val="24"/>
          <w:szCs w:val="24"/>
        </w:rPr>
        <w:t xml:space="preserve"> Tym samym rezygnacja z </w:t>
      </w:r>
      <w:r w:rsidR="009A7136" w:rsidRPr="00F65CA9">
        <w:rPr>
          <w:rFonts w:ascii="Times New Roman" w:hAnsi="Times New Roman" w:cs="Times New Roman"/>
          <w:sz w:val="24"/>
          <w:szCs w:val="24"/>
        </w:rPr>
        <w:t xml:space="preserve">obowiązku </w:t>
      </w:r>
      <w:r w:rsidR="0081762D" w:rsidRPr="00F65CA9">
        <w:rPr>
          <w:rFonts w:ascii="Times New Roman" w:hAnsi="Times New Roman" w:cs="Times New Roman"/>
          <w:sz w:val="24"/>
          <w:szCs w:val="24"/>
        </w:rPr>
        <w:t xml:space="preserve">przyjmowania planu pracy przez Komitet oraz jego zatwierdzania przez </w:t>
      </w:r>
      <w:r w:rsidR="009A7136" w:rsidRPr="00F65CA9">
        <w:rPr>
          <w:rFonts w:ascii="Times New Roman" w:hAnsi="Times New Roman" w:cs="Times New Roman"/>
          <w:sz w:val="24"/>
          <w:szCs w:val="24"/>
        </w:rPr>
        <w:t>Radę Ministrów</w:t>
      </w:r>
      <w:r w:rsidR="00813285" w:rsidRPr="00F65CA9">
        <w:rPr>
          <w:rFonts w:ascii="Times New Roman" w:hAnsi="Times New Roman" w:cs="Times New Roman"/>
          <w:sz w:val="24"/>
          <w:szCs w:val="24"/>
        </w:rPr>
        <w:t xml:space="preserve"> </w:t>
      </w:r>
      <w:r w:rsidR="007233BB" w:rsidRPr="00F65CA9">
        <w:rPr>
          <w:rFonts w:ascii="Times New Roman" w:hAnsi="Times New Roman" w:cs="Times New Roman"/>
          <w:sz w:val="24"/>
          <w:szCs w:val="24"/>
        </w:rPr>
        <w:t>usprawni funkcjonowanie</w:t>
      </w:r>
      <w:r w:rsidR="00F0780F" w:rsidRPr="00F65CA9">
        <w:rPr>
          <w:rFonts w:ascii="Times New Roman" w:hAnsi="Times New Roman" w:cs="Times New Roman"/>
          <w:sz w:val="24"/>
          <w:szCs w:val="24"/>
        </w:rPr>
        <w:t xml:space="preserve"> </w:t>
      </w:r>
      <w:r w:rsidR="007233BB" w:rsidRPr="00F65CA9">
        <w:rPr>
          <w:rFonts w:ascii="Times New Roman" w:hAnsi="Times New Roman" w:cs="Times New Roman"/>
          <w:sz w:val="24"/>
          <w:szCs w:val="24"/>
        </w:rPr>
        <w:t>Komitetu</w:t>
      </w:r>
      <w:r w:rsidR="004D2830" w:rsidRPr="00F65CA9">
        <w:rPr>
          <w:rFonts w:ascii="Times New Roman" w:hAnsi="Times New Roman" w:cs="Times New Roman"/>
          <w:sz w:val="24"/>
          <w:szCs w:val="24"/>
        </w:rPr>
        <w:t>.</w:t>
      </w:r>
    </w:p>
    <w:p w14:paraId="61A2D5B8" w14:textId="6333F9E4" w:rsidR="0081762D" w:rsidRPr="00F65CA9" w:rsidRDefault="00D60F73" w:rsidP="00C436F8">
      <w:pPr>
        <w:jc w:val="both"/>
        <w:rPr>
          <w:rFonts w:ascii="Times New Roman" w:hAnsi="Times New Roman" w:cs="Times New Roman"/>
          <w:sz w:val="24"/>
          <w:szCs w:val="24"/>
        </w:rPr>
      </w:pPr>
      <w:r w:rsidRPr="00F65CA9">
        <w:rPr>
          <w:rFonts w:ascii="Times New Roman" w:hAnsi="Times New Roman" w:cs="Times New Roman"/>
          <w:sz w:val="24"/>
          <w:szCs w:val="24"/>
        </w:rPr>
        <w:t>Proponowane zmiany stanowi</w:t>
      </w:r>
      <w:r w:rsidR="0081762D" w:rsidRPr="00F65CA9">
        <w:rPr>
          <w:rFonts w:ascii="Times New Roman" w:hAnsi="Times New Roman" w:cs="Times New Roman"/>
          <w:sz w:val="24"/>
          <w:szCs w:val="24"/>
        </w:rPr>
        <w:t>ą wynik z doświadczeń Kancelarii</w:t>
      </w:r>
      <w:r w:rsidRPr="00F65CA9">
        <w:rPr>
          <w:rFonts w:ascii="Times New Roman" w:hAnsi="Times New Roman" w:cs="Times New Roman"/>
          <w:sz w:val="24"/>
          <w:szCs w:val="24"/>
        </w:rPr>
        <w:t xml:space="preserve"> Prezesa Rady Ministrów, która</w:t>
      </w:r>
      <w:r w:rsidR="00F13ACD">
        <w:rPr>
          <w:rFonts w:ascii="Times New Roman" w:hAnsi="Times New Roman" w:cs="Times New Roman"/>
          <w:sz w:val="24"/>
          <w:szCs w:val="24"/>
        </w:rPr>
        <w:t> </w:t>
      </w:r>
      <w:r w:rsidRPr="00F65CA9">
        <w:rPr>
          <w:rFonts w:ascii="Times New Roman" w:hAnsi="Times New Roman" w:cs="Times New Roman"/>
          <w:sz w:val="24"/>
          <w:szCs w:val="24"/>
        </w:rPr>
        <w:t>zgodnie z obowiązującymi przepisami ustawy zapewnia obsługę Komitetu oraz</w:t>
      </w:r>
      <w:r w:rsidR="00F13ACD">
        <w:rPr>
          <w:rFonts w:ascii="Times New Roman" w:hAnsi="Times New Roman" w:cs="Times New Roman"/>
          <w:sz w:val="24"/>
          <w:szCs w:val="24"/>
        </w:rPr>
        <w:t> </w:t>
      </w:r>
      <w:r w:rsidRPr="00F65CA9">
        <w:rPr>
          <w:rFonts w:ascii="Times New Roman" w:hAnsi="Times New Roman" w:cs="Times New Roman"/>
          <w:sz w:val="24"/>
          <w:szCs w:val="24"/>
        </w:rPr>
        <w:t>Przewodniczącego Komitetu.</w:t>
      </w:r>
    </w:p>
    <w:p w14:paraId="53F0BB55" w14:textId="175DBF39" w:rsidR="001E3223" w:rsidRPr="00F65CA9" w:rsidRDefault="001E3223" w:rsidP="001E3223">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Według posiadanej wiedzy w obecnej praktyce administracji rządowej tylko dwa komitety są zobowiązane na mocy ustawy do przedkładania Radzie Ministrów swych planów pracy: Komitet d</w:t>
      </w:r>
      <w:r w:rsidR="00B9318C">
        <w:rPr>
          <w:rFonts w:ascii="Times New Roman" w:hAnsi="Times New Roman" w:cs="Times New Roman"/>
          <w:sz w:val="24"/>
          <w:szCs w:val="24"/>
        </w:rPr>
        <w:t>o spraw</w:t>
      </w:r>
      <w:r w:rsidRPr="00F65CA9">
        <w:rPr>
          <w:rFonts w:ascii="Times New Roman" w:hAnsi="Times New Roman" w:cs="Times New Roman"/>
          <w:sz w:val="24"/>
          <w:szCs w:val="24"/>
        </w:rPr>
        <w:t xml:space="preserve"> Pożytku Publicznego oraz Komitet d</w:t>
      </w:r>
      <w:r w:rsidR="00B9318C">
        <w:rPr>
          <w:rFonts w:ascii="Times New Roman" w:hAnsi="Times New Roman" w:cs="Times New Roman"/>
          <w:sz w:val="24"/>
          <w:szCs w:val="24"/>
        </w:rPr>
        <w:t>o spraw</w:t>
      </w:r>
      <w:r w:rsidRPr="00F65CA9">
        <w:rPr>
          <w:rFonts w:ascii="Times New Roman" w:hAnsi="Times New Roman" w:cs="Times New Roman"/>
          <w:sz w:val="24"/>
          <w:szCs w:val="24"/>
        </w:rPr>
        <w:t xml:space="preserve"> Europejskich. W przypadku Komitetu d</w:t>
      </w:r>
      <w:r w:rsidR="00B9318C">
        <w:rPr>
          <w:rFonts w:ascii="Times New Roman" w:hAnsi="Times New Roman" w:cs="Times New Roman"/>
          <w:sz w:val="24"/>
          <w:szCs w:val="24"/>
        </w:rPr>
        <w:t>o spraw</w:t>
      </w:r>
      <w:r w:rsidRPr="00F65CA9">
        <w:rPr>
          <w:rFonts w:ascii="Times New Roman" w:hAnsi="Times New Roman" w:cs="Times New Roman"/>
          <w:sz w:val="24"/>
          <w:szCs w:val="24"/>
        </w:rPr>
        <w:t xml:space="preserve"> Europejskich, ze względu na fakt cotygodniowych obrad, ilość i wagę dokumentów będących przedmiotem prac, konieczność bieżącego monitorowania harmonogramu prac, który angażuje wiele resortów i ma istotny wpływ na relacje z Komisją Europejską</w:t>
      </w:r>
      <w:r w:rsidR="00827472">
        <w:rPr>
          <w:rFonts w:ascii="Times New Roman" w:hAnsi="Times New Roman" w:cs="Times New Roman"/>
          <w:sz w:val="24"/>
          <w:szCs w:val="24"/>
        </w:rPr>
        <w:t>,</w:t>
      </w:r>
      <w:r w:rsidRPr="00F65CA9">
        <w:rPr>
          <w:rFonts w:ascii="Times New Roman" w:hAnsi="Times New Roman" w:cs="Times New Roman"/>
          <w:sz w:val="24"/>
          <w:szCs w:val="24"/>
        </w:rPr>
        <w:t xml:space="preserve"> rozwiązanie takie jest uzasadnione i ma bezpośredni związek z terminowym wywiązywaniem się z obowiązków wynikających z prawa UE oraz pracami Rady Ministrów. Zapisane obecnie w ustawie o działalności pożytku publicznego i o wolontariacie zobowiązanie do przedstawiania planu pracy Komitetu do zatwierdzenia Radzie Ministrów jest odwzorowaniem zapisów dotyczących Komitetu d</w:t>
      </w:r>
      <w:r w:rsidR="00827472">
        <w:rPr>
          <w:rFonts w:ascii="Times New Roman" w:hAnsi="Times New Roman" w:cs="Times New Roman"/>
          <w:sz w:val="24"/>
          <w:szCs w:val="24"/>
        </w:rPr>
        <w:t>o spraw</w:t>
      </w:r>
      <w:r w:rsidRPr="00F65CA9">
        <w:rPr>
          <w:rFonts w:ascii="Times New Roman" w:hAnsi="Times New Roman" w:cs="Times New Roman"/>
          <w:sz w:val="24"/>
          <w:szCs w:val="24"/>
        </w:rPr>
        <w:t xml:space="preserve"> Europejskich. </w:t>
      </w:r>
    </w:p>
    <w:p w14:paraId="554F9AEC" w14:textId="75A0D9BC" w:rsidR="001E3223" w:rsidRPr="00F65CA9" w:rsidRDefault="001E3223" w:rsidP="001E3223">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Należy zauważyć, że mimo obowiązywania przepisu</w:t>
      </w:r>
      <w:r w:rsidR="0079053F">
        <w:rPr>
          <w:rFonts w:ascii="Times New Roman" w:hAnsi="Times New Roman" w:cs="Times New Roman"/>
          <w:sz w:val="24"/>
          <w:szCs w:val="24"/>
        </w:rPr>
        <w:t>,</w:t>
      </w:r>
      <w:r w:rsidRPr="00F65CA9">
        <w:rPr>
          <w:rFonts w:ascii="Times New Roman" w:hAnsi="Times New Roman" w:cs="Times New Roman"/>
          <w:sz w:val="24"/>
          <w:szCs w:val="24"/>
        </w:rPr>
        <w:t xml:space="preserve"> obowiązek ten nigdy nie został zrealizowany. W latach 2017-2022 Komitet funkcjonował nie przyjmując Planu pracy i nie przedstawiając go do zatwierdzenia Radzie Ministrów. Od roku 2023 Komitet przyjmuje Plany pracy</w:t>
      </w:r>
      <w:r w:rsidR="00827472">
        <w:rPr>
          <w:rFonts w:ascii="Times New Roman" w:hAnsi="Times New Roman" w:cs="Times New Roman"/>
          <w:sz w:val="24"/>
          <w:szCs w:val="24"/>
        </w:rPr>
        <w:t>,</w:t>
      </w:r>
      <w:r w:rsidRPr="00F65CA9">
        <w:rPr>
          <w:rFonts w:ascii="Times New Roman" w:hAnsi="Times New Roman" w:cs="Times New Roman"/>
          <w:sz w:val="24"/>
          <w:szCs w:val="24"/>
        </w:rPr>
        <w:t xml:space="preserve"> jednak nie były one kierowane do zatwierdzenie przez R</w:t>
      </w:r>
      <w:r w:rsidR="00827472">
        <w:rPr>
          <w:rFonts w:ascii="Times New Roman" w:hAnsi="Times New Roman" w:cs="Times New Roman"/>
          <w:sz w:val="24"/>
          <w:szCs w:val="24"/>
        </w:rPr>
        <w:t xml:space="preserve">adę </w:t>
      </w:r>
      <w:r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Pr="00F65CA9">
        <w:rPr>
          <w:rFonts w:ascii="Times New Roman" w:hAnsi="Times New Roman" w:cs="Times New Roman"/>
          <w:sz w:val="24"/>
          <w:szCs w:val="24"/>
        </w:rPr>
        <w:t>. Takie postępowanie podyktowane było charakterem Planu pracy Komitetu i przekonaniem, że</w:t>
      </w:r>
      <w:r w:rsidR="006820EC">
        <w:rPr>
          <w:rFonts w:ascii="Times New Roman" w:hAnsi="Times New Roman" w:cs="Times New Roman"/>
          <w:sz w:val="24"/>
          <w:szCs w:val="24"/>
        </w:rPr>
        <w:t> </w:t>
      </w:r>
      <w:r w:rsidRPr="00F65CA9">
        <w:rPr>
          <w:rFonts w:ascii="Times New Roman" w:hAnsi="Times New Roman" w:cs="Times New Roman"/>
          <w:sz w:val="24"/>
          <w:szCs w:val="24"/>
        </w:rPr>
        <w:t>przedkładanie go R</w:t>
      </w:r>
      <w:r w:rsidR="00827472">
        <w:rPr>
          <w:rFonts w:ascii="Times New Roman" w:hAnsi="Times New Roman" w:cs="Times New Roman"/>
          <w:sz w:val="24"/>
          <w:szCs w:val="24"/>
        </w:rPr>
        <w:t xml:space="preserve">adzie </w:t>
      </w:r>
      <w:r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Pr="00F65CA9">
        <w:rPr>
          <w:rFonts w:ascii="Times New Roman" w:hAnsi="Times New Roman" w:cs="Times New Roman"/>
          <w:sz w:val="24"/>
          <w:szCs w:val="24"/>
        </w:rPr>
        <w:t xml:space="preserve"> byłoby zbędnym obciążeniem biurokratycznym nie mającym uzasadnienia merytorycznego. </w:t>
      </w:r>
    </w:p>
    <w:p w14:paraId="69F730EA" w14:textId="28699C13" w:rsidR="001E3223" w:rsidRPr="00F65CA9" w:rsidRDefault="001E3223" w:rsidP="001E3223">
      <w:pPr>
        <w:spacing w:after="0" w:line="276" w:lineRule="auto"/>
        <w:jc w:val="both"/>
        <w:rPr>
          <w:rFonts w:ascii="Times New Roman" w:hAnsi="Times New Roman" w:cs="Times New Roman"/>
          <w:sz w:val="24"/>
          <w:szCs w:val="24"/>
        </w:rPr>
      </w:pPr>
      <w:r w:rsidRPr="00F65CA9">
        <w:rPr>
          <w:rFonts w:ascii="Times New Roman" w:hAnsi="Times New Roman" w:cs="Times New Roman"/>
          <w:sz w:val="24"/>
          <w:szCs w:val="24"/>
        </w:rPr>
        <w:t>Przyjmowane plany pracy Komitetu maja charakter ramowy i ograniczają się do wskazania problematyki, która będzie przedmiotem prac Komitetu w danym roku. Nie obejmują one precyzyjnego harmonogramu</w:t>
      </w:r>
      <w:r w:rsidR="00827472">
        <w:rPr>
          <w:rFonts w:ascii="Times New Roman" w:hAnsi="Times New Roman" w:cs="Times New Roman"/>
          <w:sz w:val="24"/>
          <w:szCs w:val="24"/>
        </w:rPr>
        <w:t>,</w:t>
      </w:r>
      <w:r w:rsidRPr="00F65CA9">
        <w:rPr>
          <w:rFonts w:ascii="Times New Roman" w:hAnsi="Times New Roman" w:cs="Times New Roman"/>
          <w:sz w:val="24"/>
          <w:szCs w:val="24"/>
        </w:rPr>
        <w:t xml:space="preserve"> ponieważ posiedzenia Komitetu dotyczą z reguły 3 kategorii zagadnień:</w:t>
      </w:r>
    </w:p>
    <w:p w14:paraId="4B1C7166" w14:textId="664222CC" w:rsidR="001E3223" w:rsidRPr="00EE2AC0" w:rsidRDefault="001E3223" w:rsidP="00004C84">
      <w:pPr>
        <w:pStyle w:val="Akapitzlist"/>
        <w:numPr>
          <w:ilvl w:val="0"/>
          <w:numId w:val="3"/>
        </w:numPr>
        <w:spacing w:after="0" w:line="276" w:lineRule="auto"/>
        <w:jc w:val="both"/>
        <w:rPr>
          <w:rFonts w:ascii="Times New Roman" w:hAnsi="Times New Roman" w:cs="Times New Roman"/>
          <w:sz w:val="24"/>
          <w:szCs w:val="24"/>
        </w:rPr>
      </w:pPr>
      <w:r w:rsidRPr="00004C84">
        <w:rPr>
          <w:rFonts w:ascii="Times New Roman" w:hAnsi="Times New Roman" w:cs="Times New Roman"/>
          <w:sz w:val="24"/>
          <w:szCs w:val="24"/>
        </w:rPr>
        <w:t>inicjatyw lub prac legislacyjnych podejmowanych przez Przewodniczącego Komitetu</w:t>
      </w:r>
      <w:r w:rsidR="00827472">
        <w:rPr>
          <w:rFonts w:ascii="Times New Roman" w:hAnsi="Times New Roman" w:cs="Times New Roman"/>
          <w:sz w:val="24"/>
          <w:szCs w:val="24"/>
        </w:rPr>
        <w:t>;</w:t>
      </w:r>
    </w:p>
    <w:p w14:paraId="1D374194" w14:textId="14174B8C" w:rsidR="001E3223" w:rsidRPr="00EE2AC0" w:rsidRDefault="001E3223" w:rsidP="00004C84">
      <w:pPr>
        <w:pStyle w:val="Akapitzlist"/>
        <w:numPr>
          <w:ilvl w:val="0"/>
          <w:numId w:val="3"/>
        </w:numPr>
        <w:spacing w:after="0" w:line="276" w:lineRule="auto"/>
        <w:jc w:val="both"/>
        <w:rPr>
          <w:rFonts w:ascii="Times New Roman" w:hAnsi="Times New Roman" w:cs="Times New Roman"/>
          <w:sz w:val="24"/>
          <w:szCs w:val="24"/>
        </w:rPr>
      </w:pPr>
      <w:r w:rsidRPr="00EE2AC0">
        <w:rPr>
          <w:rFonts w:ascii="Times New Roman" w:hAnsi="Times New Roman" w:cs="Times New Roman"/>
          <w:sz w:val="24"/>
          <w:szCs w:val="24"/>
        </w:rPr>
        <w:t>projektów aktów prawnych, które są aktualnie przedmiotem prac legislacyjnych, a</w:t>
      </w:r>
      <w:r w:rsidR="006820EC">
        <w:rPr>
          <w:rFonts w:ascii="Times New Roman" w:hAnsi="Times New Roman" w:cs="Times New Roman"/>
          <w:sz w:val="24"/>
          <w:szCs w:val="24"/>
        </w:rPr>
        <w:t> </w:t>
      </w:r>
      <w:r w:rsidRPr="00EE2AC0">
        <w:rPr>
          <w:rFonts w:ascii="Times New Roman" w:hAnsi="Times New Roman" w:cs="Times New Roman"/>
          <w:sz w:val="24"/>
          <w:szCs w:val="24"/>
        </w:rPr>
        <w:t>dotyczą kwestii istotnych dla społeczeństwa obywatelskiego</w:t>
      </w:r>
      <w:r w:rsidR="00827472">
        <w:rPr>
          <w:rFonts w:ascii="Times New Roman" w:hAnsi="Times New Roman" w:cs="Times New Roman"/>
          <w:sz w:val="24"/>
          <w:szCs w:val="24"/>
        </w:rPr>
        <w:t>;</w:t>
      </w:r>
    </w:p>
    <w:p w14:paraId="6BDB9757" w14:textId="20905522" w:rsidR="001E3223" w:rsidRPr="00EE2AC0" w:rsidRDefault="001E3223" w:rsidP="00004C84">
      <w:pPr>
        <w:pStyle w:val="Akapitzlist"/>
        <w:numPr>
          <w:ilvl w:val="0"/>
          <w:numId w:val="3"/>
        </w:numPr>
        <w:spacing w:after="0" w:line="276" w:lineRule="auto"/>
        <w:jc w:val="both"/>
        <w:rPr>
          <w:rFonts w:ascii="Times New Roman" w:hAnsi="Times New Roman" w:cs="Times New Roman"/>
          <w:sz w:val="24"/>
          <w:szCs w:val="24"/>
        </w:rPr>
      </w:pPr>
      <w:r w:rsidRPr="00EE2AC0">
        <w:rPr>
          <w:rFonts w:ascii="Times New Roman" w:hAnsi="Times New Roman" w:cs="Times New Roman"/>
          <w:sz w:val="24"/>
          <w:szCs w:val="24"/>
        </w:rPr>
        <w:t>kwestii bieżących wynikających z postulatów organizacji społeczeństwa obywatelskiego.</w:t>
      </w:r>
    </w:p>
    <w:p w14:paraId="6249D6DF" w14:textId="77777777" w:rsidR="001E3223" w:rsidRPr="00F65CA9" w:rsidRDefault="001E3223" w:rsidP="001E3223">
      <w:pPr>
        <w:spacing w:after="0" w:line="276" w:lineRule="auto"/>
        <w:jc w:val="both"/>
        <w:rPr>
          <w:rFonts w:ascii="Times New Roman" w:hAnsi="Times New Roman" w:cs="Times New Roman"/>
          <w:sz w:val="24"/>
          <w:szCs w:val="24"/>
        </w:rPr>
      </w:pPr>
      <w:r w:rsidRPr="00F65CA9">
        <w:rPr>
          <w:rFonts w:ascii="Times New Roman" w:hAnsi="Times New Roman" w:cs="Times New Roman"/>
          <w:sz w:val="24"/>
          <w:szCs w:val="24"/>
        </w:rPr>
        <w:t>W związku z powyższym prace Komitetu tylko w pewnej części poddają się planowaniu.</w:t>
      </w:r>
    </w:p>
    <w:p w14:paraId="45C50300" w14:textId="77777777" w:rsidR="001E3223" w:rsidRPr="00F65CA9" w:rsidRDefault="001E3223" w:rsidP="001E3223">
      <w:pPr>
        <w:spacing w:after="0" w:line="276" w:lineRule="auto"/>
        <w:jc w:val="both"/>
        <w:rPr>
          <w:rFonts w:ascii="Times New Roman" w:hAnsi="Times New Roman" w:cs="Times New Roman"/>
          <w:sz w:val="24"/>
          <w:szCs w:val="24"/>
        </w:rPr>
      </w:pPr>
    </w:p>
    <w:p w14:paraId="3210F69C" w14:textId="676D8466" w:rsidR="001E3223" w:rsidRPr="00F65CA9" w:rsidRDefault="001E3223" w:rsidP="001E3223">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Trzeba też zauważyć, że najczęściej problematyka podejmowana przez Komitet w sposób bezpośredni dotyczy kilku resortów, których działalność wpływa bezpośrednio na</w:t>
      </w:r>
      <w:r w:rsidR="006820EC">
        <w:rPr>
          <w:rFonts w:ascii="Times New Roman" w:hAnsi="Times New Roman" w:cs="Times New Roman"/>
          <w:sz w:val="24"/>
          <w:szCs w:val="24"/>
        </w:rPr>
        <w:t> </w:t>
      </w:r>
      <w:r w:rsidRPr="00F65CA9">
        <w:rPr>
          <w:rFonts w:ascii="Times New Roman" w:hAnsi="Times New Roman" w:cs="Times New Roman"/>
          <w:sz w:val="24"/>
          <w:szCs w:val="24"/>
        </w:rPr>
        <w:t>funkcjonowanie III sektora. W związku z dynamicznym charakterem agend posiedzeń Komitetu</w:t>
      </w:r>
      <w:r w:rsidR="00827472">
        <w:rPr>
          <w:rFonts w:ascii="Times New Roman" w:hAnsi="Times New Roman" w:cs="Times New Roman"/>
          <w:sz w:val="24"/>
          <w:szCs w:val="24"/>
        </w:rPr>
        <w:t>,</w:t>
      </w:r>
      <w:r w:rsidRPr="00F65CA9">
        <w:rPr>
          <w:rFonts w:ascii="Times New Roman" w:hAnsi="Times New Roman" w:cs="Times New Roman"/>
          <w:sz w:val="24"/>
          <w:szCs w:val="24"/>
        </w:rPr>
        <w:t xml:space="preserve"> przedkładanie R</w:t>
      </w:r>
      <w:r w:rsidR="00827472">
        <w:rPr>
          <w:rFonts w:ascii="Times New Roman" w:hAnsi="Times New Roman" w:cs="Times New Roman"/>
          <w:sz w:val="24"/>
          <w:szCs w:val="24"/>
        </w:rPr>
        <w:t xml:space="preserve">adzie </w:t>
      </w:r>
      <w:r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Pr="00F65CA9">
        <w:rPr>
          <w:rFonts w:ascii="Times New Roman" w:hAnsi="Times New Roman" w:cs="Times New Roman"/>
          <w:sz w:val="24"/>
          <w:szCs w:val="24"/>
        </w:rPr>
        <w:t xml:space="preserve"> kolejnych zmian Planu, które nie mają istotnego związku z pracami R</w:t>
      </w:r>
      <w:r w:rsidR="00827472">
        <w:rPr>
          <w:rFonts w:ascii="Times New Roman" w:hAnsi="Times New Roman" w:cs="Times New Roman"/>
          <w:sz w:val="24"/>
          <w:szCs w:val="24"/>
        </w:rPr>
        <w:t xml:space="preserve">ady </w:t>
      </w:r>
      <w:r w:rsidRPr="00F65CA9">
        <w:rPr>
          <w:rFonts w:ascii="Times New Roman" w:hAnsi="Times New Roman" w:cs="Times New Roman"/>
          <w:sz w:val="24"/>
          <w:szCs w:val="24"/>
        </w:rPr>
        <w:t>M</w:t>
      </w:r>
      <w:r w:rsidR="00827472">
        <w:rPr>
          <w:rFonts w:ascii="Times New Roman" w:hAnsi="Times New Roman" w:cs="Times New Roman"/>
          <w:sz w:val="24"/>
          <w:szCs w:val="24"/>
        </w:rPr>
        <w:t>inistrów,</w:t>
      </w:r>
      <w:r w:rsidRPr="00F65CA9">
        <w:rPr>
          <w:rFonts w:ascii="Times New Roman" w:hAnsi="Times New Roman" w:cs="Times New Roman"/>
          <w:sz w:val="24"/>
          <w:szCs w:val="24"/>
        </w:rPr>
        <w:t xml:space="preserve"> jest pozbawione uzasadnienia merytorycznego.</w:t>
      </w:r>
    </w:p>
    <w:p w14:paraId="0483415D" w14:textId="686253FA" w:rsidR="00F80317" w:rsidRDefault="00F80317" w:rsidP="007978CF">
      <w:pPr>
        <w:jc w:val="both"/>
        <w:rPr>
          <w:rFonts w:ascii="Times New Roman" w:hAnsi="Times New Roman" w:cs="Times New Roman"/>
          <w:sz w:val="24"/>
          <w:szCs w:val="24"/>
        </w:rPr>
      </w:pPr>
      <w:r w:rsidRPr="00F65CA9">
        <w:rPr>
          <w:rFonts w:ascii="Times New Roman" w:hAnsi="Times New Roman" w:cs="Times New Roman"/>
          <w:sz w:val="24"/>
          <w:szCs w:val="24"/>
        </w:rPr>
        <w:t xml:space="preserve"> </w:t>
      </w:r>
      <w:r w:rsidR="007D7D03">
        <w:rPr>
          <w:rFonts w:ascii="Times New Roman" w:hAnsi="Times New Roman" w:cs="Times New Roman"/>
          <w:sz w:val="24"/>
          <w:szCs w:val="24"/>
        </w:rPr>
        <w:t>P</w:t>
      </w:r>
      <w:r w:rsidRPr="00F65CA9">
        <w:rPr>
          <w:rFonts w:ascii="Times New Roman" w:hAnsi="Times New Roman" w:cs="Times New Roman"/>
          <w:sz w:val="24"/>
          <w:szCs w:val="24"/>
        </w:rPr>
        <w:t xml:space="preserve">rojekt zakłada </w:t>
      </w:r>
      <w:r w:rsidR="009940AF" w:rsidRPr="00F65CA9">
        <w:rPr>
          <w:rFonts w:ascii="Times New Roman" w:hAnsi="Times New Roman" w:cs="Times New Roman"/>
          <w:sz w:val="24"/>
          <w:szCs w:val="24"/>
        </w:rPr>
        <w:t>(art. 5d udpp</w:t>
      </w:r>
      <w:r w:rsidR="00CC3155" w:rsidRPr="00F65CA9">
        <w:rPr>
          <w:rFonts w:ascii="Times New Roman" w:hAnsi="Times New Roman" w:cs="Times New Roman"/>
          <w:sz w:val="24"/>
          <w:szCs w:val="24"/>
        </w:rPr>
        <w:t>w</w:t>
      </w:r>
      <w:r w:rsidR="009940AF" w:rsidRPr="00F65CA9">
        <w:rPr>
          <w:rFonts w:ascii="Times New Roman" w:hAnsi="Times New Roman" w:cs="Times New Roman"/>
          <w:sz w:val="24"/>
          <w:szCs w:val="24"/>
        </w:rPr>
        <w:t xml:space="preserve">) </w:t>
      </w:r>
      <w:r w:rsidRPr="00F65CA9">
        <w:rPr>
          <w:rFonts w:ascii="Times New Roman" w:hAnsi="Times New Roman" w:cs="Times New Roman"/>
          <w:sz w:val="24"/>
          <w:szCs w:val="24"/>
        </w:rPr>
        <w:t>ustanowienie dnia 24 kwietnia Dniem Społeczeństwa Obywatelskiego</w:t>
      </w:r>
      <w:r w:rsidR="002828EA">
        <w:rPr>
          <w:rFonts w:ascii="Times New Roman" w:hAnsi="Times New Roman" w:cs="Times New Roman"/>
          <w:sz w:val="24"/>
          <w:szCs w:val="24"/>
        </w:rPr>
        <w:t>. Zaproponowana data 24 kwietnia związana jest z uchwaleniem  tego dnia</w:t>
      </w:r>
      <w:r w:rsidR="007978CF" w:rsidRPr="00F65CA9">
        <w:rPr>
          <w:rFonts w:ascii="Times New Roman" w:hAnsi="Times New Roman" w:cs="Times New Roman"/>
          <w:sz w:val="24"/>
          <w:szCs w:val="24"/>
        </w:rPr>
        <w:t xml:space="preserve"> ustawy o działalności pożytku publicznego</w:t>
      </w:r>
      <w:r w:rsidR="00F24F93" w:rsidRPr="00F65CA9">
        <w:rPr>
          <w:rFonts w:ascii="Times New Roman" w:hAnsi="Times New Roman" w:cs="Times New Roman"/>
          <w:sz w:val="24"/>
          <w:szCs w:val="24"/>
        </w:rPr>
        <w:t xml:space="preserve"> </w:t>
      </w:r>
      <w:r w:rsidR="007978CF" w:rsidRPr="00F65CA9">
        <w:rPr>
          <w:rFonts w:ascii="Times New Roman" w:hAnsi="Times New Roman" w:cs="Times New Roman"/>
          <w:sz w:val="24"/>
          <w:szCs w:val="24"/>
        </w:rPr>
        <w:t xml:space="preserve">i o wolontariacie. </w:t>
      </w:r>
      <w:r w:rsidR="00EA7D7A">
        <w:rPr>
          <w:rFonts w:ascii="Times New Roman" w:hAnsi="Times New Roman" w:cs="Times New Roman"/>
          <w:sz w:val="24"/>
          <w:szCs w:val="24"/>
        </w:rPr>
        <w:t>Uznano zatem, że będzie to dobra okazja do obchodzenia każdego roku</w:t>
      </w:r>
      <w:r w:rsidR="005537FC">
        <w:rPr>
          <w:rFonts w:ascii="Times New Roman" w:hAnsi="Times New Roman" w:cs="Times New Roman"/>
          <w:sz w:val="24"/>
          <w:szCs w:val="24"/>
        </w:rPr>
        <w:t xml:space="preserve"> w tym dniu</w:t>
      </w:r>
      <w:r w:rsidR="00EA7D7A">
        <w:rPr>
          <w:rFonts w:ascii="Times New Roman" w:hAnsi="Times New Roman" w:cs="Times New Roman"/>
          <w:sz w:val="24"/>
          <w:szCs w:val="24"/>
        </w:rPr>
        <w:t xml:space="preserve"> Dnia Społeczeństwa Obywatelskiego, bowiem ustawa o działalności pożytku publicznego i o wolontariacie odgrywa</w:t>
      </w:r>
      <w:r w:rsidR="007978CF" w:rsidRPr="00F65CA9">
        <w:rPr>
          <w:rFonts w:ascii="Times New Roman" w:hAnsi="Times New Roman" w:cs="Times New Roman"/>
          <w:sz w:val="24"/>
          <w:szCs w:val="24"/>
        </w:rPr>
        <w:t xml:space="preserve"> istotn</w:t>
      </w:r>
      <w:r w:rsidR="00EA7D7A">
        <w:rPr>
          <w:rFonts w:ascii="Times New Roman" w:hAnsi="Times New Roman" w:cs="Times New Roman"/>
          <w:sz w:val="24"/>
          <w:szCs w:val="24"/>
        </w:rPr>
        <w:t>ą rolę</w:t>
      </w:r>
      <w:r w:rsidR="007978CF" w:rsidRPr="00F65CA9">
        <w:rPr>
          <w:rFonts w:ascii="Times New Roman" w:hAnsi="Times New Roman" w:cs="Times New Roman"/>
          <w:sz w:val="24"/>
          <w:szCs w:val="24"/>
        </w:rPr>
        <w:t xml:space="preserve"> z</w:t>
      </w:r>
      <w:r w:rsidR="006820EC">
        <w:rPr>
          <w:rFonts w:ascii="Times New Roman" w:hAnsi="Times New Roman" w:cs="Times New Roman"/>
          <w:sz w:val="24"/>
          <w:szCs w:val="24"/>
        </w:rPr>
        <w:t> </w:t>
      </w:r>
      <w:r w:rsidR="007978CF" w:rsidRPr="00F65CA9">
        <w:rPr>
          <w:rFonts w:ascii="Times New Roman" w:hAnsi="Times New Roman" w:cs="Times New Roman"/>
          <w:sz w:val="24"/>
          <w:szCs w:val="24"/>
        </w:rPr>
        <w:t>punktu widzenia rozwoju sektora organizacji pozarządowych w Polsce po 1989 r.</w:t>
      </w:r>
      <w:r w:rsidR="00827472">
        <w:rPr>
          <w:rFonts w:ascii="Times New Roman" w:hAnsi="Times New Roman" w:cs="Times New Roman"/>
          <w:sz w:val="24"/>
          <w:szCs w:val="24"/>
        </w:rPr>
        <w:t>,</w:t>
      </w:r>
      <w:r w:rsidR="007978CF" w:rsidRPr="00F65CA9">
        <w:rPr>
          <w:rFonts w:ascii="Times New Roman" w:hAnsi="Times New Roman" w:cs="Times New Roman"/>
          <w:sz w:val="24"/>
          <w:szCs w:val="24"/>
        </w:rPr>
        <w:t xml:space="preserve"> </w:t>
      </w:r>
      <w:r w:rsidR="00E22B88" w:rsidRPr="00F65CA9">
        <w:rPr>
          <w:rFonts w:ascii="Times New Roman" w:hAnsi="Times New Roman" w:cs="Times New Roman"/>
          <w:sz w:val="24"/>
          <w:szCs w:val="24"/>
        </w:rPr>
        <w:t xml:space="preserve">stworzenia prawnych podstaw </w:t>
      </w:r>
      <w:r w:rsidR="007978CF" w:rsidRPr="00F65CA9">
        <w:rPr>
          <w:rFonts w:ascii="Times New Roman" w:hAnsi="Times New Roman" w:cs="Times New Roman"/>
          <w:sz w:val="24"/>
          <w:szCs w:val="24"/>
        </w:rPr>
        <w:t xml:space="preserve">współpracy organizacji pozarządowych z organami administracji publicznej. </w:t>
      </w:r>
      <w:r w:rsidR="00E22B88" w:rsidRPr="00F65CA9">
        <w:rPr>
          <w:rFonts w:ascii="Times New Roman" w:hAnsi="Times New Roman" w:cs="Times New Roman"/>
          <w:sz w:val="24"/>
          <w:szCs w:val="24"/>
        </w:rPr>
        <w:t>Wejście w życie ww. ustawy z</w:t>
      </w:r>
      <w:r w:rsidR="007978CF" w:rsidRPr="00F65CA9">
        <w:rPr>
          <w:rFonts w:ascii="Times New Roman" w:hAnsi="Times New Roman" w:cs="Times New Roman"/>
          <w:sz w:val="24"/>
          <w:szCs w:val="24"/>
        </w:rPr>
        <w:t>apoczątkował</w:t>
      </w:r>
      <w:r w:rsidR="00E22B88" w:rsidRPr="00F65CA9">
        <w:rPr>
          <w:rFonts w:ascii="Times New Roman" w:hAnsi="Times New Roman" w:cs="Times New Roman"/>
          <w:sz w:val="24"/>
          <w:szCs w:val="24"/>
        </w:rPr>
        <w:t>o</w:t>
      </w:r>
      <w:r w:rsidR="007978CF" w:rsidRPr="00F65CA9">
        <w:rPr>
          <w:rFonts w:ascii="Times New Roman" w:hAnsi="Times New Roman" w:cs="Times New Roman"/>
          <w:sz w:val="24"/>
          <w:szCs w:val="24"/>
        </w:rPr>
        <w:t xml:space="preserve"> proces </w:t>
      </w:r>
      <w:r w:rsidR="00E22B88" w:rsidRPr="00F65CA9">
        <w:rPr>
          <w:rFonts w:ascii="Times New Roman" w:hAnsi="Times New Roman" w:cs="Times New Roman"/>
          <w:sz w:val="24"/>
          <w:szCs w:val="24"/>
        </w:rPr>
        <w:t>upodmiotowienia</w:t>
      </w:r>
      <w:r w:rsidR="007978CF" w:rsidRPr="00F65CA9">
        <w:rPr>
          <w:rFonts w:ascii="Times New Roman" w:hAnsi="Times New Roman" w:cs="Times New Roman"/>
          <w:sz w:val="24"/>
          <w:szCs w:val="24"/>
        </w:rPr>
        <w:t xml:space="preserve"> tzw. III sektora i zwiększenia jego roli w realizacji polityk publicznych przez administrację publiczną</w:t>
      </w:r>
      <w:r w:rsidR="00F24F93" w:rsidRPr="00F65CA9">
        <w:rPr>
          <w:rFonts w:ascii="Times New Roman" w:hAnsi="Times New Roman" w:cs="Times New Roman"/>
          <w:sz w:val="24"/>
          <w:szCs w:val="24"/>
        </w:rPr>
        <w:t>. Przyczyniło się do tego</w:t>
      </w:r>
      <w:r w:rsidR="00E22B88" w:rsidRPr="00F65CA9">
        <w:rPr>
          <w:rFonts w:ascii="Times New Roman" w:hAnsi="Times New Roman" w:cs="Times New Roman"/>
          <w:sz w:val="24"/>
          <w:szCs w:val="24"/>
        </w:rPr>
        <w:t xml:space="preserve"> szereg przyjętych </w:t>
      </w:r>
      <w:r w:rsidR="008527EE" w:rsidRPr="00F65CA9">
        <w:rPr>
          <w:rFonts w:ascii="Times New Roman" w:hAnsi="Times New Roman" w:cs="Times New Roman"/>
          <w:sz w:val="24"/>
          <w:szCs w:val="24"/>
        </w:rPr>
        <w:t xml:space="preserve">w tej ustawie </w:t>
      </w:r>
      <w:r w:rsidR="00E22B88" w:rsidRPr="00F65CA9">
        <w:rPr>
          <w:rFonts w:ascii="Times New Roman" w:hAnsi="Times New Roman" w:cs="Times New Roman"/>
          <w:sz w:val="24"/>
          <w:szCs w:val="24"/>
        </w:rPr>
        <w:t>rozwiązań, a szczególnie</w:t>
      </w:r>
      <w:r w:rsidR="00F24F93" w:rsidRPr="00F65CA9">
        <w:rPr>
          <w:rFonts w:ascii="Times New Roman" w:hAnsi="Times New Roman" w:cs="Times New Roman"/>
          <w:sz w:val="24"/>
          <w:szCs w:val="24"/>
        </w:rPr>
        <w:t xml:space="preserve"> ustalenie zasad </w:t>
      </w:r>
      <w:r w:rsidR="00E22B88" w:rsidRPr="00F65CA9">
        <w:rPr>
          <w:rFonts w:ascii="Times New Roman" w:hAnsi="Times New Roman" w:cs="Times New Roman"/>
          <w:sz w:val="24"/>
          <w:szCs w:val="24"/>
        </w:rPr>
        <w:t xml:space="preserve">i form </w:t>
      </w:r>
      <w:r w:rsidR="00F24F93" w:rsidRPr="00F65CA9">
        <w:rPr>
          <w:rFonts w:ascii="Times New Roman" w:hAnsi="Times New Roman" w:cs="Times New Roman"/>
          <w:sz w:val="24"/>
          <w:szCs w:val="24"/>
        </w:rPr>
        <w:t>współpracy</w:t>
      </w:r>
      <w:r w:rsidR="008527EE" w:rsidRPr="00F65CA9">
        <w:rPr>
          <w:rFonts w:ascii="Times New Roman" w:hAnsi="Times New Roman" w:cs="Times New Roman"/>
          <w:sz w:val="24"/>
          <w:szCs w:val="24"/>
        </w:rPr>
        <w:t xml:space="preserve"> administracji publicznej z organizacjami pozarządowymi</w:t>
      </w:r>
      <w:r w:rsidR="00F24F93" w:rsidRPr="00F65CA9">
        <w:rPr>
          <w:rFonts w:ascii="Times New Roman" w:hAnsi="Times New Roman" w:cs="Times New Roman"/>
          <w:sz w:val="24"/>
          <w:szCs w:val="24"/>
        </w:rPr>
        <w:t>, w tym zagwarantowanie organizacjom</w:t>
      </w:r>
      <w:r w:rsidR="00E22B88" w:rsidRPr="00F65CA9">
        <w:rPr>
          <w:rFonts w:ascii="Times New Roman" w:hAnsi="Times New Roman" w:cs="Times New Roman"/>
          <w:sz w:val="24"/>
          <w:szCs w:val="24"/>
        </w:rPr>
        <w:t xml:space="preserve"> pozarządowym</w:t>
      </w:r>
      <w:r w:rsidR="00F24F93" w:rsidRPr="00F65CA9">
        <w:rPr>
          <w:rFonts w:ascii="Times New Roman" w:hAnsi="Times New Roman" w:cs="Times New Roman"/>
          <w:sz w:val="24"/>
          <w:szCs w:val="24"/>
        </w:rPr>
        <w:t xml:space="preserve"> </w:t>
      </w:r>
      <w:r w:rsidR="007978CF" w:rsidRPr="00F65CA9">
        <w:rPr>
          <w:rFonts w:ascii="Times New Roman" w:hAnsi="Times New Roman" w:cs="Times New Roman"/>
          <w:sz w:val="24"/>
          <w:szCs w:val="24"/>
        </w:rPr>
        <w:t>udział</w:t>
      </w:r>
      <w:r w:rsidR="00E22B88" w:rsidRPr="00F65CA9">
        <w:rPr>
          <w:rFonts w:ascii="Times New Roman" w:hAnsi="Times New Roman" w:cs="Times New Roman"/>
          <w:sz w:val="24"/>
          <w:szCs w:val="24"/>
        </w:rPr>
        <w:t>u</w:t>
      </w:r>
      <w:r w:rsidR="007978CF" w:rsidRPr="00F65CA9">
        <w:rPr>
          <w:rFonts w:ascii="Times New Roman" w:hAnsi="Times New Roman" w:cs="Times New Roman"/>
          <w:sz w:val="24"/>
          <w:szCs w:val="24"/>
        </w:rPr>
        <w:t xml:space="preserve"> w konsultowaniu projektów aktów normatywnych</w:t>
      </w:r>
      <w:r w:rsidR="00F24F93" w:rsidRPr="00F65CA9">
        <w:rPr>
          <w:rFonts w:ascii="Times New Roman" w:hAnsi="Times New Roman" w:cs="Times New Roman"/>
          <w:sz w:val="24"/>
          <w:szCs w:val="24"/>
        </w:rPr>
        <w:t xml:space="preserve"> oraz</w:t>
      </w:r>
      <w:r w:rsidR="007978CF" w:rsidRPr="00F65CA9">
        <w:rPr>
          <w:rFonts w:ascii="Times New Roman" w:hAnsi="Times New Roman" w:cs="Times New Roman"/>
          <w:sz w:val="24"/>
          <w:szCs w:val="24"/>
        </w:rPr>
        <w:t xml:space="preserve"> zle</w:t>
      </w:r>
      <w:r w:rsidR="00F24F93" w:rsidRPr="00F65CA9">
        <w:rPr>
          <w:rFonts w:ascii="Times New Roman" w:hAnsi="Times New Roman" w:cs="Times New Roman"/>
          <w:sz w:val="24"/>
          <w:szCs w:val="24"/>
        </w:rPr>
        <w:t xml:space="preserve">caniu </w:t>
      </w:r>
      <w:r w:rsidR="007978CF" w:rsidRPr="00F65CA9">
        <w:rPr>
          <w:rFonts w:ascii="Times New Roman" w:hAnsi="Times New Roman" w:cs="Times New Roman"/>
          <w:sz w:val="24"/>
          <w:szCs w:val="24"/>
        </w:rPr>
        <w:t>realizacji zadań publicznych</w:t>
      </w:r>
      <w:r w:rsidR="00F24F93" w:rsidRPr="00F65CA9">
        <w:rPr>
          <w:rFonts w:ascii="Times New Roman" w:hAnsi="Times New Roman" w:cs="Times New Roman"/>
          <w:sz w:val="24"/>
          <w:szCs w:val="24"/>
        </w:rPr>
        <w:t xml:space="preserve"> w trybie otwartego konkursu ofert. Nie bez znaczenia dla tej współpracy było </w:t>
      </w:r>
      <w:r w:rsidR="00280512" w:rsidRPr="00F65CA9">
        <w:rPr>
          <w:rFonts w:ascii="Times New Roman" w:hAnsi="Times New Roman" w:cs="Times New Roman"/>
          <w:sz w:val="24"/>
          <w:szCs w:val="24"/>
        </w:rPr>
        <w:t>wprowadzenie</w:t>
      </w:r>
      <w:r w:rsidR="00F24F93" w:rsidRPr="00F65CA9">
        <w:rPr>
          <w:rFonts w:ascii="Times New Roman" w:hAnsi="Times New Roman" w:cs="Times New Roman"/>
          <w:sz w:val="24"/>
          <w:szCs w:val="24"/>
        </w:rPr>
        <w:t xml:space="preserve"> obowiązku przyjmowania najpierw przez organy jednostek samorządu terytorialnego</w:t>
      </w:r>
      <w:r w:rsidR="00827472">
        <w:rPr>
          <w:rFonts w:ascii="Times New Roman" w:hAnsi="Times New Roman" w:cs="Times New Roman"/>
          <w:sz w:val="24"/>
          <w:szCs w:val="24"/>
        </w:rPr>
        <w:t>,</w:t>
      </w:r>
      <w:r w:rsidR="00F24F93" w:rsidRPr="00F65CA9">
        <w:rPr>
          <w:rFonts w:ascii="Times New Roman" w:hAnsi="Times New Roman" w:cs="Times New Roman"/>
          <w:sz w:val="24"/>
          <w:szCs w:val="24"/>
        </w:rPr>
        <w:t xml:space="preserve"> a następnie także ministrów i wojewodów rocznych lub wieloletnich programów współpracy.</w:t>
      </w:r>
      <w:r w:rsidR="00E22B88" w:rsidRPr="00F65CA9">
        <w:rPr>
          <w:rFonts w:ascii="Times New Roman" w:hAnsi="Times New Roman" w:cs="Times New Roman"/>
          <w:sz w:val="24"/>
          <w:szCs w:val="24"/>
        </w:rPr>
        <w:t xml:space="preserve"> Ponadto nie można pominąć powołania Rady Działalności Pożytku Publicznego, której celem był rozwój dialogu obywatelskiego</w:t>
      </w:r>
      <w:r w:rsidR="00280512" w:rsidRPr="00F65CA9">
        <w:rPr>
          <w:rFonts w:ascii="Times New Roman" w:hAnsi="Times New Roman" w:cs="Times New Roman"/>
          <w:sz w:val="24"/>
          <w:szCs w:val="24"/>
        </w:rPr>
        <w:t xml:space="preserve"> </w:t>
      </w:r>
      <w:r w:rsidR="00E22B88" w:rsidRPr="00F65CA9">
        <w:rPr>
          <w:rFonts w:ascii="Times New Roman" w:hAnsi="Times New Roman" w:cs="Times New Roman"/>
          <w:sz w:val="24"/>
          <w:szCs w:val="24"/>
        </w:rPr>
        <w:t>w</w:t>
      </w:r>
      <w:r w:rsidR="006820EC">
        <w:rPr>
          <w:rFonts w:ascii="Times New Roman" w:hAnsi="Times New Roman" w:cs="Times New Roman"/>
          <w:sz w:val="24"/>
          <w:szCs w:val="24"/>
        </w:rPr>
        <w:t> </w:t>
      </w:r>
      <w:r w:rsidR="00E22B88" w:rsidRPr="00F65CA9">
        <w:rPr>
          <w:rFonts w:ascii="Times New Roman" w:hAnsi="Times New Roman" w:cs="Times New Roman"/>
          <w:sz w:val="24"/>
          <w:szCs w:val="24"/>
        </w:rPr>
        <w:t>Polsce z uwzględnieniem szczególnej roli organizacji pozarządowych.</w:t>
      </w:r>
      <w:r w:rsidR="00280512" w:rsidRPr="00F65CA9">
        <w:rPr>
          <w:rFonts w:ascii="Times New Roman" w:hAnsi="Times New Roman" w:cs="Times New Roman"/>
          <w:sz w:val="24"/>
          <w:szCs w:val="24"/>
        </w:rPr>
        <w:t xml:space="preserve"> W końcu do</w:t>
      </w:r>
      <w:r w:rsidR="006820EC">
        <w:rPr>
          <w:rFonts w:ascii="Times New Roman" w:hAnsi="Times New Roman" w:cs="Times New Roman"/>
          <w:sz w:val="24"/>
          <w:szCs w:val="24"/>
        </w:rPr>
        <w:t> </w:t>
      </w:r>
      <w:r w:rsidR="00280512" w:rsidRPr="00F65CA9">
        <w:rPr>
          <w:rFonts w:ascii="Times New Roman" w:hAnsi="Times New Roman" w:cs="Times New Roman"/>
          <w:sz w:val="24"/>
          <w:szCs w:val="24"/>
        </w:rPr>
        <w:t>popularyzacji sektora organizacji pozarządowych wśród ogółu społeczeństwa istotne znaczenie miało wprowadzenie mechanizmu 1,5% podatku dochodowego od osób fizycznych</w:t>
      </w:r>
      <w:r w:rsidR="004A31DB" w:rsidRPr="00F65CA9">
        <w:rPr>
          <w:rFonts w:ascii="Times New Roman" w:hAnsi="Times New Roman" w:cs="Times New Roman"/>
          <w:sz w:val="24"/>
          <w:szCs w:val="24"/>
        </w:rPr>
        <w:t>.</w:t>
      </w:r>
      <w:r w:rsidR="00280512" w:rsidRPr="00F65CA9">
        <w:rPr>
          <w:rFonts w:ascii="Times New Roman" w:hAnsi="Times New Roman" w:cs="Times New Roman"/>
          <w:sz w:val="24"/>
          <w:szCs w:val="24"/>
        </w:rPr>
        <w:t xml:space="preserve"> </w:t>
      </w:r>
    </w:p>
    <w:p w14:paraId="1AB2E518" w14:textId="350BE6AE" w:rsidR="00F24F93" w:rsidRDefault="00F24F93" w:rsidP="007978CF">
      <w:pPr>
        <w:jc w:val="both"/>
        <w:rPr>
          <w:rFonts w:ascii="Times New Roman" w:hAnsi="Times New Roman" w:cs="Times New Roman"/>
          <w:sz w:val="24"/>
          <w:szCs w:val="24"/>
        </w:rPr>
      </w:pPr>
      <w:r w:rsidRPr="00F65CA9">
        <w:rPr>
          <w:rFonts w:ascii="Times New Roman" w:hAnsi="Times New Roman" w:cs="Times New Roman"/>
          <w:sz w:val="24"/>
          <w:szCs w:val="24"/>
        </w:rPr>
        <w:t>Dzień ten będzie okazją</w:t>
      </w:r>
      <w:r w:rsidR="00E22B88" w:rsidRPr="00F65CA9">
        <w:rPr>
          <w:rFonts w:ascii="Times New Roman" w:hAnsi="Times New Roman" w:cs="Times New Roman"/>
          <w:sz w:val="24"/>
          <w:szCs w:val="24"/>
        </w:rPr>
        <w:t xml:space="preserve"> do popularyzacji</w:t>
      </w:r>
      <w:r w:rsidR="002E3DEF" w:rsidRPr="00F65CA9">
        <w:rPr>
          <w:rFonts w:ascii="Times New Roman" w:hAnsi="Times New Roman" w:cs="Times New Roman"/>
          <w:sz w:val="24"/>
          <w:szCs w:val="24"/>
        </w:rPr>
        <w:t xml:space="preserve"> roli</w:t>
      </w:r>
      <w:r w:rsidRPr="00F65CA9">
        <w:rPr>
          <w:rFonts w:ascii="Times New Roman" w:hAnsi="Times New Roman" w:cs="Times New Roman"/>
          <w:sz w:val="24"/>
          <w:szCs w:val="24"/>
        </w:rPr>
        <w:t xml:space="preserve"> sektora organizacji pozarządowych</w:t>
      </w:r>
      <w:r w:rsidR="00E22B88" w:rsidRPr="00F65CA9">
        <w:rPr>
          <w:rFonts w:ascii="Times New Roman" w:hAnsi="Times New Roman" w:cs="Times New Roman"/>
          <w:sz w:val="24"/>
          <w:szCs w:val="24"/>
        </w:rPr>
        <w:t xml:space="preserve"> </w:t>
      </w:r>
      <w:r w:rsidR="00E22B88" w:rsidRPr="00F65CA9">
        <w:rPr>
          <w:rFonts w:ascii="Times New Roman" w:hAnsi="Times New Roman" w:cs="Times New Roman"/>
          <w:sz w:val="24"/>
          <w:szCs w:val="24"/>
        </w:rPr>
        <w:br/>
        <w:t xml:space="preserve">w szczególności </w:t>
      </w:r>
      <w:r w:rsidRPr="00F65CA9">
        <w:rPr>
          <w:rFonts w:ascii="Times New Roman" w:hAnsi="Times New Roman" w:cs="Times New Roman"/>
          <w:sz w:val="24"/>
          <w:szCs w:val="24"/>
        </w:rPr>
        <w:t>dla budowy społeczeństwa obywatelskiego, umacniania ustroju demokratycznego</w:t>
      </w:r>
      <w:r w:rsidR="002E3DEF" w:rsidRPr="00F65CA9">
        <w:rPr>
          <w:rFonts w:ascii="Times New Roman" w:hAnsi="Times New Roman" w:cs="Times New Roman"/>
          <w:sz w:val="24"/>
          <w:szCs w:val="24"/>
        </w:rPr>
        <w:t>, w tym demokracji lokalnej, partycypacji społecznej</w:t>
      </w:r>
      <w:r w:rsidRPr="00F65CA9">
        <w:rPr>
          <w:rFonts w:ascii="Times New Roman" w:hAnsi="Times New Roman" w:cs="Times New Roman"/>
          <w:sz w:val="24"/>
          <w:szCs w:val="24"/>
        </w:rPr>
        <w:t xml:space="preserve"> oraz poszanowania praw i wolności obywatelskich</w:t>
      </w:r>
      <w:r w:rsidR="00E22B88" w:rsidRPr="00F65CA9">
        <w:rPr>
          <w:rFonts w:ascii="Times New Roman" w:hAnsi="Times New Roman" w:cs="Times New Roman"/>
          <w:sz w:val="24"/>
          <w:szCs w:val="24"/>
        </w:rPr>
        <w:t>.</w:t>
      </w:r>
      <w:r w:rsidR="002E3DEF" w:rsidRPr="00F65CA9">
        <w:rPr>
          <w:rFonts w:ascii="Times New Roman" w:hAnsi="Times New Roman" w:cs="Times New Roman"/>
          <w:sz w:val="24"/>
          <w:szCs w:val="24"/>
        </w:rPr>
        <w:t xml:space="preserve"> Dodatkowo może przyczyniać się do zwiększenia spójności</w:t>
      </w:r>
      <w:r w:rsidR="004A31DB" w:rsidRPr="00F65CA9">
        <w:rPr>
          <w:rFonts w:ascii="Times New Roman" w:hAnsi="Times New Roman" w:cs="Times New Roman"/>
          <w:sz w:val="24"/>
          <w:szCs w:val="24"/>
        </w:rPr>
        <w:t xml:space="preserve"> </w:t>
      </w:r>
      <w:r w:rsidR="004A31DB" w:rsidRPr="00F65CA9">
        <w:rPr>
          <w:rFonts w:ascii="Times New Roman" w:hAnsi="Times New Roman" w:cs="Times New Roman"/>
          <w:sz w:val="24"/>
          <w:szCs w:val="24"/>
        </w:rPr>
        <w:br/>
      </w:r>
      <w:r w:rsidR="002E3DEF" w:rsidRPr="00F65CA9">
        <w:rPr>
          <w:rFonts w:ascii="Times New Roman" w:hAnsi="Times New Roman" w:cs="Times New Roman"/>
          <w:sz w:val="24"/>
          <w:szCs w:val="24"/>
        </w:rPr>
        <w:t>i integracji środowiska organizacji obywatelskich w Pol</w:t>
      </w:r>
      <w:r w:rsidR="00280512" w:rsidRPr="00F65CA9">
        <w:rPr>
          <w:rFonts w:ascii="Times New Roman" w:hAnsi="Times New Roman" w:cs="Times New Roman"/>
          <w:sz w:val="24"/>
          <w:szCs w:val="24"/>
        </w:rPr>
        <w:t>s</w:t>
      </w:r>
      <w:r w:rsidR="002E3DEF" w:rsidRPr="00F65CA9">
        <w:rPr>
          <w:rFonts w:ascii="Times New Roman" w:hAnsi="Times New Roman" w:cs="Times New Roman"/>
          <w:sz w:val="24"/>
          <w:szCs w:val="24"/>
        </w:rPr>
        <w:t>ce.</w:t>
      </w:r>
    </w:p>
    <w:p w14:paraId="169C8270" w14:textId="616D6898" w:rsidR="005D709C" w:rsidRDefault="007D7D03" w:rsidP="003E12C8">
      <w:pPr>
        <w:jc w:val="both"/>
      </w:pPr>
      <w:r w:rsidRPr="00F65CA9">
        <w:rPr>
          <w:rFonts w:ascii="Times New Roman" w:hAnsi="Times New Roman" w:cs="Times New Roman"/>
          <w:sz w:val="24"/>
          <w:szCs w:val="24"/>
        </w:rPr>
        <w:t>Projekt nowelizacji ustawy (art. 5e udppw) zakłada również wprowadzenie odznaki honorowej pn. „Z</w:t>
      </w:r>
      <w:r w:rsidR="004C15C9">
        <w:rPr>
          <w:rFonts w:ascii="Times New Roman" w:hAnsi="Times New Roman" w:cs="Times New Roman"/>
          <w:sz w:val="24"/>
          <w:szCs w:val="24"/>
        </w:rPr>
        <w:t xml:space="preserve"> zasługi</w:t>
      </w:r>
      <w:r w:rsidRPr="00F65CA9">
        <w:rPr>
          <w:rFonts w:ascii="Times New Roman" w:hAnsi="Times New Roman" w:cs="Times New Roman"/>
          <w:sz w:val="24"/>
          <w:szCs w:val="24"/>
        </w:rPr>
        <w:t xml:space="preserve"> dla</w:t>
      </w:r>
      <w:r w:rsidR="004C15C9">
        <w:rPr>
          <w:rFonts w:ascii="Times New Roman" w:hAnsi="Times New Roman" w:cs="Times New Roman"/>
          <w:sz w:val="24"/>
          <w:szCs w:val="24"/>
        </w:rPr>
        <w:t xml:space="preserve"> S</w:t>
      </w:r>
      <w:r w:rsidRPr="00F65CA9">
        <w:rPr>
          <w:rFonts w:ascii="Times New Roman" w:hAnsi="Times New Roman" w:cs="Times New Roman"/>
          <w:sz w:val="24"/>
          <w:szCs w:val="24"/>
        </w:rPr>
        <w:t xml:space="preserve">połeczeństwa </w:t>
      </w:r>
      <w:r w:rsidR="004C15C9">
        <w:rPr>
          <w:rFonts w:ascii="Times New Roman" w:hAnsi="Times New Roman" w:cs="Times New Roman"/>
          <w:sz w:val="24"/>
          <w:szCs w:val="24"/>
        </w:rPr>
        <w:t>O</w:t>
      </w:r>
      <w:r w:rsidRPr="00F65CA9">
        <w:rPr>
          <w:rFonts w:ascii="Times New Roman" w:hAnsi="Times New Roman" w:cs="Times New Roman"/>
          <w:sz w:val="24"/>
          <w:szCs w:val="24"/>
        </w:rPr>
        <w:t>bywatelskiego” przyznawanej przez</w:t>
      </w:r>
      <w:r w:rsidR="006820EC">
        <w:rPr>
          <w:rFonts w:ascii="Times New Roman" w:hAnsi="Times New Roman" w:cs="Times New Roman"/>
          <w:sz w:val="24"/>
          <w:szCs w:val="24"/>
        </w:rPr>
        <w:t> </w:t>
      </w:r>
      <w:r w:rsidRPr="00F65CA9">
        <w:rPr>
          <w:rFonts w:ascii="Times New Roman" w:hAnsi="Times New Roman" w:cs="Times New Roman"/>
          <w:sz w:val="24"/>
          <w:szCs w:val="24"/>
        </w:rPr>
        <w:t>Przewodnicząc</w:t>
      </w:r>
      <w:r>
        <w:rPr>
          <w:rFonts w:ascii="Times New Roman" w:hAnsi="Times New Roman" w:cs="Times New Roman"/>
          <w:sz w:val="24"/>
          <w:szCs w:val="24"/>
        </w:rPr>
        <w:t>ego</w:t>
      </w:r>
      <w:r w:rsidRPr="00F65CA9">
        <w:rPr>
          <w:rFonts w:ascii="Times New Roman" w:hAnsi="Times New Roman" w:cs="Times New Roman"/>
          <w:sz w:val="24"/>
          <w:szCs w:val="24"/>
        </w:rPr>
        <w:t xml:space="preserve"> Komitetu d</w:t>
      </w:r>
      <w:r>
        <w:rPr>
          <w:rFonts w:ascii="Times New Roman" w:hAnsi="Times New Roman" w:cs="Times New Roman"/>
          <w:sz w:val="24"/>
          <w:szCs w:val="24"/>
        </w:rPr>
        <w:t>o spraw</w:t>
      </w:r>
      <w:r w:rsidRPr="00F65CA9">
        <w:rPr>
          <w:rFonts w:ascii="Times New Roman" w:hAnsi="Times New Roman" w:cs="Times New Roman"/>
          <w:sz w:val="24"/>
          <w:szCs w:val="24"/>
        </w:rPr>
        <w:t xml:space="preserve"> Pożytku Publicznego</w:t>
      </w:r>
      <w:r w:rsidR="003E12C8">
        <w:rPr>
          <w:rFonts w:ascii="Times New Roman" w:hAnsi="Times New Roman" w:cs="Times New Roman"/>
          <w:sz w:val="24"/>
          <w:szCs w:val="24"/>
        </w:rPr>
        <w:t xml:space="preserve"> </w:t>
      </w:r>
      <w:r w:rsidRPr="00F65CA9">
        <w:rPr>
          <w:rFonts w:ascii="Times New Roman" w:hAnsi="Times New Roman" w:cs="Times New Roman"/>
          <w:sz w:val="24"/>
          <w:szCs w:val="24"/>
        </w:rPr>
        <w:t>społecznikom, członkom organizacji pozarządowych, wolontariuszom oraz obywatelom RP za szczególne zasługi dla</w:t>
      </w:r>
      <w:r w:rsidR="006820EC">
        <w:rPr>
          <w:rFonts w:ascii="Times New Roman" w:hAnsi="Times New Roman" w:cs="Times New Roman"/>
          <w:sz w:val="24"/>
          <w:szCs w:val="24"/>
        </w:rPr>
        <w:t> </w:t>
      </w:r>
      <w:r w:rsidRPr="00F65CA9">
        <w:rPr>
          <w:rFonts w:ascii="Times New Roman" w:hAnsi="Times New Roman" w:cs="Times New Roman"/>
          <w:sz w:val="24"/>
          <w:szCs w:val="24"/>
        </w:rPr>
        <w:t xml:space="preserve">rozwoju </w:t>
      </w:r>
      <w:r w:rsidRPr="003E12C8">
        <w:rPr>
          <w:rFonts w:ascii="Times New Roman" w:hAnsi="Times New Roman" w:cs="Times New Roman"/>
          <w:sz w:val="24"/>
          <w:szCs w:val="24"/>
        </w:rPr>
        <w:t xml:space="preserve">społeczeństwa obywatelskiego w Polsce. </w:t>
      </w:r>
      <w:r w:rsidR="003E12C8" w:rsidRPr="003E12C8">
        <w:rPr>
          <w:rFonts w:ascii="Times New Roman" w:hAnsi="Times New Roman" w:cs="Times New Roman"/>
          <w:sz w:val="24"/>
          <w:szCs w:val="24"/>
        </w:rPr>
        <w:t xml:space="preserve">Zgodnie z projektowanymi przepisami, odznakę nadawać będzie </w:t>
      </w:r>
      <w:r w:rsidR="005D709C" w:rsidRPr="003E12C8">
        <w:rPr>
          <w:rFonts w:ascii="Times New Roman" w:hAnsi="Times New Roman" w:cs="Times New Roman"/>
          <w:sz w:val="24"/>
          <w:szCs w:val="24"/>
        </w:rPr>
        <w:t>Przewodniczący Komitetu</w:t>
      </w:r>
      <w:r w:rsidR="003E12C8" w:rsidRPr="003E12C8">
        <w:rPr>
          <w:rFonts w:ascii="Times New Roman" w:hAnsi="Times New Roman" w:cs="Times New Roman"/>
          <w:sz w:val="24"/>
          <w:szCs w:val="24"/>
        </w:rPr>
        <w:t xml:space="preserve"> </w:t>
      </w:r>
      <w:r w:rsidR="005D709C" w:rsidRPr="003E12C8">
        <w:rPr>
          <w:rFonts w:ascii="Times New Roman" w:hAnsi="Times New Roman" w:cs="Times New Roman"/>
          <w:sz w:val="24"/>
          <w:szCs w:val="24"/>
        </w:rPr>
        <w:t>z własnej inicjatywy po zasięgnięciu opinii Rady Działalności Pożytku Publicznego lub</w:t>
      </w:r>
      <w:r w:rsidR="003E12C8" w:rsidRPr="003E12C8">
        <w:rPr>
          <w:rFonts w:ascii="Times New Roman" w:hAnsi="Times New Roman" w:cs="Times New Roman"/>
          <w:sz w:val="24"/>
          <w:szCs w:val="24"/>
        </w:rPr>
        <w:t xml:space="preserve"> </w:t>
      </w:r>
      <w:r w:rsidR="005D709C" w:rsidRPr="003E12C8">
        <w:rPr>
          <w:rFonts w:ascii="Times New Roman" w:hAnsi="Times New Roman" w:cs="Times New Roman"/>
          <w:sz w:val="24"/>
          <w:szCs w:val="24"/>
        </w:rPr>
        <w:t>na pisemny wniosek Rady Działalności Pożytku Publicznego</w:t>
      </w:r>
      <w:r w:rsidR="003E12C8" w:rsidRPr="003E12C8">
        <w:rPr>
          <w:rFonts w:ascii="Times New Roman" w:hAnsi="Times New Roman" w:cs="Times New Roman"/>
          <w:sz w:val="24"/>
          <w:szCs w:val="24"/>
        </w:rPr>
        <w:t xml:space="preserve">, w którym Rada wskaże m. in. dane osoby przedstawionej do wyróżnienia, </w:t>
      </w:r>
      <w:r w:rsidR="005D709C" w:rsidRPr="003E12C8">
        <w:rPr>
          <w:rFonts w:ascii="Times New Roman" w:hAnsi="Times New Roman" w:cs="Times New Roman"/>
          <w:sz w:val="24"/>
          <w:szCs w:val="24"/>
        </w:rPr>
        <w:t>uzasadnienie nadania odznaki</w:t>
      </w:r>
      <w:r w:rsidR="003E12C8" w:rsidRPr="003E12C8">
        <w:rPr>
          <w:rFonts w:ascii="Times New Roman" w:hAnsi="Times New Roman" w:cs="Times New Roman"/>
          <w:sz w:val="24"/>
          <w:szCs w:val="24"/>
        </w:rPr>
        <w:t xml:space="preserve"> </w:t>
      </w:r>
      <w:r w:rsidR="005D709C" w:rsidRPr="003E12C8">
        <w:rPr>
          <w:rFonts w:ascii="Times New Roman" w:hAnsi="Times New Roman" w:cs="Times New Roman"/>
          <w:sz w:val="24"/>
          <w:szCs w:val="24"/>
        </w:rPr>
        <w:t>ze szczególnym uwzględnieniem zasług</w:t>
      </w:r>
      <w:r w:rsidR="003E12C8" w:rsidRPr="003E12C8">
        <w:rPr>
          <w:rFonts w:ascii="Times New Roman" w:hAnsi="Times New Roman" w:cs="Times New Roman"/>
          <w:sz w:val="24"/>
          <w:szCs w:val="24"/>
        </w:rPr>
        <w:t xml:space="preserve">. </w:t>
      </w:r>
      <w:r w:rsidR="005D709C" w:rsidRPr="003E12C8">
        <w:rPr>
          <w:rFonts w:ascii="Times New Roman" w:hAnsi="Times New Roman" w:cs="Times New Roman"/>
          <w:sz w:val="24"/>
          <w:szCs w:val="24"/>
        </w:rPr>
        <w:t xml:space="preserve">Przewodniczący Komitetu </w:t>
      </w:r>
      <w:r w:rsidR="003E12C8" w:rsidRPr="003E12C8">
        <w:rPr>
          <w:rFonts w:ascii="Times New Roman" w:hAnsi="Times New Roman" w:cs="Times New Roman"/>
          <w:sz w:val="24"/>
          <w:szCs w:val="24"/>
        </w:rPr>
        <w:t>rozpatrywać będzie</w:t>
      </w:r>
      <w:r w:rsidR="005D709C" w:rsidRPr="003E12C8">
        <w:rPr>
          <w:rFonts w:ascii="Times New Roman" w:hAnsi="Times New Roman" w:cs="Times New Roman"/>
          <w:sz w:val="24"/>
          <w:szCs w:val="24"/>
        </w:rPr>
        <w:t xml:space="preserve"> wniosek o nadanie odznaki w terminie 30 dni od dnia jego otrzymania.</w:t>
      </w:r>
      <w:r w:rsidR="003E12C8" w:rsidRPr="003E12C8">
        <w:rPr>
          <w:rFonts w:ascii="Times New Roman" w:hAnsi="Times New Roman" w:cs="Times New Roman"/>
          <w:sz w:val="24"/>
          <w:szCs w:val="24"/>
        </w:rPr>
        <w:t xml:space="preserve"> Jednocześnie w przepisach doprecyzowano, że o</w:t>
      </w:r>
      <w:r w:rsidR="005D709C" w:rsidRPr="003E12C8">
        <w:rPr>
          <w:rFonts w:ascii="Times New Roman" w:hAnsi="Times New Roman" w:cs="Times New Roman"/>
          <w:sz w:val="24"/>
          <w:szCs w:val="24"/>
        </w:rPr>
        <w:t xml:space="preserve">dznaka </w:t>
      </w:r>
      <w:r w:rsidR="003E12C8" w:rsidRPr="003E12C8">
        <w:rPr>
          <w:rFonts w:ascii="Times New Roman" w:hAnsi="Times New Roman" w:cs="Times New Roman"/>
          <w:sz w:val="24"/>
          <w:szCs w:val="24"/>
        </w:rPr>
        <w:t>będzie mogła być</w:t>
      </w:r>
      <w:r w:rsidR="005D709C" w:rsidRPr="003E12C8">
        <w:rPr>
          <w:rFonts w:ascii="Times New Roman" w:hAnsi="Times New Roman" w:cs="Times New Roman"/>
          <w:sz w:val="24"/>
          <w:szCs w:val="24"/>
        </w:rPr>
        <w:t xml:space="preserve"> nadana tej samej osobie tylko raz.</w:t>
      </w:r>
    </w:p>
    <w:p w14:paraId="6FAEB6D4" w14:textId="7C1CAE62" w:rsidR="007D7D03" w:rsidRPr="00F65CA9" w:rsidRDefault="007D7D03" w:rsidP="007D7D03">
      <w:pPr>
        <w:jc w:val="both"/>
        <w:rPr>
          <w:rFonts w:ascii="Times New Roman" w:hAnsi="Times New Roman" w:cs="Times New Roman"/>
          <w:sz w:val="24"/>
          <w:szCs w:val="24"/>
        </w:rPr>
      </w:pPr>
      <w:r w:rsidRPr="00F65CA9">
        <w:rPr>
          <w:rFonts w:ascii="Times New Roman" w:hAnsi="Times New Roman" w:cs="Times New Roman"/>
          <w:sz w:val="24"/>
          <w:szCs w:val="24"/>
        </w:rPr>
        <w:t>Celem wprowadzenia tej odznaki jest docenienie osób szczególnie zaangażowanych w rozwój sektora obywatelskiego w Polsce na przestrzeni ostatnich przeszło 30 lat od zainicjowania demokratycznych przemian w 1989 r. lub mających wybitne osiągnięcia dla jego rozwoju. Szczegółowy tryb postępowania w sprawie o nadanie odznaki, wzór odznaki oraz wzory odpowiednich dokumentów, Przewodnicząc</w:t>
      </w:r>
      <w:r>
        <w:rPr>
          <w:rFonts w:ascii="Times New Roman" w:hAnsi="Times New Roman" w:cs="Times New Roman"/>
          <w:sz w:val="24"/>
          <w:szCs w:val="24"/>
        </w:rPr>
        <w:t>y</w:t>
      </w:r>
      <w:r w:rsidRPr="00F65CA9">
        <w:rPr>
          <w:rFonts w:ascii="Times New Roman" w:hAnsi="Times New Roman" w:cs="Times New Roman"/>
          <w:sz w:val="24"/>
          <w:szCs w:val="24"/>
        </w:rPr>
        <w:t xml:space="preserve"> Komitetu do spraw Pożytku Publicznego określi w drodze rozporządzenia.</w:t>
      </w:r>
      <w:r>
        <w:rPr>
          <w:rFonts w:ascii="Times New Roman" w:hAnsi="Times New Roman" w:cs="Times New Roman"/>
          <w:sz w:val="24"/>
          <w:szCs w:val="24"/>
        </w:rPr>
        <w:t xml:space="preserve"> W związku z tym, że Rada Działalności Pożytku Publicznego będzie wyrażać opinię w zakresie nadania odznaki</w:t>
      </w:r>
      <w:r w:rsidR="006D4EC8">
        <w:rPr>
          <w:rFonts w:ascii="Times New Roman" w:hAnsi="Times New Roman" w:cs="Times New Roman"/>
          <w:sz w:val="24"/>
          <w:szCs w:val="24"/>
        </w:rPr>
        <w:t xml:space="preserve"> lub wnioskować o nadanie takiej odznaki,</w:t>
      </w:r>
      <w:r>
        <w:rPr>
          <w:rFonts w:ascii="Times New Roman" w:hAnsi="Times New Roman" w:cs="Times New Roman"/>
          <w:sz w:val="24"/>
          <w:szCs w:val="24"/>
        </w:rPr>
        <w:t xml:space="preserve"> zachodzi konieczność zmiany art. 35 ust. 2 udppw poprzez dodanie kolejnego zadania Rady polegającego na wyrażaniu takiej opinii</w:t>
      </w:r>
      <w:r w:rsidR="006D4EC8">
        <w:rPr>
          <w:rFonts w:ascii="Times New Roman" w:hAnsi="Times New Roman" w:cs="Times New Roman"/>
          <w:sz w:val="24"/>
          <w:szCs w:val="24"/>
        </w:rPr>
        <w:t xml:space="preserve"> lub złożeniu wniosku o nadanie odznaki</w:t>
      </w:r>
      <w:r>
        <w:rPr>
          <w:rFonts w:ascii="Times New Roman" w:hAnsi="Times New Roman" w:cs="Times New Roman"/>
          <w:sz w:val="24"/>
          <w:szCs w:val="24"/>
        </w:rPr>
        <w:t xml:space="preserve"> (projektowany pkt 10 w</w:t>
      </w:r>
      <w:r w:rsidR="00186A5A">
        <w:rPr>
          <w:rFonts w:ascii="Times New Roman" w:hAnsi="Times New Roman" w:cs="Times New Roman"/>
          <w:sz w:val="24"/>
          <w:szCs w:val="24"/>
        </w:rPr>
        <w:t> </w:t>
      </w:r>
      <w:r>
        <w:rPr>
          <w:rFonts w:ascii="Times New Roman" w:hAnsi="Times New Roman" w:cs="Times New Roman"/>
          <w:sz w:val="24"/>
          <w:szCs w:val="24"/>
        </w:rPr>
        <w:t>art.</w:t>
      </w:r>
      <w:r w:rsidR="00186A5A">
        <w:rPr>
          <w:rFonts w:ascii="Times New Roman" w:hAnsi="Times New Roman" w:cs="Times New Roman"/>
          <w:sz w:val="24"/>
          <w:szCs w:val="24"/>
        </w:rPr>
        <w:t> </w:t>
      </w:r>
      <w:r>
        <w:rPr>
          <w:rFonts w:ascii="Times New Roman" w:hAnsi="Times New Roman" w:cs="Times New Roman"/>
          <w:sz w:val="24"/>
          <w:szCs w:val="24"/>
        </w:rPr>
        <w:t xml:space="preserve">35 ust. 2 udppw). W projekcie uregulowano też kwestie związane z prowadzeniem ewidencji </w:t>
      </w:r>
      <w:r w:rsidRPr="00A710F0">
        <w:rPr>
          <w:rFonts w:ascii="Times New Roman" w:hAnsi="Times New Roman" w:cs="Times New Roman"/>
          <w:sz w:val="24"/>
          <w:szCs w:val="24"/>
        </w:rPr>
        <w:t xml:space="preserve">osób wyróżnionych odznaką, </w:t>
      </w:r>
      <w:r>
        <w:rPr>
          <w:rFonts w:ascii="Times New Roman" w:hAnsi="Times New Roman" w:cs="Times New Roman"/>
          <w:sz w:val="24"/>
          <w:szCs w:val="24"/>
        </w:rPr>
        <w:t xml:space="preserve">jak również dotyczące postępowania w przypadku utraty odznaki. </w:t>
      </w:r>
    </w:p>
    <w:p w14:paraId="2506C701" w14:textId="03F78B81" w:rsidR="002A1927" w:rsidRPr="002A1927" w:rsidRDefault="002A1927" w:rsidP="002A1927">
      <w:pPr>
        <w:jc w:val="both"/>
        <w:rPr>
          <w:rFonts w:ascii="Times New Roman" w:hAnsi="Times New Roman" w:cs="Times New Roman"/>
          <w:sz w:val="24"/>
          <w:szCs w:val="24"/>
        </w:rPr>
      </w:pPr>
      <w:r w:rsidRPr="002A1927">
        <w:rPr>
          <w:rFonts w:ascii="Times New Roman" w:hAnsi="Times New Roman" w:cs="Times New Roman"/>
          <w:sz w:val="24"/>
          <w:szCs w:val="24"/>
        </w:rPr>
        <w:t xml:space="preserve">Ustanowienie odznaki honorowej bezpośrednio w ustawie o </w:t>
      </w:r>
      <w:r w:rsidR="00710C1C">
        <w:rPr>
          <w:rFonts w:ascii="Times New Roman" w:hAnsi="Times New Roman" w:cs="Times New Roman"/>
          <w:sz w:val="24"/>
          <w:szCs w:val="24"/>
        </w:rPr>
        <w:t>działalności pożytku publicznego i o wolontariacie</w:t>
      </w:r>
      <w:r w:rsidRPr="002A1927">
        <w:rPr>
          <w:rFonts w:ascii="Times New Roman" w:hAnsi="Times New Roman" w:cs="Times New Roman"/>
          <w:sz w:val="24"/>
          <w:szCs w:val="24"/>
        </w:rPr>
        <w:t xml:space="preserve"> ma na celu podkreślenie istotności tego odznaczenia dla całego </w:t>
      </w:r>
      <w:r w:rsidR="00710C1C">
        <w:rPr>
          <w:rFonts w:ascii="Times New Roman" w:hAnsi="Times New Roman" w:cs="Times New Roman"/>
          <w:sz w:val="24"/>
          <w:szCs w:val="24"/>
        </w:rPr>
        <w:t>społeczeństwa obywatelskiego</w:t>
      </w:r>
      <w:r w:rsidRPr="002A1927">
        <w:rPr>
          <w:rFonts w:ascii="Times New Roman" w:hAnsi="Times New Roman" w:cs="Times New Roman"/>
          <w:sz w:val="24"/>
          <w:szCs w:val="24"/>
        </w:rPr>
        <w:t>.</w:t>
      </w:r>
      <w:r w:rsidR="00710C1C">
        <w:rPr>
          <w:rFonts w:ascii="Times New Roman" w:hAnsi="Times New Roman" w:cs="Times New Roman"/>
          <w:sz w:val="24"/>
          <w:szCs w:val="24"/>
        </w:rPr>
        <w:t xml:space="preserve"> </w:t>
      </w:r>
    </w:p>
    <w:p w14:paraId="100D285D" w14:textId="3819684D" w:rsidR="002A1927" w:rsidRPr="002A1927" w:rsidRDefault="002A1927" w:rsidP="002A1927">
      <w:pPr>
        <w:jc w:val="both"/>
        <w:rPr>
          <w:rFonts w:ascii="Times New Roman" w:hAnsi="Times New Roman" w:cs="Times New Roman"/>
          <w:sz w:val="24"/>
          <w:szCs w:val="24"/>
        </w:rPr>
      </w:pPr>
      <w:r w:rsidRPr="002A1927">
        <w:rPr>
          <w:rFonts w:ascii="Times New Roman" w:hAnsi="Times New Roman" w:cs="Times New Roman"/>
          <w:sz w:val="24"/>
          <w:szCs w:val="24"/>
        </w:rPr>
        <w:t xml:space="preserve">Ponadto, przepisy dotyczące Dnia </w:t>
      </w:r>
      <w:r w:rsidR="006A3A17">
        <w:rPr>
          <w:rFonts w:ascii="Times New Roman" w:hAnsi="Times New Roman" w:cs="Times New Roman"/>
          <w:sz w:val="24"/>
          <w:szCs w:val="24"/>
        </w:rPr>
        <w:t>Społeczeństwa Obywatelskiego</w:t>
      </w:r>
      <w:r w:rsidRPr="002A1927">
        <w:rPr>
          <w:rFonts w:ascii="Times New Roman" w:hAnsi="Times New Roman" w:cs="Times New Roman"/>
          <w:sz w:val="24"/>
          <w:szCs w:val="24"/>
        </w:rPr>
        <w:t xml:space="preserve"> oraz </w:t>
      </w:r>
      <w:r w:rsidR="006A3A17">
        <w:rPr>
          <w:rFonts w:ascii="Times New Roman" w:hAnsi="Times New Roman" w:cs="Times New Roman"/>
          <w:sz w:val="24"/>
          <w:szCs w:val="24"/>
        </w:rPr>
        <w:t>o</w:t>
      </w:r>
      <w:r w:rsidRPr="002A1927">
        <w:rPr>
          <w:rFonts w:ascii="Times New Roman" w:hAnsi="Times New Roman" w:cs="Times New Roman"/>
          <w:sz w:val="24"/>
          <w:szCs w:val="24"/>
        </w:rPr>
        <w:t xml:space="preserve">dznaki </w:t>
      </w:r>
      <w:r w:rsidR="006A3A17">
        <w:rPr>
          <w:rFonts w:ascii="Times New Roman" w:hAnsi="Times New Roman" w:cs="Times New Roman"/>
          <w:sz w:val="24"/>
          <w:szCs w:val="24"/>
        </w:rPr>
        <w:t>h</w:t>
      </w:r>
      <w:r w:rsidRPr="002A1927">
        <w:rPr>
          <w:rFonts w:ascii="Times New Roman" w:hAnsi="Times New Roman" w:cs="Times New Roman"/>
          <w:sz w:val="24"/>
          <w:szCs w:val="24"/>
        </w:rPr>
        <w:t>onorowej</w:t>
      </w:r>
      <w:r w:rsidR="006A3A17">
        <w:rPr>
          <w:rFonts w:ascii="Times New Roman" w:hAnsi="Times New Roman" w:cs="Times New Roman"/>
          <w:sz w:val="24"/>
          <w:szCs w:val="24"/>
        </w:rPr>
        <w:t xml:space="preserve"> pn.</w:t>
      </w:r>
      <w:r w:rsidR="009E5E27">
        <w:rPr>
          <w:rFonts w:ascii="Times New Roman" w:hAnsi="Times New Roman" w:cs="Times New Roman"/>
          <w:sz w:val="24"/>
          <w:szCs w:val="24"/>
        </w:rPr>
        <w:t> </w:t>
      </w:r>
      <w:r w:rsidR="006A3A17">
        <w:rPr>
          <w:rFonts w:ascii="Times New Roman" w:hAnsi="Times New Roman" w:cs="Times New Roman"/>
          <w:sz w:val="24"/>
          <w:szCs w:val="24"/>
        </w:rPr>
        <w:t>„</w:t>
      </w:r>
      <w:r w:rsidR="006A3A17" w:rsidRPr="00F65CA9">
        <w:rPr>
          <w:rFonts w:ascii="Times New Roman" w:hAnsi="Times New Roman" w:cs="Times New Roman"/>
          <w:sz w:val="24"/>
          <w:szCs w:val="24"/>
        </w:rPr>
        <w:t>Z</w:t>
      </w:r>
      <w:r w:rsidR="004C15C9">
        <w:rPr>
          <w:rFonts w:ascii="Times New Roman" w:hAnsi="Times New Roman" w:cs="Times New Roman"/>
          <w:sz w:val="24"/>
          <w:szCs w:val="24"/>
        </w:rPr>
        <w:t xml:space="preserve"> zasługi</w:t>
      </w:r>
      <w:r w:rsidR="006A3A17" w:rsidRPr="00F65CA9">
        <w:rPr>
          <w:rFonts w:ascii="Times New Roman" w:hAnsi="Times New Roman" w:cs="Times New Roman"/>
          <w:sz w:val="24"/>
          <w:szCs w:val="24"/>
        </w:rPr>
        <w:t xml:space="preserve"> dla </w:t>
      </w:r>
      <w:r w:rsidR="004C15C9">
        <w:rPr>
          <w:rFonts w:ascii="Times New Roman" w:hAnsi="Times New Roman" w:cs="Times New Roman"/>
          <w:sz w:val="24"/>
          <w:szCs w:val="24"/>
        </w:rPr>
        <w:t>S</w:t>
      </w:r>
      <w:r w:rsidR="006A3A17" w:rsidRPr="00F65CA9">
        <w:rPr>
          <w:rFonts w:ascii="Times New Roman" w:hAnsi="Times New Roman" w:cs="Times New Roman"/>
          <w:sz w:val="24"/>
          <w:szCs w:val="24"/>
        </w:rPr>
        <w:t xml:space="preserve">połeczeństwa </w:t>
      </w:r>
      <w:r w:rsidR="004C15C9">
        <w:rPr>
          <w:rFonts w:ascii="Times New Roman" w:hAnsi="Times New Roman" w:cs="Times New Roman"/>
          <w:sz w:val="24"/>
          <w:szCs w:val="24"/>
        </w:rPr>
        <w:t>O</w:t>
      </w:r>
      <w:r w:rsidR="006A3A17" w:rsidRPr="00F65CA9">
        <w:rPr>
          <w:rFonts w:ascii="Times New Roman" w:hAnsi="Times New Roman" w:cs="Times New Roman"/>
          <w:sz w:val="24"/>
          <w:szCs w:val="24"/>
        </w:rPr>
        <w:t>bywatelskiego</w:t>
      </w:r>
      <w:r w:rsidR="006A3A17">
        <w:rPr>
          <w:rFonts w:ascii="Times New Roman" w:hAnsi="Times New Roman" w:cs="Times New Roman"/>
          <w:sz w:val="24"/>
          <w:szCs w:val="24"/>
        </w:rPr>
        <w:t>”</w:t>
      </w:r>
      <w:r w:rsidRPr="002A1927">
        <w:rPr>
          <w:rFonts w:ascii="Times New Roman" w:hAnsi="Times New Roman" w:cs="Times New Roman"/>
          <w:sz w:val="24"/>
          <w:szCs w:val="24"/>
        </w:rPr>
        <w:t xml:space="preserve">, jako wzajemnie komplementarne, powinny być ujęte w ramach tego samego (systemowego dla </w:t>
      </w:r>
      <w:r w:rsidR="006A3A17">
        <w:rPr>
          <w:rFonts w:ascii="Times New Roman" w:hAnsi="Times New Roman" w:cs="Times New Roman"/>
          <w:sz w:val="24"/>
          <w:szCs w:val="24"/>
        </w:rPr>
        <w:t>społeczeństwa obywatelskiego</w:t>
      </w:r>
      <w:r w:rsidRPr="002A1927">
        <w:rPr>
          <w:rFonts w:ascii="Times New Roman" w:hAnsi="Times New Roman" w:cs="Times New Roman"/>
          <w:sz w:val="24"/>
          <w:szCs w:val="24"/>
        </w:rPr>
        <w:t xml:space="preserve">), aktu prawnego. Analogiczne rozwiązanie zastosowano między innymi </w:t>
      </w:r>
      <w:r>
        <w:rPr>
          <w:rFonts w:ascii="Times New Roman" w:hAnsi="Times New Roman" w:cs="Times New Roman"/>
          <w:sz w:val="24"/>
          <w:szCs w:val="24"/>
        </w:rPr>
        <w:t>w</w:t>
      </w:r>
      <w:r w:rsidR="009E5E27">
        <w:rPr>
          <w:rFonts w:ascii="Times New Roman" w:hAnsi="Times New Roman" w:cs="Times New Roman"/>
          <w:sz w:val="24"/>
          <w:szCs w:val="24"/>
        </w:rPr>
        <w:t> </w:t>
      </w:r>
      <w:r>
        <w:rPr>
          <w:rFonts w:ascii="Times New Roman" w:hAnsi="Times New Roman" w:cs="Times New Roman"/>
          <w:sz w:val="24"/>
          <w:szCs w:val="24"/>
        </w:rPr>
        <w:t xml:space="preserve">ustawie z dnia 21 listopada 2008 r. o służbie cywilnej, </w:t>
      </w:r>
      <w:r w:rsidRPr="002A1927">
        <w:rPr>
          <w:rFonts w:ascii="Times New Roman" w:hAnsi="Times New Roman" w:cs="Times New Roman"/>
          <w:sz w:val="24"/>
          <w:szCs w:val="24"/>
        </w:rPr>
        <w:t>w ustawie z dnia 16 listopada 2016 r. o Krajowej Administracji Skarbowej, ustawie z dnia 19 sierpnia 2011 r. o weteranach działań poza granicami państwa, ustawie z dnia 25 października 1991 r. o organizowaniu i prowadzeniu działalności kulturalnej czy ustawie z dnia 9 listopada 2000 r. o repatriacji.</w:t>
      </w:r>
    </w:p>
    <w:p w14:paraId="052FF053" w14:textId="04B2FBF5" w:rsidR="00FB3816" w:rsidRPr="00F65CA9" w:rsidRDefault="00FB3816" w:rsidP="00FB3816">
      <w:pPr>
        <w:jc w:val="both"/>
        <w:rPr>
          <w:rFonts w:ascii="Times New Roman" w:hAnsi="Times New Roman" w:cs="Times New Roman"/>
          <w:sz w:val="24"/>
          <w:szCs w:val="24"/>
        </w:rPr>
      </w:pPr>
      <w:r w:rsidRPr="00F65CA9">
        <w:rPr>
          <w:rFonts w:ascii="Times New Roman" w:hAnsi="Times New Roman" w:cs="Times New Roman"/>
          <w:sz w:val="24"/>
          <w:szCs w:val="24"/>
        </w:rPr>
        <w:t>W zakresie zmiany w</w:t>
      </w:r>
      <w:r w:rsidRPr="00F65CA9">
        <w:rPr>
          <w:rFonts w:ascii="Times New Roman" w:hAnsi="Times New Roman" w:cs="Times New Roman"/>
          <w:b/>
          <w:bCs/>
          <w:sz w:val="24"/>
          <w:szCs w:val="24"/>
        </w:rPr>
        <w:t xml:space="preserve"> </w:t>
      </w:r>
      <w:r w:rsidRPr="00F65CA9">
        <w:rPr>
          <w:rFonts w:ascii="Times New Roman" w:hAnsi="Times New Roman" w:cs="Times New Roman"/>
          <w:sz w:val="24"/>
          <w:szCs w:val="24"/>
        </w:rPr>
        <w:t>art. 27</w:t>
      </w:r>
      <w:r w:rsidRPr="00F65CA9">
        <w:rPr>
          <w:rFonts w:ascii="Times New Roman" w:hAnsi="Times New Roman" w:cs="Times New Roman"/>
          <w:b/>
          <w:bCs/>
          <w:sz w:val="24"/>
          <w:szCs w:val="24"/>
        </w:rPr>
        <w:t xml:space="preserve"> </w:t>
      </w:r>
      <w:r w:rsidRPr="00F65CA9">
        <w:rPr>
          <w:rFonts w:ascii="Times New Roman" w:hAnsi="Times New Roman" w:cs="Times New Roman"/>
          <w:sz w:val="24"/>
          <w:szCs w:val="24"/>
        </w:rPr>
        <w:t>ust. 4</w:t>
      </w:r>
      <w:r w:rsidR="009D1CB0" w:rsidRPr="00F65CA9">
        <w:rPr>
          <w:rFonts w:ascii="Times New Roman" w:hAnsi="Times New Roman" w:cs="Times New Roman"/>
          <w:sz w:val="24"/>
          <w:szCs w:val="24"/>
        </w:rPr>
        <w:t xml:space="preserve"> ustawy</w:t>
      </w:r>
      <w:r w:rsidRPr="00F65CA9">
        <w:rPr>
          <w:rFonts w:ascii="Times New Roman" w:hAnsi="Times New Roman" w:cs="Times New Roman"/>
          <w:sz w:val="24"/>
          <w:szCs w:val="24"/>
        </w:rPr>
        <w:t xml:space="preserve"> przesunięcie terminu sporządzenia informacji dotyczącej wydatkowania przez organizacje pożytku publicznego środków pochodzących z</w:t>
      </w:r>
      <w:r w:rsidR="0038651D">
        <w:rPr>
          <w:rFonts w:ascii="Times New Roman" w:hAnsi="Times New Roman" w:cs="Times New Roman"/>
          <w:sz w:val="24"/>
          <w:szCs w:val="24"/>
        </w:rPr>
        <w:t> </w:t>
      </w:r>
      <w:r w:rsidRPr="00F65CA9">
        <w:rPr>
          <w:rFonts w:ascii="Times New Roman" w:hAnsi="Times New Roman" w:cs="Times New Roman"/>
          <w:sz w:val="24"/>
          <w:szCs w:val="24"/>
        </w:rPr>
        <w:t>1,5% podatku dochodowego od osób fizycznych</w:t>
      </w:r>
      <w:r w:rsidRPr="00F65CA9">
        <w:rPr>
          <w:rStyle w:val="Odwoanieprzypisudolnego"/>
          <w:rFonts w:ascii="Times New Roman" w:hAnsi="Times New Roman" w:cs="Times New Roman"/>
          <w:sz w:val="24"/>
          <w:szCs w:val="24"/>
        </w:rPr>
        <w:footnoteReference w:id="11"/>
      </w:r>
      <w:r w:rsidRPr="00F65CA9">
        <w:rPr>
          <w:rFonts w:ascii="Times New Roman" w:hAnsi="Times New Roman" w:cs="Times New Roman"/>
          <w:sz w:val="24"/>
          <w:szCs w:val="24"/>
        </w:rPr>
        <w:t xml:space="preserve"> wynika z przyczyn praktycznych. Organizacje, których rok obrotowy jest inny niż kalendarzowy, zamieszczają sprawozdania zgodnie z terminem ustawowym do 30 listopada, a część organizacji wywiązuje się z</w:t>
      </w:r>
      <w:r w:rsidR="0038651D">
        <w:rPr>
          <w:rFonts w:ascii="Times New Roman" w:hAnsi="Times New Roman" w:cs="Times New Roman"/>
          <w:sz w:val="24"/>
          <w:szCs w:val="24"/>
        </w:rPr>
        <w:t> </w:t>
      </w:r>
      <w:r w:rsidRPr="00F65CA9">
        <w:rPr>
          <w:rFonts w:ascii="Times New Roman" w:hAnsi="Times New Roman" w:cs="Times New Roman"/>
          <w:sz w:val="24"/>
          <w:szCs w:val="24"/>
        </w:rPr>
        <w:t>obowiązku sprawozdawczego po terminie. Poza tym Dyrektor Narodowego Instytutu Wolności - Centrum Rozwoju Społeczeństwa Obywatelskiego przygotowuje i publikuje do</w:t>
      </w:r>
      <w:r w:rsidR="0038651D">
        <w:rPr>
          <w:rFonts w:ascii="Times New Roman" w:hAnsi="Times New Roman" w:cs="Times New Roman"/>
          <w:sz w:val="24"/>
          <w:szCs w:val="24"/>
        </w:rPr>
        <w:t> </w:t>
      </w:r>
      <w:r w:rsidRPr="00F65CA9">
        <w:rPr>
          <w:rFonts w:ascii="Times New Roman" w:hAnsi="Times New Roman" w:cs="Times New Roman"/>
          <w:sz w:val="24"/>
          <w:szCs w:val="24"/>
        </w:rPr>
        <w:t>15</w:t>
      </w:r>
      <w:r w:rsidR="0038651D">
        <w:rPr>
          <w:rFonts w:ascii="Times New Roman" w:hAnsi="Times New Roman" w:cs="Times New Roman"/>
          <w:sz w:val="24"/>
          <w:szCs w:val="24"/>
        </w:rPr>
        <w:t> </w:t>
      </w:r>
      <w:r w:rsidRPr="00F65CA9">
        <w:rPr>
          <w:rFonts w:ascii="Times New Roman" w:hAnsi="Times New Roman" w:cs="Times New Roman"/>
          <w:sz w:val="24"/>
          <w:szCs w:val="24"/>
        </w:rPr>
        <w:t>grudnia wykaz organizacji uprawnionych do otrzymania 1,5% podatku, który będzie obowiązywał w kolejnym roku. Skumulowanie tych dwóch zadań – publikacji wykazu i</w:t>
      </w:r>
      <w:r w:rsidR="0038651D">
        <w:rPr>
          <w:rFonts w:ascii="Times New Roman" w:hAnsi="Times New Roman" w:cs="Times New Roman"/>
          <w:sz w:val="24"/>
          <w:szCs w:val="24"/>
        </w:rPr>
        <w:t> </w:t>
      </w:r>
      <w:r w:rsidRPr="00F65CA9">
        <w:rPr>
          <w:rFonts w:ascii="Times New Roman" w:hAnsi="Times New Roman" w:cs="Times New Roman"/>
          <w:sz w:val="24"/>
          <w:szCs w:val="24"/>
        </w:rPr>
        <w:t>sporządzenia informacji – w jednym miesiącu, który jest ostatnim miesiącem roku, powoduje, że Narodowy Instytut ma niewystarczającą ilość czasu na dokładne przeanalizowanie danych ze sprawozdań zamieszczonych przez organizacje w bazie sprawozdań organizacji pożytku publicznego, a także na rzetelne opracowanie informacji. Należy bowiem wziąć pod uwagę, że</w:t>
      </w:r>
      <w:r w:rsidR="00E7307A">
        <w:rPr>
          <w:rFonts w:ascii="Times New Roman" w:hAnsi="Times New Roman" w:cs="Times New Roman"/>
          <w:sz w:val="24"/>
          <w:szCs w:val="24"/>
        </w:rPr>
        <w:t> </w:t>
      </w:r>
      <w:r w:rsidRPr="00F65CA9">
        <w:rPr>
          <w:rFonts w:ascii="Times New Roman" w:hAnsi="Times New Roman" w:cs="Times New Roman"/>
          <w:sz w:val="24"/>
          <w:szCs w:val="24"/>
        </w:rPr>
        <w:t>choć ustawa obecnie przewiduje zamieszczenie informacji na dzień 31 grudnia, to</w:t>
      </w:r>
      <w:r w:rsidR="00E7307A">
        <w:rPr>
          <w:rFonts w:ascii="Times New Roman" w:hAnsi="Times New Roman" w:cs="Times New Roman"/>
          <w:sz w:val="24"/>
          <w:szCs w:val="24"/>
        </w:rPr>
        <w:t> </w:t>
      </w:r>
      <w:r w:rsidRPr="00F65CA9">
        <w:rPr>
          <w:rFonts w:ascii="Times New Roman" w:hAnsi="Times New Roman" w:cs="Times New Roman"/>
          <w:sz w:val="24"/>
          <w:szCs w:val="24"/>
        </w:rPr>
        <w:t xml:space="preserve">przesunięcie terminu opublikowania informacji o </w:t>
      </w:r>
      <w:r w:rsidR="002E062C" w:rsidRPr="00F65CA9">
        <w:rPr>
          <w:rFonts w:ascii="Times New Roman" w:hAnsi="Times New Roman" w:cs="Times New Roman"/>
          <w:sz w:val="24"/>
          <w:szCs w:val="24"/>
        </w:rPr>
        <w:t>jeden</w:t>
      </w:r>
      <w:r w:rsidRPr="00F65CA9">
        <w:rPr>
          <w:rFonts w:ascii="Times New Roman" w:hAnsi="Times New Roman" w:cs="Times New Roman"/>
          <w:sz w:val="24"/>
          <w:szCs w:val="24"/>
        </w:rPr>
        <w:t xml:space="preserve"> miesiąc</w:t>
      </w:r>
      <w:r w:rsidR="002E062C" w:rsidRPr="00F65CA9">
        <w:rPr>
          <w:rFonts w:ascii="Times New Roman" w:hAnsi="Times New Roman" w:cs="Times New Roman"/>
          <w:sz w:val="24"/>
          <w:szCs w:val="24"/>
        </w:rPr>
        <w:t xml:space="preserve"> do 31 stycznia,</w:t>
      </w:r>
      <w:r w:rsidRPr="00F65CA9">
        <w:rPr>
          <w:rFonts w:ascii="Times New Roman" w:hAnsi="Times New Roman" w:cs="Times New Roman"/>
          <w:sz w:val="24"/>
          <w:szCs w:val="24"/>
        </w:rPr>
        <w:t xml:space="preserve"> w żaden sposób nie wpłynie negatywnie na działanie organizacji pożytku publicznego, natomiast pozwoli na sporządzenie informacji dokładniejszej i rzetelniejszej.</w:t>
      </w:r>
    </w:p>
    <w:p w14:paraId="44ABD99B" w14:textId="2F20F1E6" w:rsidR="007301A0" w:rsidRPr="00F65CA9" w:rsidRDefault="0039460A" w:rsidP="007301A0">
      <w:pPr>
        <w:spacing w:after="120"/>
        <w:jc w:val="both"/>
        <w:rPr>
          <w:rFonts w:ascii="Times New Roman" w:hAnsi="Times New Roman" w:cs="Times New Roman"/>
          <w:sz w:val="24"/>
          <w:szCs w:val="24"/>
        </w:rPr>
      </w:pPr>
      <w:r w:rsidRPr="00F65CA9">
        <w:rPr>
          <w:rFonts w:ascii="Times New Roman" w:hAnsi="Times New Roman" w:cs="Times New Roman"/>
          <w:sz w:val="24"/>
          <w:szCs w:val="24"/>
        </w:rPr>
        <w:t>Z</w:t>
      </w:r>
      <w:r w:rsidR="00FE539C" w:rsidRPr="00F65CA9">
        <w:rPr>
          <w:rFonts w:ascii="Times New Roman" w:hAnsi="Times New Roman" w:cs="Times New Roman"/>
          <w:sz w:val="24"/>
          <w:szCs w:val="24"/>
        </w:rPr>
        <w:t>akłada się</w:t>
      </w:r>
      <w:r w:rsidRPr="00F65CA9">
        <w:rPr>
          <w:rFonts w:ascii="Times New Roman" w:hAnsi="Times New Roman" w:cs="Times New Roman"/>
          <w:sz w:val="24"/>
          <w:szCs w:val="24"/>
        </w:rPr>
        <w:t xml:space="preserve"> także</w:t>
      </w:r>
      <w:r w:rsidR="00FE539C" w:rsidRPr="00F65CA9">
        <w:rPr>
          <w:rFonts w:ascii="Times New Roman" w:hAnsi="Times New Roman" w:cs="Times New Roman"/>
          <w:sz w:val="24"/>
          <w:szCs w:val="24"/>
        </w:rPr>
        <w:t xml:space="preserve"> zmianę</w:t>
      </w:r>
      <w:r w:rsidR="0081762D" w:rsidRPr="00F65CA9">
        <w:rPr>
          <w:rFonts w:ascii="Times New Roman" w:hAnsi="Times New Roman" w:cs="Times New Roman"/>
          <w:sz w:val="24"/>
          <w:szCs w:val="24"/>
        </w:rPr>
        <w:t xml:space="preserve"> </w:t>
      </w:r>
      <w:r w:rsidR="00FE539C" w:rsidRPr="00F65CA9">
        <w:rPr>
          <w:rFonts w:ascii="Times New Roman" w:hAnsi="Times New Roman" w:cs="Times New Roman"/>
          <w:sz w:val="24"/>
          <w:szCs w:val="24"/>
        </w:rPr>
        <w:t xml:space="preserve">sfery zadań publicznych, określonej w art. 4 ust. 1 ustawy poprzez </w:t>
      </w:r>
      <w:r w:rsidR="004C240B" w:rsidRPr="00F65CA9">
        <w:rPr>
          <w:rFonts w:ascii="Times New Roman" w:hAnsi="Times New Roman" w:cs="Times New Roman"/>
          <w:sz w:val="24"/>
          <w:szCs w:val="24"/>
        </w:rPr>
        <w:t>modyfikację brzmienia</w:t>
      </w:r>
      <w:r w:rsidR="00FE539C" w:rsidRPr="00F65CA9">
        <w:rPr>
          <w:rFonts w:ascii="Times New Roman" w:hAnsi="Times New Roman" w:cs="Times New Roman"/>
          <w:sz w:val="24"/>
          <w:szCs w:val="24"/>
        </w:rPr>
        <w:t xml:space="preserve"> pkt 23</w:t>
      </w:r>
      <w:r w:rsidR="004C240B" w:rsidRPr="00F65CA9">
        <w:rPr>
          <w:rFonts w:ascii="Times New Roman" w:hAnsi="Times New Roman" w:cs="Times New Roman"/>
          <w:sz w:val="24"/>
          <w:szCs w:val="24"/>
        </w:rPr>
        <w:t xml:space="preserve"> i dodanie w nim</w:t>
      </w:r>
      <w:r w:rsidR="00FE539C" w:rsidRPr="00F65CA9">
        <w:rPr>
          <w:rFonts w:ascii="Times New Roman" w:hAnsi="Times New Roman" w:cs="Times New Roman"/>
          <w:sz w:val="24"/>
          <w:szCs w:val="24"/>
        </w:rPr>
        <w:t xml:space="preserve"> nowego obszaru obrony cywilnej. Propozycja wynika z wejścia w życie ustawy z dnia 5 grudnia 2024 r. o ochronie ludności i obronie cywilnej (Dz. U. poz. 1907).</w:t>
      </w:r>
      <w:r w:rsidR="00011AE9" w:rsidRPr="00F65CA9">
        <w:rPr>
          <w:rFonts w:ascii="Times New Roman" w:hAnsi="Times New Roman" w:cs="Times New Roman"/>
          <w:sz w:val="24"/>
          <w:szCs w:val="24"/>
        </w:rPr>
        <w:t xml:space="preserve"> </w:t>
      </w:r>
      <w:r w:rsidR="00FE539C" w:rsidRPr="00F65CA9">
        <w:rPr>
          <w:rFonts w:ascii="Times New Roman" w:hAnsi="Times New Roman" w:cs="Times New Roman"/>
          <w:sz w:val="24"/>
          <w:szCs w:val="24"/>
        </w:rPr>
        <w:t>W myśl przedmiotowej ustawy obrona cyw</w:t>
      </w:r>
      <w:r w:rsidR="00011AE9" w:rsidRPr="00F65CA9">
        <w:rPr>
          <w:rFonts w:ascii="Times New Roman" w:hAnsi="Times New Roman" w:cs="Times New Roman"/>
          <w:sz w:val="24"/>
          <w:szCs w:val="24"/>
        </w:rPr>
        <w:t>ilna polega</w:t>
      </w:r>
      <w:r w:rsidR="00FE539C" w:rsidRPr="00F65CA9">
        <w:rPr>
          <w:rFonts w:ascii="Times New Roman" w:hAnsi="Times New Roman" w:cs="Times New Roman"/>
          <w:sz w:val="24"/>
          <w:szCs w:val="24"/>
        </w:rPr>
        <w:t xml:space="preserve"> </w:t>
      </w:r>
      <w:r w:rsidR="00011AE9" w:rsidRPr="00F65CA9">
        <w:rPr>
          <w:rFonts w:ascii="Times New Roman" w:hAnsi="Times New Roman" w:cs="Times New Roman"/>
          <w:sz w:val="24"/>
          <w:szCs w:val="24"/>
        </w:rPr>
        <w:t xml:space="preserve">na realizacji </w:t>
      </w:r>
      <w:r w:rsidR="00FE539C" w:rsidRPr="00F65CA9">
        <w:rPr>
          <w:rFonts w:ascii="Times New Roman" w:hAnsi="Times New Roman" w:cs="Times New Roman"/>
          <w:sz w:val="24"/>
          <w:szCs w:val="24"/>
        </w:rPr>
        <w:t xml:space="preserve">zadań </w:t>
      </w:r>
      <w:r w:rsidR="00011AE9" w:rsidRPr="00F65CA9">
        <w:rPr>
          <w:rFonts w:ascii="Times New Roman" w:hAnsi="Times New Roman" w:cs="Times New Roman"/>
          <w:sz w:val="24"/>
          <w:szCs w:val="24"/>
        </w:rPr>
        <w:t>mających</w:t>
      </w:r>
      <w:r w:rsidR="00FE539C" w:rsidRPr="00F65CA9">
        <w:rPr>
          <w:rFonts w:ascii="Times New Roman" w:hAnsi="Times New Roman" w:cs="Times New Roman"/>
          <w:sz w:val="24"/>
          <w:szCs w:val="24"/>
        </w:rPr>
        <w:t xml:space="preserve"> na celu ochronę ludności cywilnej przed zagrożeniami wynikającymi z działań zbrojnych i ich następstw. Zadania te wynikają z art. 61 lit. a Protokołu dodatkowego do</w:t>
      </w:r>
      <w:r w:rsidR="00E7307A">
        <w:rPr>
          <w:rFonts w:ascii="Times New Roman" w:hAnsi="Times New Roman" w:cs="Times New Roman"/>
          <w:sz w:val="24"/>
          <w:szCs w:val="24"/>
        </w:rPr>
        <w:t> </w:t>
      </w:r>
      <w:r w:rsidR="00FE539C" w:rsidRPr="00F65CA9">
        <w:rPr>
          <w:rFonts w:ascii="Times New Roman" w:hAnsi="Times New Roman" w:cs="Times New Roman"/>
          <w:sz w:val="24"/>
          <w:szCs w:val="24"/>
        </w:rPr>
        <w:t xml:space="preserve">Konwencji Genewskich z 12 sierpnia 1949 r. dotyczącego ochrony ofiar międzynarodowych konfliktów zbrojnych (Protokół I), sporządzonego w Genewie dnia 8 czerwca 1977 r. (Dz. U. z 1992 r. poz. 175 oraz z 2015 r. poz. 1056). Jednocześnie, co istotne dla celowości proponowanych zmian, omawiana ustawa przewiduje zawieranie porozumień o wykonywaniu zadań ochrony ludności lub obrony cywilnej z organizacjami pozarządowymi oraz </w:t>
      </w:r>
      <w:r w:rsidR="00643060" w:rsidRPr="00F65CA9">
        <w:rPr>
          <w:rFonts w:ascii="Times New Roman" w:hAnsi="Times New Roman" w:cs="Times New Roman"/>
          <w:sz w:val="24"/>
          <w:szCs w:val="24"/>
        </w:rPr>
        <w:t xml:space="preserve">podmiotami wskazanymi w art. 3 ust. 3 ustawy, </w:t>
      </w:r>
      <w:r w:rsidR="00FE539C" w:rsidRPr="00F65CA9">
        <w:rPr>
          <w:rFonts w:ascii="Times New Roman" w:hAnsi="Times New Roman" w:cs="Times New Roman"/>
          <w:sz w:val="24"/>
          <w:szCs w:val="24"/>
        </w:rPr>
        <w:t>realizującymi zadania ochro</w:t>
      </w:r>
      <w:r w:rsidR="00643060" w:rsidRPr="00F65CA9">
        <w:rPr>
          <w:rFonts w:ascii="Times New Roman" w:hAnsi="Times New Roman" w:cs="Times New Roman"/>
          <w:sz w:val="24"/>
          <w:szCs w:val="24"/>
        </w:rPr>
        <w:t>ny ludności lub obrony cywilnej. Celem ww. porozumień jest zapewnienie</w:t>
      </w:r>
      <w:r w:rsidR="00FE539C" w:rsidRPr="00F65CA9">
        <w:rPr>
          <w:rFonts w:ascii="Times New Roman" w:hAnsi="Times New Roman" w:cs="Times New Roman"/>
          <w:sz w:val="24"/>
          <w:szCs w:val="24"/>
        </w:rPr>
        <w:t xml:space="preserve"> wykonania zadań ochrony ludności lub</w:t>
      </w:r>
      <w:r w:rsidR="00E7307A">
        <w:rPr>
          <w:rFonts w:ascii="Times New Roman" w:hAnsi="Times New Roman" w:cs="Times New Roman"/>
          <w:sz w:val="24"/>
          <w:szCs w:val="24"/>
        </w:rPr>
        <w:t> </w:t>
      </w:r>
      <w:r w:rsidR="00FE539C" w:rsidRPr="00F65CA9">
        <w:rPr>
          <w:rFonts w:ascii="Times New Roman" w:hAnsi="Times New Roman" w:cs="Times New Roman"/>
          <w:sz w:val="24"/>
          <w:szCs w:val="24"/>
        </w:rPr>
        <w:t xml:space="preserve">obrony cywilnej </w:t>
      </w:r>
      <w:r w:rsidR="00643060" w:rsidRPr="00F65CA9">
        <w:rPr>
          <w:rFonts w:ascii="Times New Roman" w:hAnsi="Times New Roman" w:cs="Times New Roman"/>
          <w:sz w:val="24"/>
          <w:szCs w:val="24"/>
        </w:rPr>
        <w:t xml:space="preserve">przez </w:t>
      </w:r>
      <w:r w:rsidR="009500A2" w:rsidRPr="00F65CA9">
        <w:rPr>
          <w:rFonts w:ascii="Times New Roman" w:hAnsi="Times New Roman" w:cs="Times New Roman"/>
          <w:sz w:val="24"/>
          <w:szCs w:val="24"/>
        </w:rPr>
        <w:t>organy ochrony ludności.</w:t>
      </w:r>
    </w:p>
    <w:p w14:paraId="6FF3B656" w14:textId="1B1A937C" w:rsidR="0039460A" w:rsidRPr="00F65CA9" w:rsidRDefault="0039460A" w:rsidP="0039460A">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Proponuje się </w:t>
      </w:r>
      <w:r w:rsidR="001F109A">
        <w:rPr>
          <w:rFonts w:ascii="Times New Roman" w:hAnsi="Times New Roman" w:cs="Times New Roman"/>
          <w:sz w:val="24"/>
          <w:szCs w:val="24"/>
        </w:rPr>
        <w:t>uchylenie</w:t>
      </w:r>
      <w:r w:rsidR="001F109A" w:rsidRPr="00F65CA9">
        <w:rPr>
          <w:rFonts w:ascii="Times New Roman" w:hAnsi="Times New Roman" w:cs="Times New Roman"/>
          <w:sz w:val="24"/>
          <w:szCs w:val="24"/>
        </w:rPr>
        <w:t xml:space="preserve"> </w:t>
      </w:r>
      <w:r w:rsidRPr="00F65CA9">
        <w:rPr>
          <w:rFonts w:ascii="Times New Roman" w:hAnsi="Times New Roman" w:cs="Times New Roman"/>
          <w:sz w:val="24"/>
          <w:szCs w:val="24"/>
        </w:rPr>
        <w:t xml:space="preserve">art. 27ab, którego celem było utworzenie Funduszu Wspierania Organizacji Pożytku Publicznego. Fundusz Wspierania Organizacji Pożytku Publicznego został utworzony w celu wzmocnienia potencjału organizacji pożytku publicznego poprzez wyrównywanie ich szans. Środki Funduszu przeznacza się na następujące zadania: </w:t>
      </w:r>
      <w:r w:rsidR="00D021C8">
        <w:rPr>
          <w:rFonts w:ascii="Times New Roman" w:hAnsi="Times New Roman" w:cs="Times New Roman"/>
          <w:sz w:val="24"/>
          <w:szCs w:val="24"/>
        </w:rPr>
        <w:br/>
      </w:r>
      <w:r w:rsidRPr="00F65CA9">
        <w:rPr>
          <w:rFonts w:ascii="Times New Roman" w:hAnsi="Times New Roman" w:cs="Times New Roman"/>
          <w:sz w:val="24"/>
          <w:szCs w:val="24"/>
        </w:rPr>
        <w:t xml:space="preserve">1) wyrównywanie szans rozwoju organizacji pożytku publicznego; 2) wzmocnienie organizacji pożytku publicznego działających lokalnie; 3) rozwój wolontariatu w organizacjach pożytku publicznego; 4) wzrost kompetencji organizacji pożytku publicznego, w szczególności przez podnoszenie poziomu wiedzy i umiejętności osób działających w organizacjach pożytku publicznego; 5) wzmocnienie infrastruktury organizacji pożytku publicznego. Dysponentem Funduszu jest Dyrektor Narodowego Instytutu Wolności – Centrum Rozwoju Społeczeństwa Obywatelskiego. </w:t>
      </w:r>
    </w:p>
    <w:p w14:paraId="73A6F394" w14:textId="54478856" w:rsidR="0039460A" w:rsidRPr="00F65CA9" w:rsidRDefault="0039460A" w:rsidP="0039460A">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Proponowana zmiana polega</w:t>
      </w:r>
      <w:r w:rsidR="00F65CA9" w:rsidRPr="00F65CA9">
        <w:rPr>
          <w:rFonts w:ascii="Times New Roman" w:hAnsi="Times New Roman" w:cs="Times New Roman"/>
          <w:sz w:val="24"/>
          <w:szCs w:val="24"/>
        </w:rPr>
        <w:t xml:space="preserve"> w istocie</w:t>
      </w:r>
      <w:r w:rsidRPr="00F65CA9">
        <w:rPr>
          <w:rFonts w:ascii="Times New Roman" w:hAnsi="Times New Roman" w:cs="Times New Roman"/>
          <w:sz w:val="24"/>
          <w:szCs w:val="24"/>
        </w:rPr>
        <w:t xml:space="preserve"> na likwidacji Funduszu Wspierania Organizacji Pożytku Publicznego z jednoczesnym przesunięciem środków tego Funduszu na rachunek Funduszu Wspierania Rozwoju Społeczeństwa Obywatelskiego utworzonego na podstawie ustawy z dnia 19 listopada 2009 r. o grach hazardowych, którego dysponentem jest Przewodniczący Komitetu do spraw Pożytku Publicznego. </w:t>
      </w:r>
      <w:r w:rsidR="00104F61" w:rsidRPr="00F71AC9">
        <w:rPr>
          <w:rFonts w:ascii="Times New Roman" w:eastAsia="Calibri" w:hAnsi="Times New Roman" w:cs="Times New Roman"/>
          <w:sz w:val="24"/>
          <w:szCs w:val="24"/>
        </w:rPr>
        <w:t>Dotychczasowy cel likwidowanego Funduszu polegający na</w:t>
      </w:r>
      <w:r w:rsidR="00A17CB3">
        <w:rPr>
          <w:rFonts w:ascii="Times New Roman" w:eastAsia="Calibri" w:hAnsi="Times New Roman" w:cs="Times New Roman"/>
          <w:sz w:val="24"/>
          <w:szCs w:val="24"/>
        </w:rPr>
        <w:t> </w:t>
      </w:r>
      <w:r w:rsidR="00104F61" w:rsidRPr="00F71AC9">
        <w:rPr>
          <w:rFonts w:ascii="Times New Roman" w:eastAsia="Calibri" w:hAnsi="Times New Roman" w:cs="Times New Roman"/>
          <w:sz w:val="24"/>
          <w:szCs w:val="24"/>
        </w:rPr>
        <w:t>wzmocnieniu potencjału organizacji pożytku publicznego w drodze wyrównywania ich szans będzie mógł być realizowany poprzez wdrażanie stosownych działań finansowanych ze</w:t>
      </w:r>
      <w:r w:rsidR="00A17CB3">
        <w:rPr>
          <w:rFonts w:ascii="Times New Roman" w:eastAsia="Calibri" w:hAnsi="Times New Roman" w:cs="Times New Roman"/>
          <w:sz w:val="24"/>
          <w:szCs w:val="24"/>
        </w:rPr>
        <w:t> </w:t>
      </w:r>
      <w:r w:rsidR="00104F61" w:rsidRPr="00F71AC9">
        <w:rPr>
          <w:rFonts w:ascii="Times New Roman" w:eastAsia="Calibri" w:hAnsi="Times New Roman" w:cs="Times New Roman"/>
          <w:sz w:val="24"/>
          <w:szCs w:val="24"/>
        </w:rPr>
        <w:t>środków Funduszu Wspierania Rozwoju Społeczeństwa Obywatelskiego.</w:t>
      </w:r>
    </w:p>
    <w:p w14:paraId="66DB7C29" w14:textId="45B9F040" w:rsidR="0039460A" w:rsidRPr="00F65CA9" w:rsidRDefault="0039460A" w:rsidP="0039460A">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Celem Funduszu Wspierania Rozwoju Społeczeństwa Obywatelskiego jest wspieranie społeczeństwa obywatelskiego na drodze do wszechstronnego rozwoju poprzez wdrażanie systemowych rozwiązań służących wzmocnieniu i podnoszeniu jakości działania całego sektora pozarządowego.</w:t>
      </w:r>
      <w:r w:rsidR="00104F61">
        <w:rPr>
          <w:rFonts w:ascii="Times New Roman" w:hAnsi="Times New Roman" w:cs="Times New Roman"/>
          <w:sz w:val="24"/>
          <w:szCs w:val="24"/>
        </w:rPr>
        <w:t xml:space="preserve"> </w:t>
      </w:r>
      <w:r w:rsidR="00104F61" w:rsidRPr="00F71AC9">
        <w:rPr>
          <w:rFonts w:ascii="Times New Roman" w:eastAsia="Calibri" w:hAnsi="Times New Roman" w:cs="Times New Roman"/>
          <w:sz w:val="24"/>
          <w:szCs w:val="24"/>
        </w:rPr>
        <w:t>Cel tego Funduszu jest więc szerzej określony w stosunku do</w:t>
      </w:r>
      <w:r w:rsidR="00FC71BD">
        <w:rPr>
          <w:rFonts w:ascii="Times New Roman" w:eastAsia="Calibri" w:hAnsi="Times New Roman" w:cs="Times New Roman"/>
          <w:sz w:val="24"/>
          <w:szCs w:val="24"/>
        </w:rPr>
        <w:t> </w:t>
      </w:r>
      <w:r w:rsidR="00104F61" w:rsidRPr="00F71AC9">
        <w:rPr>
          <w:rFonts w:ascii="Times New Roman" w:eastAsia="Calibri" w:hAnsi="Times New Roman" w:cs="Times New Roman"/>
          <w:sz w:val="24"/>
          <w:szCs w:val="24"/>
        </w:rPr>
        <w:t>Funduszu likwidowanego, bowiem polega na wspieraniu społeczeństwa obywatelskiego, w</w:t>
      </w:r>
      <w:r w:rsidR="00FC71BD">
        <w:rPr>
          <w:rFonts w:ascii="Times New Roman" w:eastAsia="Calibri" w:hAnsi="Times New Roman" w:cs="Times New Roman"/>
          <w:sz w:val="24"/>
          <w:szCs w:val="24"/>
        </w:rPr>
        <w:t> </w:t>
      </w:r>
      <w:r w:rsidR="00104F61" w:rsidRPr="00F71AC9">
        <w:rPr>
          <w:rFonts w:ascii="Times New Roman" w:eastAsia="Calibri" w:hAnsi="Times New Roman" w:cs="Times New Roman"/>
          <w:sz w:val="24"/>
          <w:szCs w:val="24"/>
        </w:rPr>
        <w:t>tym wzmocnieniu i podnoszeniu jakości działania całego sektora pozarządowego, którego</w:t>
      </w:r>
      <w:r w:rsidR="00FC71BD">
        <w:rPr>
          <w:rFonts w:ascii="Times New Roman" w:eastAsia="Calibri" w:hAnsi="Times New Roman" w:cs="Times New Roman"/>
          <w:sz w:val="24"/>
          <w:szCs w:val="24"/>
        </w:rPr>
        <w:t> </w:t>
      </w:r>
      <w:r w:rsidR="00104F61" w:rsidRPr="00F71AC9">
        <w:rPr>
          <w:rFonts w:ascii="Times New Roman" w:eastAsia="Calibri" w:hAnsi="Times New Roman" w:cs="Times New Roman"/>
          <w:sz w:val="24"/>
          <w:szCs w:val="24"/>
        </w:rPr>
        <w:t>istotną część stanowi podsektor organizacji pożytku publicznego.</w:t>
      </w:r>
    </w:p>
    <w:p w14:paraId="0D37136E" w14:textId="77777777" w:rsidR="0039460A" w:rsidRPr="00F65CA9" w:rsidRDefault="0039460A" w:rsidP="0039460A">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Wydatki Funduszu Wspierania Rozwoju Społeczeństwa Obywatelskiego są przeznaczone na: 1) działania nastawione na przygotowanie i wdrożenie systemowych rozwiązań służących wzmocnieniu i podniesieniu jakości działania całego sektora pozarządowego lub jego znaczących części (branż, środowisk); 2) wspieranie rozwoju porozumień organizacji, platform współpracy, reprezentacji środowisk organizacji sektora pozarządowego; 3) wspieranie działań statutowych organizacji sektora pozarządowego; 4) rozwój instytucjonalny organizacji, w tym: budowanie stabilnych podstaw ich dalszego funkcjonowania, tworzenie perspektywicznych planów działania i finansowania, podnoszenie standardów pracy i zarządzania organizacją.</w:t>
      </w:r>
    </w:p>
    <w:p w14:paraId="14F110F8" w14:textId="5E38C95C" w:rsidR="0039460A" w:rsidRPr="00F65CA9" w:rsidRDefault="0039460A" w:rsidP="0039460A">
      <w:pPr>
        <w:spacing w:line="276" w:lineRule="auto"/>
        <w:jc w:val="both"/>
        <w:rPr>
          <w:rFonts w:ascii="Times New Roman" w:hAnsi="Times New Roman" w:cs="Times New Roman"/>
          <w:sz w:val="24"/>
          <w:szCs w:val="24"/>
        </w:rPr>
      </w:pPr>
      <w:r w:rsidRPr="00F65CA9">
        <w:rPr>
          <w:rFonts w:ascii="Times New Roman" w:hAnsi="Times New Roman" w:cs="Times New Roman"/>
          <w:sz w:val="24"/>
          <w:szCs w:val="24"/>
        </w:rPr>
        <w:t>Jak wynika z zestawienia zadań, na które przeznaczane są środki z ww. funduszy celowych, wydatki Funduszu Wspierania Rozwoju Społeczeństwa Obywatelskiego przeznaczane są na</w:t>
      </w:r>
      <w:r w:rsidR="00FC71BD">
        <w:rPr>
          <w:rFonts w:ascii="Times New Roman" w:hAnsi="Times New Roman" w:cs="Times New Roman"/>
          <w:sz w:val="24"/>
          <w:szCs w:val="24"/>
        </w:rPr>
        <w:t> </w:t>
      </w:r>
      <w:r w:rsidRPr="00F65CA9">
        <w:rPr>
          <w:rFonts w:ascii="Times New Roman" w:hAnsi="Times New Roman" w:cs="Times New Roman"/>
          <w:sz w:val="24"/>
          <w:szCs w:val="24"/>
        </w:rPr>
        <w:t>szersze spectrum zadań wspierających działalność organizacji pozarządowych. Proponowana zmiana stanowi zatem jeden z elementów uporządkowania, przywrócenia przejrzystości oraz odpowiedzialnego zarządzania finansami publicznymi.</w:t>
      </w:r>
    </w:p>
    <w:p w14:paraId="7F24C1CC" w14:textId="50E826E6" w:rsidR="0039460A" w:rsidRPr="00F65CA9" w:rsidRDefault="0039460A" w:rsidP="0039460A">
      <w:pPr>
        <w:spacing w:line="276" w:lineRule="auto"/>
        <w:jc w:val="both"/>
        <w:rPr>
          <w:rFonts w:ascii="Times New Roman" w:hAnsi="Times New Roman" w:cs="Times New Roman"/>
          <w:b/>
          <w:bCs/>
          <w:sz w:val="24"/>
          <w:szCs w:val="24"/>
        </w:rPr>
      </w:pPr>
      <w:r w:rsidRPr="00F65CA9">
        <w:rPr>
          <w:rFonts w:ascii="Times New Roman" w:hAnsi="Times New Roman" w:cs="Times New Roman"/>
          <w:sz w:val="24"/>
          <w:szCs w:val="24"/>
        </w:rPr>
        <w:t>Proponuje się, aby likwidacja Funduszu Wspierania Organizacji Pożytku Publicznego nastąpiła z dniem 1 stycznia 2026 r. Jednocześnie</w:t>
      </w:r>
      <w:r w:rsidR="00667776">
        <w:rPr>
          <w:rFonts w:ascii="Times New Roman" w:hAnsi="Times New Roman" w:cs="Times New Roman"/>
          <w:sz w:val="24"/>
          <w:szCs w:val="24"/>
        </w:rPr>
        <w:t>, wobec uchylenia art. 27ab</w:t>
      </w:r>
      <w:r w:rsidR="00C720BA">
        <w:rPr>
          <w:rFonts w:ascii="Times New Roman" w:hAnsi="Times New Roman" w:cs="Times New Roman"/>
          <w:sz w:val="24"/>
          <w:szCs w:val="24"/>
        </w:rPr>
        <w:t xml:space="preserve"> ustawy</w:t>
      </w:r>
      <w:r w:rsidR="00667776">
        <w:rPr>
          <w:rFonts w:ascii="Times New Roman" w:hAnsi="Times New Roman" w:cs="Times New Roman"/>
          <w:sz w:val="24"/>
          <w:szCs w:val="24"/>
        </w:rPr>
        <w:t xml:space="preserve">, straci moc </w:t>
      </w:r>
      <w:r w:rsidRPr="00F65CA9">
        <w:rPr>
          <w:rFonts w:ascii="Times New Roman" w:hAnsi="Times New Roman" w:cs="Times New Roman"/>
          <w:sz w:val="24"/>
          <w:szCs w:val="24"/>
        </w:rPr>
        <w:t>akt wykonawcz</w:t>
      </w:r>
      <w:r w:rsidR="00667776">
        <w:rPr>
          <w:rFonts w:ascii="Times New Roman" w:hAnsi="Times New Roman" w:cs="Times New Roman"/>
          <w:sz w:val="24"/>
          <w:szCs w:val="24"/>
        </w:rPr>
        <w:t>y</w:t>
      </w:r>
      <w:r w:rsidRPr="00F65CA9">
        <w:rPr>
          <w:rFonts w:ascii="Times New Roman" w:hAnsi="Times New Roman" w:cs="Times New Roman"/>
          <w:sz w:val="24"/>
          <w:szCs w:val="24"/>
        </w:rPr>
        <w:t xml:space="preserve"> wydan</w:t>
      </w:r>
      <w:r w:rsidR="00667776">
        <w:rPr>
          <w:rFonts w:ascii="Times New Roman" w:hAnsi="Times New Roman" w:cs="Times New Roman"/>
          <w:sz w:val="24"/>
          <w:szCs w:val="24"/>
        </w:rPr>
        <w:t>y</w:t>
      </w:r>
      <w:r w:rsidRPr="00F65CA9">
        <w:rPr>
          <w:rFonts w:ascii="Times New Roman" w:hAnsi="Times New Roman" w:cs="Times New Roman"/>
          <w:sz w:val="24"/>
          <w:szCs w:val="24"/>
        </w:rPr>
        <w:t xml:space="preserve"> na podstawie art. 27ab ust. 6 ustawy o działalności pożytku publicznego i o wolontariacie, tj. rozporządzeni</w:t>
      </w:r>
      <w:r w:rsidR="003D09FF">
        <w:rPr>
          <w:rFonts w:ascii="Times New Roman" w:hAnsi="Times New Roman" w:cs="Times New Roman"/>
          <w:sz w:val="24"/>
          <w:szCs w:val="24"/>
        </w:rPr>
        <w:t>e</w:t>
      </w:r>
      <w:r w:rsidRPr="00F65CA9">
        <w:rPr>
          <w:rFonts w:ascii="Times New Roman" w:hAnsi="Times New Roman" w:cs="Times New Roman"/>
          <w:sz w:val="24"/>
          <w:szCs w:val="24"/>
        </w:rPr>
        <w:t xml:space="preserve"> Przewodniczącego Komitetu do Spraw Pożytku Publicznego z dnia 24 października 2018 r. w sprawie gospodarki finansowej Funduszu Wspierania Organizacji Pożytku Publicznego (Dz. U. poz. 2051).</w:t>
      </w:r>
      <w:r w:rsidRPr="00F65CA9">
        <w:rPr>
          <w:rFonts w:ascii="Times New Roman" w:hAnsi="Times New Roman" w:cs="Times New Roman"/>
          <w:b/>
          <w:bCs/>
          <w:sz w:val="24"/>
          <w:szCs w:val="24"/>
        </w:rPr>
        <w:t xml:space="preserve"> </w:t>
      </w:r>
    </w:p>
    <w:p w14:paraId="402BA8CB" w14:textId="155FF720" w:rsidR="0039460A" w:rsidRPr="006326CD" w:rsidRDefault="0039460A" w:rsidP="0039460A">
      <w:pPr>
        <w:spacing w:after="0" w:line="276"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Co istotne proponuje się, aby dotychczasowe przychody Funduszu Wspierania Organizacji Pożytku Publicznego stały się przychodami Funduszu Wspierania Rozwoju Społeczeństw Obywatelskiego, </w:t>
      </w:r>
      <w:r w:rsidRPr="006326CD">
        <w:rPr>
          <w:rFonts w:ascii="Times New Roman" w:hAnsi="Times New Roman" w:cs="Times New Roman"/>
          <w:sz w:val="24"/>
          <w:szCs w:val="24"/>
        </w:rPr>
        <w:t xml:space="preserve">co </w:t>
      </w:r>
      <w:r w:rsidR="00F65CA9" w:rsidRPr="006326CD">
        <w:rPr>
          <w:rFonts w:ascii="Times New Roman" w:hAnsi="Times New Roman" w:cs="Times New Roman"/>
          <w:sz w:val="24"/>
          <w:szCs w:val="24"/>
        </w:rPr>
        <w:t>wymaga</w:t>
      </w:r>
      <w:r w:rsidRPr="006326CD">
        <w:rPr>
          <w:rFonts w:ascii="Times New Roman" w:hAnsi="Times New Roman" w:cs="Times New Roman"/>
          <w:sz w:val="24"/>
          <w:szCs w:val="24"/>
        </w:rPr>
        <w:t xml:space="preserve"> dokonania zmiany w art. 88a ustawy o grach hazardowych. </w:t>
      </w:r>
    </w:p>
    <w:p w14:paraId="65F74CFC" w14:textId="7413CF2C" w:rsidR="0039460A" w:rsidRPr="00F65CA9" w:rsidRDefault="0039460A" w:rsidP="0039460A">
      <w:pPr>
        <w:spacing w:after="0" w:line="276" w:lineRule="auto"/>
        <w:jc w:val="both"/>
        <w:rPr>
          <w:rFonts w:ascii="Times New Roman" w:hAnsi="Times New Roman" w:cs="Times New Roman"/>
          <w:sz w:val="24"/>
          <w:szCs w:val="24"/>
        </w:rPr>
      </w:pPr>
      <w:r w:rsidRPr="006326CD">
        <w:rPr>
          <w:rFonts w:ascii="Times New Roman" w:hAnsi="Times New Roman" w:cs="Times New Roman"/>
          <w:sz w:val="24"/>
          <w:szCs w:val="24"/>
        </w:rPr>
        <w:t>Proponuje się zatem</w:t>
      </w:r>
      <w:r w:rsidR="008F59D8">
        <w:rPr>
          <w:rFonts w:ascii="Times New Roman" w:hAnsi="Times New Roman" w:cs="Times New Roman"/>
          <w:sz w:val="24"/>
          <w:szCs w:val="24"/>
        </w:rPr>
        <w:t xml:space="preserve"> dodanie art. 27ac w </w:t>
      </w:r>
      <w:r w:rsidRPr="006326CD">
        <w:rPr>
          <w:rFonts w:ascii="Times New Roman" w:hAnsi="Times New Roman" w:cs="Times New Roman"/>
          <w:sz w:val="24"/>
          <w:szCs w:val="24"/>
        </w:rPr>
        <w:t>ustaw</w:t>
      </w:r>
      <w:r w:rsidR="008F59D8">
        <w:rPr>
          <w:rFonts w:ascii="Times New Roman" w:hAnsi="Times New Roman" w:cs="Times New Roman"/>
          <w:sz w:val="24"/>
          <w:szCs w:val="24"/>
        </w:rPr>
        <w:t>ie</w:t>
      </w:r>
      <w:r w:rsidRPr="006326CD">
        <w:rPr>
          <w:rFonts w:ascii="Times New Roman" w:hAnsi="Times New Roman" w:cs="Times New Roman"/>
          <w:sz w:val="24"/>
          <w:szCs w:val="24"/>
        </w:rPr>
        <w:t xml:space="preserve"> o działalności pożytku</w:t>
      </w:r>
      <w:r w:rsidRPr="00F65CA9">
        <w:rPr>
          <w:rFonts w:ascii="Times New Roman" w:hAnsi="Times New Roman" w:cs="Times New Roman"/>
          <w:sz w:val="24"/>
          <w:szCs w:val="24"/>
        </w:rPr>
        <w:t xml:space="preserve"> publicznego i</w:t>
      </w:r>
      <w:r w:rsidR="00FC71BD">
        <w:rPr>
          <w:rFonts w:ascii="Times New Roman" w:hAnsi="Times New Roman" w:cs="Times New Roman"/>
          <w:sz w:val="24"/>
          <w:szCs w:val="24"/>
        </w:rPr>
        <w:t> </w:t>
      </w:r>
      <w:r w:rsidRPr="00F65CA9">
        <w:rPr>
          <w:rFonts w:ascii="Times New Roman" w:hAnsi="Times New Roman" w:cs="Times New Roman"/>
          <w:sz w:val="24"/>
          <w:szCs w:val="24"/>
        </w:rPr>
        <w:t>o</w:t>
      </w:r>
      <w:r w:rsidR="00FC71BD">
        <w:rPr>
          <w:rFonts w:ascii="Times New Roman" w:hAnsi="Times New Roman" w:cs="Times New Roman"/>
          <w:sz w:val="24"/>
          <w:szCs w:val="24"/>
        </w:rPr>
        <w:t> </w:t>
      </w:r>
      <w:r w:rsidRPr="00F65CA9">
        <w:rPr>
          <w:rFonts w:ascii="Times New Roman" w:hAnsi="Times New Roman" w:cs="Times New Roman"/>
          <w:sz w:val="24"/>
          <w:szCs w:val="24"/>
        </w:rPr>
        <w:t>wolontariacie</w:t>
      </w:r>
      <w:r w:rsidR="008F59D8">
        <w:rPr>
          <w:rFonts w:ascii="Times New Roman" w:hAnsi="Times New Roman" w:cs="Times New Roman"/>
          <w:sz w:val="24"/>
          <w:szCs w:val="24"/>
        </w:rPr>
        <w:t xml:space="preserve"> stanowiącego, </w:t>
      </w:r>
      <w:r w:rsidRPr="00F65CA9">
        <w:rPr>
          <w:rFonts w:ascii="Times New Roman" w:hAnsi="Times New Roman" w:cs="Times New Roman"/>
          <w:sz w:val="24"/>
          <w:szCs w:val="24"/>
        </w:rPr>
        <w:t xml:space="preserve">iż obecne przychody Funduszu Wspierania Organizacji Pożytku Publicznego, czyli środki finansowe: </w:t>
      </w:r>
    </w:p>
    <w:p w14:paraId="5B514633" w14:textId="0ED21A39" w:rsidR="0039460A" w:rsidRPr="00F65CA9" w:rsidRDefault="0039460A" w:rsidP="0039460A">
      <w:pPr>
        <w:spacing w:after="0" w:line="276" w:lineRule="auto"/>
        <w:jc w:val="both"/>
        <w:rPr>
          <w:rFonts w:ascii="Times New Roman" w:hAnsi="Times New Roman" w:cs="Times New Roman"/>
          <w:sz w:val="24"/>
          <w:szCs w:val="24"/>
        </w:rPr>
      </w:pPr>
      <w:bookmarkStart w:id="1" w:name="mip75187044"/>
      <w:bookmarkEnd w:id="1"/>
      <w:r w:rsidRPr="00F65CA9">
        <w:rPr>
          <w:rFonts w:ascii="Times New Roman" w:hAnsi="Times New Roman" w:cs="Times New Roman"/>
          <w:sz w:val="24"/>
          <w:szCs w:val="24"/>
        </w:rPr>
        <w:t>1) pochodzące z 1,5% podatku dochodowego od osób fizycznych niewydatkowane przez</w:t>
      </w:r>
      <w:r w:rsidR="00FC71BD">
        <w:rPr>
          <w:rFonts w:ascii="Times New Roman" w:hAnsi="Times New Roman" w:cs="Times New Roman"/>
          <w:sz w:val="24"/>
          <w:szCs w:val="24"/>
        </w:rPr>
        <w:t> </w:t>
      </w:r>
      <w:r w:rsidRPr="00F65CA9">
        <w:rPr>
          <w:rFonts w:ascii="Times New Roman" w:hAnsi="Times New Roman" w:cs="Times New Roman"/>
          <w:sz w:val="24"/>
          <w:szCs w:val="24"/>
        </w:rPr>
        <w:t>organizacje pożytku publicznego, które utraciły status organizacji pożytku publicznego</w:t>
      </w:r>
      <w:r w:rsidR="00F80188">
        <w:rPr>
          <w:rFonts w:ascii="Times New Roman" w:hAnsi="Times New Roman" w:cs="Times New Roman"/>
          <w:sz w:val="24"/>
          <w:szCs w:val="24"/>
        </w:rPr>
        <w:t>,</w:t>
      </w:r>
    </w:p>
    <w:p w14:paraId="57FEE685" w14:textId="3AEAD02E" w:rsidR="0039460A" w:rsidRPr="00F65CA9" w:rsidRDefault="0039460A" w:rsidP="0039460A">
      <w:pPr>
        <w:spacing w:after="0" w:line="276" w:lineRule="auto"/>
        <w:jc w:val="both"/>
        <w:rPr>
          <w:rFonts w:ascii="Times New Roman" w:hAnsi="Times New Roman" w:cs="Times New Roman"/>
          <w:sz w:val="24"/>
          <w:szCs w:val="24"/>
        </w:rPr>
      </w:pPr>
      <w:bookmarkStart w:id="2" w:name="mip75187045"/>
      <w:bookmarkEnd w:id="2"/>
      <w:r w:rsidRPr="00F65CA9">
        <w:rPr>
          <w:rFonts w:ascii="Times New Roman" w:hAnsi="Times New Roman" w:cs="Times New Roman"/>
          <w:sz w:val="24"/>
          <w:szCs w:val="24"/>
        </w:rPr>
        <w:t>2) pochodzące z 1,5% podatku dochodowego od osób fizycznych wydatkowane niezgodnie z </w:t>
      </w:r>
      <w:hyperlink r:id="rId8" w:history="1">
        <w:r w:rsidRPr="00F65CA9">
          <w:rPr>
            <w:rStyle w:val="Hipercze"/>
            <w:rFonts w:ascii="Times New Roman" w:hAnsi="Times New Roman" w:cs="Times New Roman"/>
            <w:color w:val="auto"/>
            <w:sz w:val="24"/>
            <w:szCs w:val="24"/>
            <w:u w:val="none"/>
          </w:rPr>
          <w:t>art. 27 ust. 2</w:t>
        </w:r>
      </w:hyperlink>
      <w:r w:rsidRPr="00F65CA9">
        <w:rPr>
          <w:rFonts w:ascii="Times New Roman" w:hAnsi="Times New Roman" w:cs="Times New Roman"/>
          <w:sz w:val="24"/>
          <w:szCs w:val="24"/>
        </w:rPr>
        <w:t> wraz z odsetkami</w:t>
      </w:r>
      <w:r w:rsidR="00F80188">
        <w:rPr>
          <w:rFonts w:ascii="Times New Roman" w:hAnsi="Times New Roman" w:cs="Times New Roman"/>
          <w:sz w:val="24"/>
          <w:szCs w:val="24"/>
        </w:rPr>
        <w:t>,</w:t>
      </w:r>
    </w:p>
    <w:p w14:paraId="68DE6DE8" w14:textId="052866E7" w:rsidR="0039460A" w:rsidRPr="00F65CA9" w:rsidRDefault="0039460A" w:rsidP="0039460A">
      <w:pPr>
        <w:spacing w:after="0" w:line="276" w:lineRule="auto"/>
        <w:jc w:val="both"/>
        <w:rPr>
          <w:rFonts w:ascii="Times New Roman" w:hAnsi="Times New Roman" w:cs="Times New Roman"/>
          <w:sz w:val="24"/>
          <w:szCs w:val="24"/>
        </w:rPr>
      </w:pPr>
      <w:bookmarkStart w:id="3" w:name="mip75187046"/>
      <w:bookmarkEnd w:id="3"/>
      <w:r w:rsidRPr="00F65CA9">
        <w:rPr>
          <w:rFonts w:ascii="Times New Roman" w:hAnsi="Times New Roman" w:cs="Times New Roman"/>
          <w:sz w:val="24"/>
          <w:szCs w:val="24"/>
        </w:rPr>
        <w:t>3)</w:t>
      </w:r>
      <w:r w:rsidR="00BB229A">
        <w:rPr>
          <w:rFonts w:ascii="Times New Roman" w:hAnsi="Times New Roman" w:cs="Times New Roman"/>
          <w:sz w:val="24"/>
          <w:szCs w:val="24"/>
        </w:rPr>
        <w:t xml:space="preserve"> </w:t>
      </w:r>
      <w:r w:rsidRPr="00F65CA9">
        <w:rPr>
          <w:rFonts w:ascii="Times New Roman" w:hAnsi="Times New Roman" w:cs="Times New Roman"/>
          <w:sz w:val="24"/>
          <w:szCs w:val="24"/>
        </w:rPr>
        <w:t>pochodzące z 1,5% podatku dochodowego od osób fizycznych przekazane na rzecz organizacji pożytku publicznego, która nie została uwzględniona w wykazie organizacji mających status organizacji pożytku publicznego, o których mowa w </w:t>
      </w:r>
      <w:hyperlink r:id="rId9" w:history="1">
        <w:r w:rsidRPr="00F65CA9">
          <w:rPr>
            <w:rStyle w:val="Hipercze"/>
            <w:rFonts w:ascii="Times New Roman" w:hAnsi="Times New Roman" w:cs="Times New Roman"/>
            <w:color w:val="auto"/>
            <w:sz w:val="24"/>
            <w:szCs w:val="24"/>
            <w:u w:val="none"/>
          </w:rPr>
          <w:t>art. 27aa ust. 3</w:t>
        </w:r>
      </w:hyperlink>
      <w:r w:rsidRPr="00F65CA9">
        <w:rPr>
          <w:rFonts w:ascii="Times New Roman" w:hAnsi="Times New Roman" w:cs="Times New Roman"/>
          <w:sz w:val="24"/>
          <w:szCs w:val="24"/>
        </w:rPr>
        <w:t>, wraz</w:t>
      </w:r>
      <w:r w:rsidR="005F03C6">
        <w:rPr>
          <w:rFonts w:ascii="Times New Roman" w:hAnsi="Times New Roman" w:cs="Times New Roman"/>
          <w:sz w:val="24"/>
          <w:szCs w:val="24"/>
        </w:rPr>
        <w:t> </w:t>
      </w:r>
      <w:r w:rsidRPr="00F65CA9">
        <w:rPr>
          <w:rFonts w:ascii="Times New Roman" w:hAnsi="Times New Roman" w:cs="Times New Roman"/>
          <w:sz w:val="24"/>
          <w:szCs w:val="24"/>
        </w:rPr>
        <w:t>z</w:t>
      </w:r>
      <w:r w:rsidR="005F03C6">
        <w:rPr>
          <w:rFonts w:ascii="Times New Roman" w:hAnsi="Times New Roman" w:cs="Times New Roman"/>
          <w:sz w:val="24"/>
          <w:szCs w:val="24"/>
        </w:rPr>
        <w:t> </w:t>
      </w:r>
      <w:r w:rsidRPr="00F65CA9">
        <w:rPr>
          <w:rFonts w:ascii="Times New Roman" w:hAnsi="Times New Roman" w:cs="Times New Roman"/>
          <w:sz w:val="24"/>
          <w:szCs w:val="24"/>
        </w:rPr>
        <w:t>odsetkami</w:t>
      </w:r>
      <w:r w:rsidR="00F80188">
        <w:rPr>
          <w:rFonts w:ascii="Times New Roman" w:hAnsi="Times New Roman" w:cs="Times New Roman"/>
          <w:sz w:val="24"/>
          <w:szCs w:val="24"/>
        </w:rPr>
        <w:t>,</w:t>
      </w:r>
    </w:p>
    <w:p w14:paraId="382B4535" w14:textId="7BAEB37B" w:rsidR="0039460A" w:rsidRPr="00F65CA9" w:rsidRDefault="0039460A" w:rsidP="0039460A">
      <w:pPr>
        <w:spacing w:after="0" w:line="276" w:lineRule="auto"/>
        <w:jc w:val="both"/>
        <w:rPr>
          <w:rFonts w:ascii="Times New Roman" w:hAnsi="Times New Roman" w:cs="Times New Roman"/>
          <w:sz w:val="24"/>
          <w:szCs w:val="24"/>
        </w:rPr>
      </w:pPr>
      <w:bookmarkStart w:id="4" w:name="mip75187047"/>
      <w:bookmarkEnd w:id="4"/>
      <w:r w:rsidRPr="00F65CA9">
        <w:rPr>
          <w:rFonts w:ascii="Times New Roman" w:hAnsi="Times New Roman" w:cs="Times New Roman"/>
          <w:sz w:val="24"/>
          <w:szCs w:val="24"/>
        </w:rPr>
        <w:t>4)</w:t>
      </w:r>
      <w:r w:rsidR="00BB229A">
        <w:rPr>
          <w:rFonts w:ascii="Times New Roman" w:hAnsi="Times New Roman" w:cs="Times New Roman"/>
          <w:sz w:val="24"/>
          <w:szCs w:val="24"/>
        </w:rPr>
        <w:t xml:space="preserve"> </w:t>
      </w:r>
      <w:r w:rsidRPr="00F65CA9">
        <w:rPr>
          <w:rFonts w:ascii="Times New Roman" w:hAnsi="Times New Roman" w:cs="Times New Roman"/>
          <w:sz w:val="24"/>
          <w:szCs w:val="24"/>
        </w:rPr>
        <w:t>stanowiące  odsetki od wolnych środków finansowych przekazanych w zarządzanie na</w:t>
      </w:r>
      <w:r w:rsidR="005F03C6">
        <w:rPr>
          <w:rFonts w:ascii="Times New Roman" w:hAnsi="Times New Roman" w:cs="Times New Roman"/>
          <w:sz w:val="24"/>
          <w:szCs w:val="24"/>
        </w:rPr>
        <w:t> </w:t>
      </w:r>
      <w:r w:rsidRPr="00F65CA9">
        <w:rPr>
          <w:rFonts w:ascii="Times New Roman" w:hAnsi="Times New Roman" w:cs="Times New Roman"/>
          <w:sz w:val="24"/>
          <w:szCs w:val="24"/>
        </w:rPr>
        <w:t>podstawie </w:t>
      </w:r>
      <w:hyperlink r:id="rId10" w:history="1">
        <w:r w:rsidRPr="00F65CA9">
          <w:rPr>
            <w:rStyle w:val="Hipercze"/>
            <w:rFonts w:ascii="Times New Roman" w:hAnsi="Times New Roman" w:cs="Times New Roman"/>
            <w:color w:val="auto"/>
            <w:sz w:val="24"/>
            <w:szCs w:val="24"/>
            <w:u w:val="none"/>
          </w:rPr>
          <w:t>art. 78d ust. 2</w:t>
        </w:r>
      </w:hyperlink>
      <w:r w:rsidRPr="00F65CA9">
        <w:rPr>
          <w:rFonts w:ascii="Times New Roman" w:hAnsi="Times New Roman" w:cs="Times New Roman"/>
          <w:sz w:val="24"/>
          <w:szCs w:val="24"/>
        </w:rPr>
        <w:t> ustawy z dnia 27 sierpnia 2009 r. o finansach publicznych</w:t>
      </w:r>
    </w:p>
    <w:p w14:paraId="6F0AD99E" w14:textId="41E666BB" w:rsidR="0039460A" w:rsidRPr="006326CD" w:rsidRDefault="0039460A" w:rsidP="0039460A">
      <w:pPr>
        <w:spacing w:after="0" w:line="276" w:lineRule="auto"/>
        <w:jc w:val="both"/>
        <w:rPr>
          <w:rFonts w:ascii="Times New Roman" w:hAnsi="Times New Roman" w:cs="Times New Roman"/>
          <w:sz w:val="24"/>
          <w:szCs w:val="24"/>
        </w:rPr>
      </w:pPr>
      <w:r w:rsidRPr="006326CD">
        <w:rPr>
          <w:rFonts w:ascii="Times New Roman" w:hAnsi="Times New Roman" w:cs="Times New Roman"/>
          <w:sz w:val="24"/>
          <w:szCs w:val="24"/>
        </w:rPr>
        <w:t>- stanowi</w:t>
      </w:r>
      <w:r w:rsidR="007C4F5E">
        <w:rPr>
          <w:rFonts w:ascii="Times New Roman" w:hAnsi="Times New Roman" w:cs="Times New Roman"/>
          <w:sz w:val="24"/>
          <w:szCs w:val="24"/>
        </w:rPr>
        <w:t>ą</w:t>
      </w:r>
      <w:r w:rsidRPr="006326CD">
        <w:rPr>
          <w:rFonts w:ascii="Times New Roman" w:hAnsi="Times New Roman" w:cs="Times New Roman"/>
          <w:sz w:val="24"/>
          <w:szCs w:val="24"/>
        </w:rPr>
        <w:t xml:space="preserve"> przychody Funduszu Wspierania Rozwoju Społeczeństwa Obywatelskiego, o</w:t>
      </w:r>
      <w:r w:rsidR="005F03C6">
        <w:rPr>
          <w:rFonts w:ascii="Times New Roman" w:hAnsi="Times New Roman" w:cs="Times New Roman"/>
          <w:sz w:val="24"/>
          <w:szCs w:val="24"/>
        </w:rPr>
        <w:t> </w:t>
      </w:r>
      <w:r w:rsidRPr="006326CD">
        <w:rPr>
          <w:rFonts w:ascii="Times New Roman" w:hAnsi="Times New Roman" w:cs="Times New Roman"/>
          <w:sz w:val="24"/>
          <w:szCs w:val="24"/>
        </w:rPr>
        <w:t>którym mowa art. 88a ustawy o grach hazardowych.</w:t>
      </w:r>
    </w:p>
    <w:p w14:paraId="0E4B7AA9" w14:textId="77777777" w:rsidR="0039460A" w:rsidRPr="00F65CA9" w:rsidRDefault="0039460A" w:rsidP="0039460A">
      <w:pPr>
        <w:spacing w:after="0" w:line="276" w:lineRule="auto"/>
        <w:jc w:val="both"/>
        <w:rPr>
          <w:rFonts w:ascii="Times New Roman" w:hAnsi="Times New Roman" w:cs="Times New Roman"/>
          <w:sz w:val="24"/>
          <w:szCs w:val="24"/>
        </w:rPr>
      </w:pPr>
    </w:p>
    <w:p w14:paraId="00AD6D68" w14:textId="7511F578" w:rsidR="0039460A" w:rsidRPr="00F65CA9" w:rsidRDefault="0039460A" w:rsidP="0039460A">
      <w:pPr>
        <w:spacing w:after="0" w:line="276" w:lineRule="auto"/>
        <w:jc w:val="both"/>
        <w:rPr>
          <w:rFonts w:ascii="Times New Roman" w:hAnsi="Times New Roman" w:cs="Times New Roman"/>
          <w:sz w:val="24"/>
          <w:szCs w:val="24"/>
        </w:rPr>
      </w:pPr>
      <w:r w:rsidRPr="00F65CA9">
        <w:rPr>
          <w:rFonts w:ascii="Times New Roman" w:hAnsi="Times New Roman" w:cs="Times New Roman"/>
          <w:sz w:val="24"/>
          <w:szCs w:val="24"/>
        </w:rPr>
        <w:t xml:space="preserve">Jednocześnie art. 88a ust. 4 ustawy o grach hazardowych </w:t>
      </w:r>
      <w:r w:rsidR="00F65CA9" w:rsidRPr="00F65CA9">
        <w:rPr>
          <w:rFonts w:ascii="Times New Roman" w:hAnsi="Times New Roman" w:cs="Times New Roman"/>
          <w:sz w:val="24"/>
          <w:szCs w:val="24"/>
        </w:rPr>
        <w:t xml:space="preserve">proponuje się </w:t>
      </w:r>
      <w:r w:rsidRPr="00F65CA9">
        <w:rPr>
          <w:rFonts w:ascii="Times New Roman" w:hAnsi="Times New Roman" w:cs="Times New Roman"/>
          <w:sz w:val="24"/>
          <w:szCs w:val="24"/>
        </w:rPr>
        <w:t>nadać brzmienie, zgodnie z którym przychodami Funduszu Wspierania Rozwoju Społeczeństwa Obywatelskiego staną się:</w:t>
      </w:r>
    </w:p>
    <w:p w14:paraId="184AD140" w14:textId="77777777" w:rsidR="0039460A" w:rsidRPr="00F65CA9" w:rsidRDefault="0039460A" w:rsidP="0039460A">
      <w:pPr>
        <w:numPr>
          <w:ilvl w:val="0"/>
          <w:numId w:val="2"/>
        </w:numPr>
        <w:spacing w:after="0" w:line="276" w:lineRule="auto"/>
        <w:jc w:val="both"/>
        <w:rPr>
          <w:rFonts w:ascii="Times New Roman" w:hAnsi="Times New Roman" w:cs="Times New Roman"/>
          <w:sz w:val="24"/>
          <w:szCs w:val="24"/>
        </w:rPr>
      </w:pPr>
      <w:r w:rsidRPr="00F65CA9">
        <w:rPr>
          <w:rFonts w:ascii="Times New Roman" w:hAnsi="Times New Roman" w:cs="Times New Roman"/>
          <w:sz w:val="24"/>
          <w:szCs w:val="24"/>
        </w:rPr>
        <w:t>4% wpływów z dopłat, o których mowa w </w:t>
      </w:r>
      <w:hyperlink r:id="rId11" w:history="1">
        <w:r w:rsidRPr="00F65CA9">
          <w:rPr>
            <w:rStyle w:val="Hipercze"/>
            <w:rFonts w:ascii="Times New Roman" w:hAnsi="Times New Roman" w:cs="Times New Roman"/>
            <w:color w:val="auto"/>
            <w:sz w:val="24"/>
            <w:szCs w:val="24"/>
            <w:u w:val="none"/>
          </w:rPr>
          <w:t>art. 80 ust. 1</w:t>
        </w:r>
      </w:hyperlink>
      <w:r w:rsidRPr="00F65CA9">
        <w:rPr>
          <w:rFonts w:ascii="Times New Roman" w:hAnsi="Times New Roman" w:cs="Times New Roman"/>
          <w:sz w:val="24"/>
          <w:szCs w:val="24"/>
        </w:rPr>
        <w:t xml:space="preserve"> ustawy o grach hazardowych;</w:t>
      </w:r>
    </w:p>
    <w:p w14:paraId="094A4D03" w14:textId="534FA6EC" w:rsidR="0039460A" w:rsidRPr="00F65CA9" w:rsidRDefault="001E34FC" w:rsidP="0039460A">
      <w:pPr>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ś</w:t>
      </w:r>
      <w:r w:rsidR="0039460A" w:rsidRPr="00F65CA9">
        <w:rPr>
          <w:rFonts w:ascii="Times New Roman" w:hAnsi="Times New Roman" w:cs="Times New Roman"/>
          <w:sz w:val="24"/>
          <w:szCs w:val="24"/>
        </w:rPr>
        <w:t>rodki finansowe, o których mowa w art.</w:t>
      </w:r>
      <w:r w:rsidR="00BB229A">
        <w:rPr>
          <w:rFonts w:ascii="Times New Roman" w:hAnsi="Times New Roman" w:cs="Times New Roman"/>
          <w:sz w:val="24"/>
          <w:szCs w:val="24"/>
        </w:rPr>
        <w:t xml:space="preserve"> </w:t>
      </w:r>
      <w:r w:rsidR="0039460A" w:rsidRPr="00F65CA9">
        <w:rPr>
          <w:rFonts w:ascii="Times New Roman" w:hAnsi="Times New Roman" w:cs="Times New Roman"/>
          <w:sz w:val="24"/>
          <w:szCs w:val="24"/>
        </w:rPr>
        <w:t xml:space="preserve">27ab </w:t>
      </w:r>
      <w:r>
        <w:rPr>
          <w:rFonts w:ascii="Times New Roman" w:hAnsi="Times New Roman" w:cs="Times New Roman"/>
          <w:sz w:val="24"/>
          <w:szCs w:val="24"/>
        </w:rPr>
        <w:t>ustawy o działalności pożytku publicznego i o wolontariacie</w:t>
      </w:r>
      <w:r w:rsidR="0039460A" w:rsidRPr="00F65CA9">
        <w:rPr>
          <w:rFonts w:ascii="Times New Roman" w:hAnsi="Times New Roman" w:cs="Times New Roman"/>
          <w:sz w:val="24"/>
          <w:szCs w:val="24"/>
        </w:rPr>
        <w:t>.</w:t>
      </w:r>
    </w:p>
    <w:p w14:paraId="67D643F5" w14:textId="77777777" w:rsidR="001F27EC" w:rsidRPr="00D20EED" w:rsidRDefault="001F27EC" w:rsidP="009B5467">
      <w:pPr>
        <w:rPr>
          <w:rFonts w:ascii="Times New Roman" w:hAnsi="Times New Roman" w:cs="Times New Roman"/>
          <w:sz w:val="10"/>
          <w:szCs w:val="10"/>
        </w:rPr>
      </w:pPr>
    </w:p>
    <w:p w14:paraId="3F4008DA" w14:textId="008B4436" w:rsidR="00916FB4" w:rsidRPr="00EB0975" w:rsidRDefault="00081059" w:rsidP="00916FB4">
      <w:pPr>
        <w:jc w:val="both"/>
        <w:rPr>
          <w:rFonts w:ascii="Times New Roman" w:hAnsi="Times New Roman" w:cs="Times New Roman"/>
          <w:sz w:val="24"/>
          <w:szCs w:val="24"/>
        </w:rPr>
      </w:pPr>
      <w:r>
        <w:rPr>
          <w:rFonts w:ascii="Times New Roman" w:hAnsi="Times New Roman" w:cs="Times New Roman"/>
          <w:sz w:val="24"/>
          <w:szCs w:val="24"/>
        </w:rPr>
        <w:t xml:space="preserve">Ponadto </w:t>
      </w:r>
      <w:r w:rsidR="00BB229A">
        <w:rPr>
          <w:rFonts w:ascii="Times New Roman" w:hAnsi="Times New Roman" w:cs="Times New Roman"/>
          <w:sz w:val="24"/>
          <w:szCs w:val="24"/>
        </w:rPr>
        <w:t xml:space="preserve">w </w:t>
      </w:r>
      <w:r>
        <w:rPr>
          <w:rFonts w:ascii="Times New Roman" w:hAnsi="Times New Roman" w:cs="Times New Roman"/>
          <w:sz w:val="24"/>
          <w:szCs w:val="24"/>
        </w:rPr>
        <w:t xml:space="preserve">projekcie </w:t>
      </w:r>
      <w:r w:rsidRPr="00081059">
        <w:rPr>
          <w:rFonts w:ascii="Times New Roman" w:hAnsi="Times New Roman" w:cs="Times New Roman"/>
          <w:sz w:val="24"/>
          <w:szCs w:val="24"/>
        </w:rPr>
        <w:t>uwzględni</w:t>
      </w:r>
      <w:r>
        <w:rPr>
          <w:rFonts w:ascii="Times New Roman" w:hAnsi="Times New Roman" w:cs="Times New Roman"/>
          <w:sz w:val="24"/>
          <w:szCs w:val="24"/>
        </w:rPr>
        <w:t>ono</w:t>
      </w:r>
      <w:r w:rsidRPr="00081059">
        <w:rPr>
          <w:rFonts w:ascii="Times New Roman" w:hAnsi="Times New Roman" w:cs="Times New Roman"/>
          <w:sz w:val="24"/>
          <w:szCs w:val="24"/>
        </w:rPr>
        <w:t xml:space="preserve"> niezbędne zmiany „wynikowe” związane z likwidacją F</w:t>
      </w:r>
      <w:r>
        <w:rPr>
          <w:rFonts w:ascii="Times New Roman" w:hAnsi="Times New Roman" w:cs="Times New Roman"/>
          <w:sz w:val="24"/>
          <w:szCs w:val="24"/>
        </w:rPr>
        <w:t xml:space="preserve">unduszu </w:t>
      </w:r>
      <w:r w:rsidRPr="00081059">
        <w:rPr>
          <w:rFonts w:ascii="Times New Roman" w:hAnsi="Times New Roman" w:cs="Times New Roman"/>
          <w:sz w:val="24"/>
          <w:szCs w:val="24"/>
        </w:rPr>
        <w:t>W</w:t>
      </w:r>
      <w:r>
        <w:rPr>
          <w:rFonts w:ascii="Times New Roman" w:hAnsi="Times New Roman" w:cs="Times New Roman"/>
          <w:sz w:val="24"/>
          <w:szCs w:val="24"/>
        </w:rPr>
        <w:t xml:space="preserve">spierania </w:t>
      </w:r>
      <w:r w:rsidRPr="00081059">
        <w:rPr>
          <w:rFonts w:ascii="Times New Roman" w:hAnsi="Times New Roman" w:cs="Times New Roman"/>
          <w:sz w:val="24"/>
          <w:szCs w:val="24"/>
        </w:rPr>
        <w:t>O</w:t>
      </w:r>
      <w:r>
        <w:rPr>
          <w:rFonts w:ascii="Times New Roman" w:hAnsi="Times New Roman" w:cs="Times New Roman"/>
          <w:sz w:val="24"/>
          <w:szCs w:val="24"/>
        </w:rPr>
        <w:t xml:space="preserve">rganizacji </w:t>
      </w:r>
      <w:r w:rsidRPr="00081059">
        <w:rPr>
          <w:rFonts w:ascii="Times New Roman" w:hAnsi="Times New Roman" w:cs="Times New Roman"/>
          <w:sz w:val="24"/>
          <w:szCs w:val="24"/>
        </w:rPr>
        <w:t>P</w:t>
      </w:r>
      <w:r>
        <w:rPr>
          <w:rFonts w:ascii="Times New Roman" w:hAnsi="Times New Roman" w:cs="Times New Roman"/>
          <w:sz w:val="24"/>
          <w:szCs w:val="24"/>
        </w:rPr>
        <w:t xml:space="preserve">ożytku </w:t>
      </w:r>
      <w:r w:rsidRPr="00081059">
        <w:rPr>
          <w:rFonts w:ascii="Times New Roman" w:hAnsi="Times New Roman" w:cs="Times New Roman"/>
          <w:sz w:val="24"/>
          <w:szCs w:val="24"/>
        </w:rPr>
        <w:t>P</w:t>
      </w:r>
      <w:r>
        <w:rPr>
          <w:rFonts w:ascii="Times New Roman" w:hAnsi="Times New Roman" w:cs="Times New Roman"/>
          <w:sz w:val="24"/>
          <w:szCs w:val="24"/>
        </w:rPr>
        <w:t xml:space="preserve">ublicznego w </w:t>
      </w:r>
      <w:r w:rsidRPr="00081059">
        <w:rPr>
          <w:rFonts w:ascii="Times New Roman" w:hAnsi="Times New Roman" w:cs="Times New Roman"/>
          <w:sz w:val="24"/>
          <w:szCs w:val="24"/>
        </w:rPr>
        <w:t>art. 22 ust. 7, art. 27 ust. 2b, art. 27aa ust. 3</w:t>
      </w:r>
      <w:r w:rsidR="00375FB4">
        <w:rPr>
          <w:rFonts w:ascii="Times New Roman" w:hAnsi="Times New Roman" w:cs="Times New Roman"/>
          <w:sz w:val="24"/>
          <w:szCs w:val="24"/>
        </w:rPr>
        <w:t xml:space="preserve"> i 4</w:t>
      </w:r>
      <w:r>
        <w:rPr>
          <w:rFonts w:ascii="Times New Roman" w:hAnsi="Times New Roman" w:cs="Times New Roman"/>
          <w:sz w:val="24"/>
          <w:szCs w:val="24"/>
        </w:rPr>
        <w:t>.</w:t>
      </w:r>
      <w:r w:rsidR="0088535A">
        <w:rPr>
          <w:rFonts w:ascii="Times New Roman" w:hAnsi="Times New Roman" w:cs="Times New Roman"/>
          <w:sz w:val="24"/>
          <w:szCs w:val="24"/>
        </w:rPr>
        <w:t xml:space="preserve"> Należy w tym miejscu wskazać, że zmiana w art. 27aa ust. 4 spowoduje zmianę </w:t>
      </w:r>
      <w:r w:rsidR="0088535A" w:rsidRPr="00916FB4">
        <w:rPr>
          <w:rFonts w:ascii="Times New Roman" w:hAnsi="Times New Roman" w:cs="Times New Roman"/>
          <w:sz w:val="24"/>
          <w:szCs w:val="24"/>
        </w:rPr>
        <w:t>organu wydającego decyzje o zwrocie środków finansowych pochodzących z 1,5 % podatku dochodowego od osób fizycznych. Aktualnie organem tym jest Dyrektor Narodowego Instytutu będący dysponentem Funduszu Wspierania Organizacji Pożytku Publicznego. Natomiast na</w:t>
      </w:r>
      <w:r w:rsidR="005F03C6">
        <w:rPr>
          <w:rFonts w:ascii="Times New Roman" w:hAnsi="Times New Roman" w:cs="Times New Roman"/>
          <w:sz w:val="24"/>
          <w:szCs w:val="24"/>
        </w:rPr>
        <w:t> </w:t>
      </w:r>
      <w:r w:rsidR="0088535A" w:rsidRPr="00916FB4">
        <w:rPr>
          <w:rFonts w:ascii="Times New Roman" w:hAnsi="Times New Roman" w:cs="Times New Roman"/>
          <w:sz w:val="24"/>
          <w:szCs w:val="24"/>
        </w:rPr>
        <w:t xml:space="preserve">skutek proponowanej zmiany wydawanie tych decyzji znajdzie się w kompetencji dysponenta Funduszu Wspierania Społeczeństwa Obywatelskiego, którym będzie </w:t>
      </w:r>
      <w:r w:rsidR="0088535A" w:rsidRPr="00C37D08">
        <w:rPr>
          <w:rFonts w:ascii="Times New Roman" w:hAnsi="Times New Roman" w:cs="Times New Roman"/>
          <w:sz w:val="24"/>
          <w:szCs w:val="24"/>
        </w:rPr>
        <w:t>Przewodniczący Komitetu do spraw Pożytku Publicznego.</w:t>
      </w:r>
      <w:r w:rsidR="00916FB4">
        <w:rPr>
          <w:rFonts w:ascii="Times New Roman" w:hAnsi="Times New Roman" w:cs="Times New Roman"/>
          <w:sz w:val="24"/>
          <w:szCs w:val="24"/>
        </w:rPr>
        <w:t xml:space="preserve"> </w:t>
      </w:r>
      <w:r w:rsidR="00916FB4" w:rsidRPr="003270AD">
        <w:rPr>
          <w:rFonts w:ascii="Times New Roman" w:hAnsi="Times New Roman" w:cs="Times New Roman"/>
          <w:sz w:val="24"/>
          <w:szCs w:val="24"/>
        </w:rPr>
        <w:t xml:space="preserve">Jednocześnie zakłada się, iż zadanie określone w ust. 5 ww. art. 27aa nadal pozostanie w kompetencji Dyrektora Narodowego Instytutu. Art. 27aa ust. 5 zakłada bowiem, że </w:t>
      </w:r>
      <w:r w:rsidR="00916FB4" w:rsidRPr="00EB0975">
        <w:rPr>
          <w:rFonts w:ascii="Times New Roman" w:hAnsi="Times New Roman" w:cs="Times New Roman"/>
          <w:sz w:val="24"/>
          <w:szCs w:val="24"/>
        </w:rPr>
        <w:t>Dyrektor Narodowego Instytutu, po stwierdzeniu nieprawidłowości przez niego lub inny organ, może wystąpić do sądu rejestrowego o</w:t>
      </w:r>
      <w:r w:rsidR="005F03C6">
        <w:rPr>
          <w:rFonts w:ascii="Times New Roman" w:hAnsi="Times New Roman" w:cs="Times New Roman"/>
          <w:sz w:val="24"/>
          <w:szCs w:val="24"/>
        </w:rPr>
        <w:t> </w:t>
      </w:r>
      <w:r w:rsidR="00916FB4" w:rsidRPr="00EB0975">
        <w:rPr>
          <w:rFonts w:ascii="Times New Roman" w:hAnsi="Times New Roman" w:cs="Times New Roman"/>
          <w:sz w:val="24"/>
          <w:szCs w:val="24"/>
        </w:rPr>
        <w:t xml:space="preserve">wykreślenie </w:t>
      </w:r>
      <w:r w:rsidR="00916FB4" w:rsidRPr="003270AD">
        <w:rPr>
          <w:rFonts w:ascii="Times New Roman" w:hAnsi="Times New Roman" w:cs="Times New Roman"/>
          <w:sz w:val="24"/>
          <w:szCs w:val="24"/>
        </w:rPr>
        <w:t>z Krajowego Rejestru Sądowego</w:t>
      </w:r>
      <w:r w:rsidR="00916FB4" w:rsidRPr="00EB0975">
        <w:rPr>
          <w:rFonts w:ascii="Times New Roman" w:hAnsi="Times New Roman" w:cs="Times New Roman"/>
          <w:sz w:val="24"/>
          <w:szCs w:val="24"/>
        </w:rPr>
        <w:t xml:space="preserve"> informacji o posiadaniu przez organizację statutu organizacji pożytku publicznego.</w:t>
      </w:r>
      <w:r w:rsidR="00916FB4" w:rsidRPr="003270AD">
        <w:rPr>
          <w:rFonts w:ascii="Times New Roman" w:hAnsi="Times New Roman" w:cs="Times New Roman"/>
          <w:sz w:val="24"/>
          <w:szCs w:val="24"/>
        </w:rPr>
        <w:t xml:space="preserve"> </w:t>
      </w:r>
      <w:r w:rsidR="00916FB4">
        <w:rPr>
          <w:rFonts w:ascii="Times New Roman" w:hAnsi="Times New Roman" w:cs="Times New Roman"/>
          <w:sz w:val="24"/>
          <w:szCs w:val="24"/>
        </w:rPr>
        <w:t>Zdecydowano się na pozostawienie aktualnego brzmienia tego przepisu z uwagi na fakt, iż jest to czynność o charakterze technicznym i</w:t>
      </w:r>
      <w:r w:rsidR="005F03C6">
        <w:rPr>
          <w:rFonts w:ascii="Times New Roman" w:hAnsi="Times New Roman" w:cs="Times New Roman"/>
          <w:sz w:val="24"/>
          <w:szCs w:val="24"/>
        </w:rPr>
        <w:t> </w:t>
      </w:r>
      <w:r w:rsidR="00916FB4">
        <w:rPr>
          <w:rFonts w:ascii="Times New Roman" w:hAnsi="Times New Roman" w:cs="Times New Roman"/>
          <w:sz w:val="24"/>
          <w:szCs w:val="24"/>
        </w:rPr>
        <w:t xml:space="preserve">dotychczasowe rozwiązanie zapewni ciągłość w prawidłowym wykonywani przez Dyrektora Narodowego Instytutu jego kompetencji dotyczących prowadzenia wykazu organizacji mających status organizacji pożytku publicznego, o którym mowa a art. 27a. </w:t>
      </w:r>
    </w:p>
    <w:p w14:paraId="7F496779" w14:textId="64D9ADAA" w:rsidR="00842FC8" w:rsidRPr="002B0927" w:rsidRDefault="004F77DD" w:rsidP="00C37D08">
      <w:pPr>
        <w:pStyle w:val="USTustnpkodeksu"/>
        <w:spacing w:line="276" w:lineRule="auto"/>
      </w:pPr>
      <w:r w:rsidRPr="00004C84">
        <w:rPr>
          <w:rFonts w:ascii="Times New Roman" w:hAnsi="Times New Roman" w:cs="Times New Roman"/>
          <w:szCs w:val="24"/>
        </w:rPr>
        <w:t>W przepisie przejściowym zakłada się również, że postępowania wszczęte, a</w:t>
      </w:r>
      <w:r w:rsidR="005F03C6">
        <w:rPr>
          <w:rFonts w:ascii="Times New Roman" w:hAnsi="Times New Roman" w:cs="Times New Roman"/>
          <w:szCs w:val="24"/>
        </w:rPr>
        <w:t> </w:t>
      </w:r>
      <w:r w:rsidRPr="00004C84">
        <w:rPr>
          <w:rFonts w:ascii="Times New Roman" w:hAnsi="Times New Roman" w:cs="Times New Roman"/>
          <w:szCs w:val="24"/>
        </w:rPr>
        <w:t xml:space="preserve">niezakończone </w:t>
      </w:r>
      <w:r w:rsidRPr="003270AD">
        <w:rPr>
          <w:rFonts w:ascii="Times New Roman" w:hAnsi="Times New Roman" w:cs="Times New Roman"/>
          <w:szCs w:val="24"/>
        </w:rPr>
        <w:t>wydaniem decyzji ostatecznej  albo prawomocnym postanowieniem sądu, w</w:t>
      </w:r>
      <w:r w:rsidR="005F03C6">
        <w:rPr>
          <w:rFonts w:ascii="Times New Roman" w:hAnsi="Times New Roman" w:cs="Times New Roman"/>
          <w:szCs w:val="24"/>
        </w:rPr>
        <w:t> </w:t>
      </w:r>
      <w:r w:rsidRPr="003270AD">
        <w:rPr>
          <w:rFonts w:ascii="Times New Roman" w:hAnsi="Times New Roman" w:cs="Times New Roman"/>
          <w:szCs w:val="24"/>
        </w:rPr>
        <w:t>zakresie udzielonych dotacji z Funduszu Wspierania Organizacji Pożytku Publicznego, z</w:t>
      </w:r>
      <w:r w:rsidR="005F03C6">
        <w:rPr>
          <w:rFonts w:ascii="Times New Roman" w:hAnsi="Times New Roman" w:cs="Times New Roman"/>
          <w:szCs w:val="24"/>
        </w:rPr>
        <w:t> </w:t>
      </w:r>
      <w:r w:rsidRPr="003270AD">
        <w:rPr>
          <w:rFonts w:ascii="Times New Roman" w:hAnsi="Times New Roman" w:cs="Times New Roman"/>
          <w:szCs w:val="24"/>
        </w:rPr>
        <w:t>dniem wejścia w życie ustawy, prowadzone będą przez organ będący dysponentem Funduszu Wspierania Rozwoju Społeczeństwa Obywatelskiego, czyli przez Przewodniczącego Komitetu do spraw Pożytku Publicznego. Analogicznie, postępowania w zakresie udzielonych dotacji z</w:t>
      </w:r>
      <w:r w:rsidR="005F03C6">
        <w:rPr>
          <w:rFonts w:ascii="Times New Roman" w:hAnsi="Times New Roman" w:cs="Times New Roman"/>
          <w:szCs w:val="24"/>
        </w:rPr>
        <w:t> </w:t>
      </w:r>
      <w:r w:rsidRPr="003270AD">
        <w:rPr>
          <w:rFonts w:ascii="Times New Roman" w:hAnsi="Times New Roman" w:cs="Times New Roman"/>
          <w:szCs w:val="24"/>
        </w:rPr>
        <w:t xml:space="preserve">Funduszu Wspierania Organizacji Pożytku Publicznego wszczęte po dniu wejścia w życie ustawy, prowadzone będą przez organ będący dysponentem Funduszu Wspierania Rozwoju Społeczeństwa Obywatelskiego - Przewodniczącego Komitetu do spraw Pożytku Publicznego. </w:t>
      </w:r>
      <w:r w:rsidR="00842FC8">
        <w:rPr>
          <w:rFonts w:ascii="Times New Roman" w:hAnsi="Times New Roman" w:cs="Times New Roman"/>
          <w:szCs w:val="24"/>
        </w:rPr>
        <w:t xml:space="preserve">Ponadto, celem zapewnienia prawidłowego rozliczenia środków Funduszu Organizacji Pożytku Publicznego w przepisie przejściowym zawarto też rozwiązanie, zgodnie z którym </w:t>
      </w:r>
      <w:r w:rsidR="00842FC8">
        <w:t>n</w:t>
      </w:r>
      <w:r w:rsidR="00842FC8" w:rsidRPr="001C3DD9">
        <w:t xml:space="preserve">ależności i zobowiązania Dyrektora Narodowego Instytutu związane z wykonywaniem jego kompetencji </w:t>
      </w:r>
      <w:r w:rsidR="00842FC8">
        <w:t>jako dysponenta</w:t>
      </w:r>
      <w:r w:rsidR="00842FC8" w:rsidRPr="001C3DD9">
        <w:t xml:space="preserve"> Fundusz</w:t>
      </w:r>
      <w:r w:rsidR="00842FC8">
        <w:t>u</w:t>
      </w:r>
      <w:r w:rsidR="00842FC8" w:rsidRPr="001C3DD9">
        <w:t xml:space="preserve"> Wspierania Organizacji Pożytku Publicznego sta</w:t>
      </w:r>
      <w:r w:rsidR="00842FC8">
        <w:t>ną</w:t>
      </w:r>
      <w:r w:rsidR="00842FC8" w:rsidRPr="001C3DD9">
        <w:t xml:space="preserve"> się należnościami i zobowiązaniami Przewodniczącego Komitetu z dniem wejścia w życie niniejszej ustawy.</w:t>
      </w:r>
      <w:r w:rsidR="00842FC8">
        <w:t xml:space="preserve"> Jednocześnie </w:t>
      </w:r>
      <w:r w:rsidR="00842FC8" w:rsidRPr="001C3DD9">
        <w:t>Przewodniczący Komitetu sta</w:t>
      </w:r>
      <w:r w:rsidR="00842FC8">
        <w:t>nie</w:t>
      </w:r>
      <w:r w:rsidR="00842FC8" w:rsidRPr="001C3DD9">
        <w:t xml:space="preserve"> się stroną umów i</w:t>
      </w:r>
      <w:r w:rsidR="005F03C6">
        <w:t> </w:t>
      </w:r>
      <w:r w:rsidR="00842FC8" w:rsidRPr="001C3DD9">
        <w:t xml:space="preserve">porozumień zawartych w celu wykonania kompetencji Dyrektora Narodowego Instytutu </w:t>
      </w:r>
      <w:r w:rsidR="00842FC8">
        <w:t>jako dysponenta</w:t>
      </w:r>
      <w:r w:rsidR="00842FC8" w:rsidRPr="001C3DD9">
        <w:t xml:space="preserve"> Fundusz</w:t>
      </w:r>
      <w:r w:rsidR="00842FC8">
        <w:t>u</w:t>
      </w:r>
      <w:r w:rsidR="00842FC8" w:rsidRPr="001C3DD9">
        <w:t xml:space="preserve"> Wspierania Organizacji Pożytku Publicznego.</w:t>
      </w:r>
      <w:r w:rsidR="00842FC8">
        <w:t xml:space="preserve"> </w:t>
      </w:r>
    </w:p>
    <w:p w14:paraId="58F700FD" w14:textId="77777777" w:rsidR="00842FC8" w:rsidRDefault="00842FC8" w:rsidP="007D22EE">
      <w:pPr>
        <w:jc w:val="both"/>
        <w:rPr>
          <w:rFonts w:ascii="Times New Roman" w:hAnsi="Times New Roman" w:cs="Times New Roman"/>
          <w:sz w:val="24"/>
          <w:szCs w:val="24"/>
        </w:rPr>
      </w:pPr>
    </w:p>
    <w:p w14:paraId="2071344D" w14:textId="7AC454D2" w:rsidR="007D22EE" w:rsidRPr="00141CA1" w:rsidRDefault="007D22EE" w:rsidP="007D22EE">
      <w:pPr>
        <w:jc w:val="both"/>
        <w:rPr>
          <w:rFonts w:ascii="Times New Roman" w:hAnsi="Times New Roman" w:cs="Times New Roman"/>
          <w:sz w:val="24"/>
          <w:szCs w:val="24"/>
        </w:rPr>
      </w:pPr>
      <w:r w:rsidRPr="00141CA1">
        <w:rPr>
          <w:rFonts w:ascii="Times New Roman" w:hAnsi="Times New Roman" w:cs="Times New Roman"/>
          <w:sz w:val="24"/>
          <w:szCs w:val="24"/>
        </w:rPr>
        <w:t>W przepisach przejściowych zakłada się</w:t>
      </w:r>
      <w:r w:rsidR="00081059">
        <w:rPr>
          <w:rFonts w:ascii="Times New Roman" w:hAnsi="Times New Roman" w:cs="Times New Roman"/>
          <w:sz w:val="24"/>
          <w:szCs w:val="24"/>
        </w:rPr>
        <w:t xml:space="preserve"> ponadto</w:t>
      </w:r>
      <w:r w:rsidRPr="00141CA1">
        <w:rPr>
          <w:rFonts w:ascii="Times New Roman" w:hAnsi="Times New Roman" w:cs="Times New Roman"/>
          <w:sz w:val="24"/>
          <w:szCs w:val="24"/>
        </w:rPr>
        <w:t xml:space="preserve"> stosowanie przepisów dotychczasowych:</w:t>
      </w:r>
    </w:p>
    <w:p w14:paraId="31F032FC" w14:textId="4D02FCCC" w:rsidR="007D22EE" w:rsidRPr="00141CA1" w:rsidRDefault="007D22EE" w:rsidP="007D22EE">
      <w:pPr>
        <w:jc w:val="both"/>
        <w:rPr>
          <w:rFonts w:ascii="Times New Roman" w:hAnsi="Times New Roman" w:cs="Times New Roman"/>
          <w:sz w:val="24"/>
          <w:szCs w:val="24"/>
        </w:rPr>
      </w:pPr>
      <w:r w:rsidRPr="00141CA1">
        <w:rPr>
          <w:rFonts w:ascii="Times New Roman" w:hAnsi="Times New Roman" w:cs="Times New Roman"/>
          <w:sz w:val="24"/>
          <w:szCs w:val="24"/>
        </w:rPr>
        <w:t>- do rocznych i wieloletnich programów współpracy uchwalonych przed dniem wejścia w życie ustawy</w:t>
      </w:r>
      <w:r w:rsidR="00F80188">
        <w:rPr>
          <w:rFonts w:ascii="Times New Roman" w:hAnsi="Times New Roman" w:cs="Times New Roman"/>
          <w:sz w:val="24"/>
          <w:szCs w:val="24"/>
        </w:rPr>
        <w:t>,</w:t>
      </w:r>
    </w:p>
    <w:p w14:paraId="66E0AC2F" w14:textId="06A8EFDC" w:rsidR="007D22EE" w:rsidRPr="00141CA1" w:rsidRDefault="007D22EE" w:rsidP="007D22EE">
      <w:pPr>
        <w:jc w:val="both"/>
        <w:rPr>
          <w:rFonts w:ascii="Times New Roman" w:hAnsi="Times New Roman" w:cs="Times New Roman"/>
          <w:sz w:val="24"/>
          <w:szCs w:val="24"/>
        </w:rPr>
      </w:pPr>
      <w:r w:rsidRPr="00141CA1">
        <w:rPr>
          <w:rFonts w:ascii="Times New Roman" w:hAnsi="Times New Roman" w:cs="Times New Roman"/>
          <w:sz w:val="24"/>
          <w:szCs w:val="24"/>
        </w:rPr>
        <w:t>- w przypadku kontroli rozpoczętej przed dniem wejścia w życie ustawy</w:t>
      </w:r>
      <w:r w:rsidR="00F80188">
        <w:rPr>
          <w:rFonts w:ascii="Times New Roman" w:hAnsi="Times New Roman" w:cs="Times New Roman"/>
          <w:sz w:val="24"/>
          <w:szCs w:val="24"/>
        </w:rPr>
        <w:t>,</w:t>
      </w:r>
    </w:p>
    <w:p w14:paraId="543A8195" w14:textId="1A0684EB" w:rsidR="007D22EE" w:rsidRPr="00141CA1" w:rsidRDefault="007D22EE" w:rsidP="007D22EE">
      <w:pPr>
        <w:jc w:val="both"/>
        <w:rPr>
          <w:rFonts w:ascii="Times New Roman" w:hAnsi="Times New Roman" w:cs="Times New Roman"/>
          <w:sz w:val="24"/>
          <w:szCs w:val="24"/>
        </w:rPr>
      </w:pPr>
      <w:r w:rsidRPr="00141CA1">
        <w:rPr>
          <w:rFonts w:ascii="Times New Roman" w:hAnsi="Times New Roman" w:cs="Times New Roman"/>
          <w:sz w:val="24"/>
          <w:szCs w:val="24"/>
        </w:rPr>
        <w:t>- w przypadku otwartych konkursów ofert ogłoszonych przed dniem wejścia w życie ustawy oraz do realizacji zadań zlecanych w ich trybie oraz składania sprawozdań z ich realizacji</w:t>
      </w:r>
      <w:r w:rsidR="00F80188">
        <w:rPr>
          <w:rFonts w:ascii="Times New Roman" w:hAnsi="Times New Roman" w:cs="Times New Roman"/>
          <w:sz w:val="24"/>
          <w:szCs w:val="24"/>
        </w:rPr>
        <w:t>,</w:t>
      </w:r>
    </w:p>
    <w:p w14:paraId="638A0A4B" w14:textId="77777777" w:rsidR="007D22EE" w:rsidRDefault="007D22EE" w:rsidP="007D22EE">
      <w:pPr>
        <w:jc w:val="both"/>
        <w:rPr>
          <w:rFonts w:ascii="Times New Roman" w:hAnsi="Times New Roman" w:cs="Times New Roman"/>
          <w:sz w:val="24"/>
          <w:szCs w:val="24"/>
        </w:rPr>
      </w:pPr>
      <w:r w:rsidRPr="00141CA1">
        <w:rPr>
          <w:rFonts w:ascii="Times New Roman" w:hAnsi="Times New Roman" w:cs="Times New Roman"/>
          <w:sz w:val="24"/>
          <w:szCs w:val="24"/>
        </w:rPr>
        <w:t>- do rocznych sprawozdań merytorycznych z działalności oraz sprawozdań finansowych za rok obrotowy rozpoczynający się w 2024 r.</w:t>
      </w:r>
    </w:p>
    <w:p w14:paraId="28234720" w14:textId="754DFD99" w:rsidR="00434F30" w:rsidRPr="00141CA1" w:rsidRDefault="00434F30" w:rsidP="007D22EE">
      <w:pPr>
        <w:jc w:val="both"/>
        <w:rPr>
          <w:rFonts w:ascii="Times New Roman" w:hAnsi="Times New Roman" w:cs="Times New Roman"/>
          <w:sz w:val="24"/>
          <w:szCs w:val="24"/>
        </w:rPr>
      </w:pPr>
      <w:r>
        <w:rPr>
          <w:rFonts w:ascii="Times New Roman" w:hAnsi="Times New Roman" w:cs="Times New Roman"/>
          <w:sz w:val="24"/>
          <w:szCs w:val="24"/>
        </w:rPr>
        <w:t xml:space="preserve">W przepisach przejściowych określa się też likwidację </w:t>
      </w:r>
      <w:r w:rsidRPr="00434F30">
        <w:rPr>
          <w:rFonts w:ascii="Times New Roman" w:hAnsi="Times New Roman" w:cs="Times New Roman"/>
          <w:sz w:val="24"/>
          <w:szCs w:val="24"/>
        </w:rPr>
        <w:t>Fundusz</w:t>
      </w:r>
      <w:r>
        <w:rPr>
          <w:rFonts w:ascii="Times New Roman" w:hAnsi="Times New Roman" w:cs="Times New Roman"/>
          <w:sz w:val="24"/>
          <w:szCs w:val="24"/>
        </w:rPr>
        <w:t>u</w:t>
      </w:r>
      <w:r w:rsidRPr="00434F30">
        <w:rPr>
          <w:rFonts w:ascii="Times New Roman" w:hAnsi="Times New Roman" w:cs="Times New Roman"/>
          <w:sz w:val="24"/>
          <w:szCs w:val="24"/>
        </w:rPr>
        <w:t xml:space="preserve"> Wspierania Organizacji Pożytku Publicznego</w:t>
      </w:r>
      <w:r>
        <w:rPr>
          <w:rFonts w:ascii="Times New Roman" w:hAnsi="Times New Roman" w:cs="Times New Roman"/>
          <w:sz w:val="24"/>
          <w:szCs w:val="24"/>
        </w:rPr>
        <w:t xml:space="preserve"> z dniem 1 stycznia 2026 r.</w:t>
      </w:r>
    </w:p>
    <w:p w14:paraId="398FD215" w14:textId="3E54BD81" w:rsidR="007D22EE" w:rsidRPr="00141CA1" w:rsidRDefault="007D22EE" w:rsidP="000E6914">
      <w:pPr>
        <w:jc w:val="both"/>
        <w:rPr>
          <w:rFonts w:ascii="Times New Roman" w:hAnsi="Times New Roman" w:cs="Times New Roman"/>
          <w:sz w:val="24"/>
          <w:szCs w:val="24"/>
        </w:rPr>
      </w:pPr>
      <w:r w:rsidRPr="00141CA1">
        <w:rPr>
          <w:rFonts w:ascii="Times New Roman" w:hAnsi="Times New Roman" w:cs="Times New Roman"/>
          <w:sz w:val="24"/>
          <w:szCs w:val="24"/>
        </w:rPr>
        <w:t>Niniejszy projekt został uwzględniony w wykazie prac legislacyjnych Rady Ministrów (</w:t>
      </w:r>
      <w:r w:rsidRPr="00141CA1">
        <w:rPr>
          <w:rFonts w:ascii="Times New Roman" w:hAnsi="Times New Roman" w:cs="Times New Roman"/>
          <w:b/>
          <w:bCs/>
          <w:sz w:val="24"/>
          <w:szCs w:val="24"/>
        </w:rPr>
        <w:t xml:space="preserve">numer </w:t>
      </w:r>
      <w:r w:rsidR="000E6914" w:rsidRPr="00141CA1">
        <w:rPr>
          <w:rFonts w:ascii="Times New Roman" w:hAnsi="Times New Roman" w:cs="Times New Roman"/>
          <w:b/>
          <w:bCs/>
          <w:sz w:val="24"/>
          <w:szCs w:val="24"/>
        </w:rPr>
        <w:t xml:space="preserve">UD </w:t>
      </w:r>
      <w:r w:rsidR="00AF3B82">
        <w:rPr>
          <w:rFonts w:ascii="Times New Roman" w:hAnsi="Times New Roman" w:cs="Times New Roman"/>
          <w:b/>
          <w:bCs/>
          <w:sz w:val="24"/>
          <w:szCs w:val="24"/>
        </w:rPr>
        <w:t>240</w:t>
      </w:r>
      <w:r w:rsidRPr="00141CA1">
        <w:rPr>
          <w:rFonts w:ascii="Times New Roman" w:hAnsi="Times New Roman" w:cs="Times New Roman"/>
          <w:sz w:val="24"/>
          <w:szCs w:val="24"/>
        </w:rPr>
        <w:t>).</w:t>
      </w:r>
    </w:p>
    <w:p w14:paraId="63490C08" w14:textId="77777777" w:rsidR="007D22EE" w:rsidRDefault="007D22EE" w:rsidP="009A7136">
      <w:pPr>
        <w:spacing w:after="0"/>
        <w:jc w:val="both"/>
        <w:rPr>
          <w:rFonts w:ascii="Times New Roman" w:hAnsi="Times New Roman" w:cs="Times New Roman"/>
          <w:b/>
          <w:sz w:val="24"/>
          <w:szCs w:val="24"/>
        </w:rPr>
      </w:pPr>
    </w:p>
    <w:p w14:paraId="2AA34BA8" w14:textId="77777777" w:rsidR="00637A22" w:rsidRPr="00141CA1" w:rsidRDefault="00637A22" w:rsidP="009A7136">
      <w:pPr>
        <w:spacing w:after="0"/>
        <w:jc w:val="both"/>
        <w:rPr>
          <w:rFonts w:ascii="Times New Roman" w:hAnsi="Times New Roman" w:cs="Times New Roman"/>
          <w:b/>
          <w:sz w:val="24"/>
          <w:szCs w:val="24"/>
        </w:rPr>
      </w:pPr>
    </w:p>
    <w:p w14:paraId="429DC5CC" w14:textId="72DB5497" w:rsidR="009A7136" w:rsidRPr="00141CA1" w:rsidRDefault="0079722A" w:rsidP="009A7136">
      <w:pPr>
        <w:spacing w:after="0"/>
        <w:jc w:val="both"/>
        <w:rPr>
          <w:rFonts w:ascii="Times New Roman" w:hAnsi="Times New Roman" w:cs="Times New Roman"/>
          <w:b/>
          <w:sz w:val="24"/>
          <w:szCs w:val="24"/>
        </w:rPr>
      </w:pPr>
      <w:r w:rsidRPr="00141CA1">
        <w:rPr>
          <w:rFonts w:ascii="Times New Roman" w:hAnsi="Times New Roman" w:cs="Times New Roman"/>
          <w:b/>
          <w:sz w:val="24"/>
          <w:szCs w:val="24"/>
        </w:rPr>
        <w:t>3. Zgodność z prawem Unii Europejskiej</w:t>
      </w:r>
    </w:p>
    <w:p w14:paraId="35E31BA5" w14:textId="77777777" w:rsidR="0079722A" w:rsidRPr="00141CA1" w:rsidRDefault="0079722A" w:rsidP="009A7136">
      <w:pPr>
        <w:spacing w:after="0"/>
        <w:jc w:val="both"/>
        <w:rPr>
          <w:rFonts w:ascii="Times New Roman" w:hAnsi="Times New Roman" w:cs="Times New Roman"/>
          <w:sz w:val="24"/>
          <w:szCs w:val="24"/>
        </w:rPr>
      </w:pPr>
    </w:p>
    <w:p w14:paraId="39B9FE00" w14:textId="379CF286" w:rsidR="009A7136" w:rsidRPr="00141CA1" w:rsidRDefault="009A7136" w:rsidP="009A7136">
      <w:pPr>
        <w:spacing w:after="0"/>
        <w:jc w:val="both"/>
        <w:rPr>
          <w:rFonts w:ascii="Times New Roman" w:hAnsi="Times New Roman" w:cs="Times New Roman"/>
          <w:sz w:val="24"/>
          <w:szCs w:val="24"/>
        </w:rPr>
      </w:pPr>
      <w:r w:rsidRPr="00141CA1">
        <w:rPr>
          <w:rFonts w:ascii="Times New Roman" w:hAnsi="Times New Roman" w:cs="Times New Roman"/>
          <w:sz w:val="24"/>
          <w:szCs w:val="24"/>
        </w:rPr>
        <w:t>Przedmiot projektowanej regulacji nie jest objęty zakresem prawa Unii Europejskiej.</w:t>
      </w:r>
    </w:p>
    <w:p w14:paraId="1B10DA52" w14:textId="60E35C99" w:rsidR="00CD1EA4" w:rsidRPr="00141CA1" w:rsidRDefault="00CD1EA4" w:rsidP="009A7136">
      <w:pPr>
        <w:spacing w:after="0"/>
        <w:jc w:val="both"/>
        <w:rPr>
          <w:rFonts w:ascii="Times New Roman" w:hAnsi="Times New Roman" w:cs="Times New Roman"/>
          <w:sz w:val="24"/>
          <w:szCs w:val="24"/>
        </w:rPr>
      </w:pPr>
      <w:r w:rsidRPr="00141CA1">
        <w:rPr>
          <w:rFonts w:ascii="Times New Roman" w:hAnsi="Times New Roman" w:cs="Times New Roman"/>
          <w:sz w:val="24"/>
          <w:szCs w:val="24"/>
        </w:rPr>
        <w:t>Projekt ustawy nie wymaga przedłożenia właściwym instytucjom i organom Unii Europejskiej, w tym Europejskiemu Bankowi Centralnemu, w celu uzyskania opinii, dokonania powiadomienia, konsultacji lub uzgodnienia.</w:t>
      </w:r>
    </w:p>
    <w:p w14:paraId="51A0FC96" w14:textId="01F482FA" w:rsidR="0079722A" w:rsidRPr="00141CA1" w:rsidRDefault="0079722A" w:rsidP="009A7136">
      <w:pPr>
        <w:spacing w:after="0"/>
        <w:jc w:val="both"/>
        <w:rPr>
          <w:rFonts w:ascii="Times New Roman" w:hAnsi="Times New Roman" w:cs="Times New Roman"/>
          <w:sz w:val="24"/>
          <w:szCs w:val="24"/>
        </w:rPr>
      </w:pPr>
    </w:p>
    <w:p w14:paraId="1C516EA3" w14:textId="746B2903" w:rsidR="0079722A" w:rsidRPr="00141CA1" w:rsidRDefault="0079722A" w:rsidP="009A7136">
      <w:pPr>
        <w:spacing w:after="0"/>
        <w:jc w:val="both"/>
        <w:rPr>
          <w:rFonts w:ascii="Times New Roman" w:hAnsi="Times New Roman" w:cs="Times New Roman"/>
          <w:b/>
          <w:sz w:val="24"/>
          <w:szCs w:val="24"/>
        </w:rPr>
      </w:pPr>
      <w:r w:rsidRPr="00141CA1">
        <w:rPr>
          <w:rFonts w:ascii="Times New Roman" w:hAnsi="Times New Roman" w:cs="Times New Roman"/>
          <w:b/>
          <w:sz w:val="24"/>
          <w:szCs w:val="24"/>
        </w:rPr>
        <w:t>4. Notyfikacja</w:t>
      </w:r>
    </w:p>
    <w:p w14:paraId="4E113FC9" w14:textId="77777777" w:rsidR="0079722A" w:rsidRPr="00141CA1" w:rsidRDefault="0079722A" w:rsidP="009A7136">
      <w:pPr>
        <w:spacing w:after="0"/>
        <w:jc w:val="both"/>
        <w:rPr>
          <w:rFonts w:ascii="Times New Roman" w:hAnsi="Times New Roman" w:cs="Times New Roman"/>
          <w:b/>
          <w:sz w:val="24"/>
          <w:szCs w:val="24"/>
        </w:rPr>
      </w:pPr>
    </w:p>
    <w:p w14:paraId="2F520624" w14:textId="4739CF45" w:rsidR="009A7136" w:rsidRPr="00141CA1" w:rsidRDefault="009A7136" w:rsidP="009A7136">
      <w:pPr>
        <w:spacing w:after="0"/>
        <w:jc w:val="both"/>
        <w:rPr>
          <w:rFonts w:ascii="Times New Roman" w:hAnsi="Times New Roman" w:cs="Times New Roman"/>
          <w:sz w:val="24"/>
          <w:szCs w:val="24"/>
        </w:rPr>
      </w:pPr>
      <w:r w:rsidRPr="00141CA1">
        <w:rPr>
          <w:rFonts w:ascii="Times New Roman" w:hAnsi="Times New Roman" w:cs="Times New Roman"/>
          <w:sz w:val="24"/>
          <w:szCs w:val="24"/>
        </w:rPr>
        <w:t>Projekt ustawy nie podlega procedurze notyfikacji aktów prawnych</w:t>
      </w:r>
      <w:r w:rsidR="0079722A" w:rsidRPr="00141CA1">
        <w:rPr>
          <w:rFonts w:ascii="Times New Roman" w:hAnsi="Times New Roman" w:cs="Times New Roman"/>
          <w:sz w:val="24"/>
          <w:szCs w:val="24"/>
        </w:rPr>
        <w:t xml:space="preserve"> określonej w przepisach rozporządzenia Rady Ministrów z dnia 23 grudnia 2002 r. w sprawie sposobu funkcjonowania krajowego systemu notyfikacji norm i aktów prawnych (Dz. U. poz. 2039, z późn. zm.).</w:t>
      </w:r>
    </w:p>
    <w:p w14:paraId="01E14BFD" w14:textId="48029139" w:rsidR="0079722A" w:rsidRPr="00141CA1" w:rsidRDefault="0079722A" w:rsidP="009A7136">
      <w:pPr>
        <w:spacing w:after="0"/>
        <w:jc w:val="both"/>
        <w:rPr>
          <w:rFonts w:ascii="Times New Roman" w:hAnsi="Times New Roman" w:cs="Times New Roman"/>
          <w:sz w:val="24"/>
          <w:szCs w:val="24"/>
        </w:rPr>
      </w:pPr>
    </w:p>
    <w:p w14:paraId="2E1B1CE1" w14:textId="36D39337" w:rsidR="0079722A" w:rsidRPr="00141CA1" w:rsidRDefault="0079722A" w:rsidP="009A7136">
      <w:pPr>
        <w:spacing w:after="0"/>
        <w:jc w:val="both"/>
        <w:rPr>
          <w:rFonts w:ascii="Times New Roman" w:hAnsi="Times New Roman" w:cs="Times New Roman"/>
          <w:b/>
          <w:sz w:val="24"/>
          <w:szCs w:val="24"/>
        </w:rPr>
      </w:pPr>
      <w:r w:rsidRPr="00141CA1">
        <w:rPr>
          <w:rFonts w:ascii="Times New Roman" w:hAnsi="Times New Roman" w:cs="Times New Roman"/>
          <w:b/>
          <w:sz w:val="24"/>
          <w:szCs w:val="24"/>
        </w:rPr>
        <w:t>5. Wpływ na mikro</w:t>
      </w:r>
      <w:r w:rsidR="005F0BB2" w:rsidRPr="00141CA1">
        <w:rPr>
          <w:rFonts w:ascii="Times New Roman" w:hAnsi="Times New Roman" w:cs="Times New Roman"/>
          <w:b/>
          <w:sz w:val="24"/>
          <w:szCs w:val="24"/>
        </w:rPr>
        <w:t xml:space="preserve"> </w:t>
      </w:r>
      <w:r w:rsidRPr="00141CA1">
        <w:rPr>
          <w:rFonts w:ascii="Times New Roman" w:hAnsi="Times New Roman" w:cs="Times New Roman"/>
          <w:b/>
          <w:sz w:val="24"/>
          <w:szCs w:val="24"/>
        </w:rPr>
        <w:t>przedsiębiorców oraz małych i średnich przedsiębiorców</w:t>
      </w:r>
    </w:p>
    <w:p w14:paraId="79483777" w14:textId="3CB4F07B" w:rsidR="0079722A" w:rsidRPr="00141CA1" w:rsidRDefault="0079722A" w:rsidP="009A7136">
      <w:pPr>
        <w:spacing w:after="0"/>
        <w:jc w:val="both"/>
        <w:rPr>
          <w:rFonts w:ascii="Times New Roman" w:hAnsi="Times New Roman" w:cs="Times New Roman"/>
          <w:b/>
          <w:sz w:val="24"/>
          <w:szCs w:val="24"/>
        </w:rPr>
      </w:pPr>
    </w:p>
    <w:p w14:paraId="047A74A1" w14:textId="55BE6BA8" w:rsidR="0079722A" w:rsidRPr="00141CA1" w:rsidRDefault="0079722A" w:rsidP="009A7136">
      <w:pPr>
        <w:spacing w:after="0"/>
        <w:jc w:val="both"/>
        <w:rPr>
          <w:rFonts w:ascii="Times New Roman" w:hAnsi="Times New Roman" w:cs="Times New Roman"/>
          <w:sz w:val="24"/>
          <w:szCs w:val="24"/>
        </w:rPr>
      </w:pPr>
      <w:r w:rsidRPr="00141CA1">
        <w:rPr>
          <w:rFonts w:ascii="Times New Roman" w:hAnsi="Times New Roman" w:cs="Times New Roman"/>
          <w:sz w:val="24"/>
          <w:szCs w:val="24"/>
        </w:rPr>
        <w:t>Projekt nie dotyczy majątkowych praw i obowiązków przedsiębiorców lub praw i obowiązków przedsiębiorców wobec organów administracji publicznej.</w:t>
      </w:r>
    </w:p>
    <w:p w14:paraId="0534EDE4" w14:textId="017FB6DD" w:rsidR="0079722A" w:rsidRPr="00141CA1" w:rsidRDefault="0079722A" w:rsidP="009A7136">
      <w:pPr>
        <w:spacing w:after="0"/>
        <w:jc w:val="both"/>
        <w:rPr>
          <w:rFonts w:ascii="Times New Roman" w:hAnsi="Times New Roman" w:cs="Times New Roman"/>
          <w:sz w:val="24"/>
          <w:szCs w:val="24"/>
        </w:rPr>
      </w:pPr>
    </w:p>
    <w:p w14:paraId="1B96E4AD" w14:textId="56B2A813" w:rsidR="0079722A" w:rsidRPr="00141CA1" w:rsidRDefault="0079722A" w:rsidP="009A7136">
      <w:pPr>
        <w:spacing w:after="0"/>
        <w:jc w:val="both"/>
        <w:rPr>
          <w:rFonts w:ascii="Times New Roman" w:hAnsi="Times New Roman" w:cs="Times New Roman"/>
          <w:b/>
          <w:sz w:val="24"/>
          <w:szCs w:val="24"/>
        </w:rPr>
      </w:pPr>
      <w:r w:rsidRPr="00141CA1">
        <w:rPr>
          <w:rFonts w:ascii="Times New Roman" w:hAnsi="Times New Roman" w:cs="Times New Roman"/>
          <w:b/>
          <w:sz w:val="24"/>
          <w:szCs w:val="24"/>
        </w:rPr>
        <w:t>6. Wejście w życie</w:t>
      </w:r>
    </w:p>
    <w:p w14:paraId="1EE6B4AD" w14:textId="051D6FA2" w:rsidR="0079722A" w:rsidRPr="00141CA1" w:rsidRDefault="0079722A" w:rsidP="009A7136">
      <w:pPr>
        <w:spacing w:after="0"/>
        <w:jc w:val="both"/>
        <w:rPr>
          <w:rFonts w:ascii="Times New Roman" w:hAnsi="Times New Roman" w:cs="Times New Roman"/>
          <w:b/>
          <w:sz w:val="24"/>
          <w:szCs w:val="24"/>
        </w:rPr>
      </w:pPr>
    </w:p>
    <w:p w14:paraId="4B3C384F" w14:textId="24F8B468" w:rsidR="00CD1EA4" w:rsidRPr="00141CA1" w:rsidRDefault="0079722A" w:rsidP="0053768B">
      <w:pPr>
        <w:spacing w:after="240"/>
        <w:jc w:val="both"/>
        <w:rPr>
          <w:rFonts w:ascii="Times New Roman" w:hAnsi="Times New Roman" w:cs="Times New Roman"/>
          <w:sz w:val="24"/>
          <w:szCs w:val="24"/>
        </w:rPr>
      </w:pPr>
      <w:r w:rsidRPr="00141CA1">
        <w:rPr>
          <w:rFonts w:ascii="Times New Roman" w:hAnsi="Times New Roman" w:cs="Times New Roman"/>
          <w:sz w:val="24"/>
          <w:szCs w:val="24"/>
        </w:rPr>
        <w:t xml:space="preserve">Niniejszy projekt </w:t>
      </w:r>
      <w:r w:rsidR="00F80188">
        <w:rPr>
          <w:rFonts w:ascii="Times New Roman" w:hAnsi="Times New Roman" w:cs="Times New Roman"/>
          <w:sz w:val="24"/>
          <w:szCs w:val="24"/>
        </w:rPr>
        <w:t xml:space="preserve">zakłada, że </w:t>
      </w:r>
      <w:r w:rsidRPr="00141CA1">
        <w:rPr>
          <w:rFonts w:ascii="Times New Roman" w:hAnsi="Times New Roman" w:cs="Times New Roman"/>
          <w:sz w:val="24"/>
          <w:szCs w:val="24"/>
        </w:rPr>
        <w:t>usta</w:t>
      </w:r>
      <w:r w:rsidR="009940AF" w:rsidRPr="00141CA1">
        <w:rPr>
          <w:rFonts w:ascii="Times New Roman" w:hAnsi="Times New Roman" w:cs="Times New Roman"/>
          <w:sz w:val="24"/>
          <w:szCs w:val="24"/>
        </w:rPr>
        <w:t>wa wchodzi w życie po upływie 14</w:t>
      </w:r>
      <w:r w:rsidRPr="00141CA1">
        <w:rPr>
          <w:rFonts w:ascii="Times New Roman" w:hAnsi="Times New Roman" w:cs="Times New Roman"/>
          <w:sz w:val="24"/>
          <w:szCs w:val="24"/>
        </w:rPr>
        <w:t xml:space="preserve"> dni od dnia jej ogłoszenia</w:t>
      </w:r>
      <w:r w:rsidR="00F80188">
        <w:rPr>
          <w:rFonts w:ascii="Times New Roman" w:hAnsi="Times New Roman" w:cs="Times New Roman"/>
          <w:sz w:val="24"/>
          <w:szCs w:val="24"/>
        </w:rPr>
        <w:t xml:space="preserve">, </w:t>
      </w:r>
      <w:r w:rsidR="00F80188" w:rsidRPr="00F80188">
        <w:rPr>
          <w:rFonts w:ascii="Times New Roman" w:hAnsi="Times New Roman" w:cs="Times New Roman"/>
          <w:sz w:val="24"/>
          <w:szCs w:val="24"/>
        </w:rPr>
        <w:t>z wyjątkiem art. 1 pkt</w:t>
      </w:r>
      <w:r w:rsidR="006B21DC">
        <w:rPr>
          <w:rFonts w:ascii="Times New Roman" w:hAnsi="Times New Roman" w:cs="Times New Roman"/>
          <w:sz w:val="24"/>
          <w:szCs w:val="24"/>
        </w:rPr>
        <w:t xml:space="preserve"> </w:t>
      </w:r>
      <w:r w:rsidR="006D5459">
        <w:rPr>
          <w:rFonts w:ascii="Times New Roman" w:hAnsi="Times New Roman" w:cs="Times New Roman"/>
          <w:sz w:val="24"/>
          <w:szCs w:val="24"/>
        </w:rPr>
        <w:t>7</w:t>
      </w:r>
      <w:r w:rsidR="006B21DC">
        <w:rPr>
          <w:rFonts w:ascii="Times New Roman" w:hAnsi="Times New Roman" w:cs="Times New Roman"/>
          <w:sz w:val="24"/>
          <w:szCs w:val="24"/>
        </w:rPr>
        <w:t>,</w:t>
      </w:r>
      <w:r w:rsidR="00F80188" w:rsidRPr="00F80188">
        <w:rPr>
          <w:rFonts w:ascii="Times New Roman" w:hAnsi="Times New Roman" w:cs="Times New Roman"/>
          <w:sz w:val="24"/>
          <w:szCs w:val="24"/>
        </w:rPr>
        <w:t xml:space="preserve"> </w:t>
      </w:r>
      <w:r w:rsidR="006D5459">
        <w:rPr>
          <w:rFonts w:ascii="Times New Roman" w:hAnsi="Times New Roman" w:cs="Times New Roman"/>
          <w:sz w:val="24"/>
          <w:szCs w:val="24"/>
        </w:rPr>
        <w:t>9-12</w:t>
      </w:r>
      <w:r w:rsidR="00F80188" w:rsidRPr="00F80188">
        <w:rPr>
          <w:rFonts w:ascii="Times New Roman" w:hAnsi="Times New Roman" w:cs="Times New Roman"/>
          <w:sz w:val="24"/>
          <w:szCs w:val="24"/>
        </w:rPr>
        <w:t>, art. 2 oraz art. 7, które wchodzą w życie z dniem 1 stycznia 2026</w:t>
      </w:r>
      <w:r w:rsidR="00065F8A">
        <w:rPr>
          <w:rFonts w:ascii="Times New Roman" w:hAnsi="Times New Roman" w:cs="Times New Roman"/>
          <w:sz w:val="24"/>
          <w:szCs w:val="24"/>
        </w:rPr>
        <w:t> </w:t>
      </w:r>
      <w:r w:rsidR="00F80188" w:rsidRPr="00F80188">
        <w:rPr>
          <w:rFonts w:ascii="Times New Roman" w:hAnsi="Times New Roman" w:cs="Times New Roman"/>
          <w:sz w:val="24"/>
          <w:szCs w:val="24"/>
        </w:rPr>
        <w:t>r.</w:t>
      </w:r>
    </w:p>
    <w:p w14:paraId="223E84AC" w14:textId="118AA5DE" w:rsidR="00CD1EA4" w:rsidRPr="00141CA1" w:rsidRDefault="00CD1EA4" w:rsidP="0053768B">
      <w:pPr>
        <w:spacing w:after="120"/>
        <w:jc w:val="both"/>
        <w:rPr>
          <w:rFonts w:ascii="Times New Roman" w:hAnsi="Times New Roman" w:cs="Times New Roman"/>
          <w:sz w:val="24"/>
          <w:szCs w:val="24"/>
        </w:rPr>
      </w:pPr>
      <w:r w:rsidRPr="00141CA1">
        <w:rPr>
          <w:rFonts w:ascii="Times New Roman" w:hAnsi="Times New Roman" w:cs="Times New Roman"/>
          <w:sz w:val="24"/>
          <w:szCs w:val="24"/>
        </w:rPr>
        <w:t>Ponadto projektowane przepisy nie będą miały bezpośredniego wpływu na sytuację ekonomiczną i społeczną rodziny, a także osób niepełnosprawnych oraz osób starszych.</w:t>
      </w:r>
    </w:p>
    <w:p w14:paraId="1D827A87" w14:textId="6683DB8B" w:rsidR="00CD1EA4" w:rsidRPr="00141CA1" w:rsidRDefault="00CD1EA4" w:rsidP="0053768B">
      <w:pPr>
        <w:spacing w:after="120"/>
        <w:jc w:val="both"/>
        <w:rPr>
          <w:rFonts w:ascii="Times New Roman" w:hAnsi="Times New Roman" w:cs="Times New Roman"/>
          <w:sz w:val="24"/>
          <w:szCs w:val="24"/>
        </w:rPr>
      </w:pPr>
      <w:r w:rsidRPr="00141CA1">
        <w:rPr>
          <w:rFonts w:ascii="Times New Roman" w:hAnsi="Times New Roman" w:cs="Times New Roman"/>
          <w:sz w:val="24"/>
          <w:szCs w:val="24"/>
        </w:rPr>
        <w:t>Uchwalenie proponowanych regulacji nie powoduje skutków finansowych, a w szczególności nie powoduje zwiększenia wydatków z budżetu państwa.</w:t>
      </w:r>
    </w:p>
    <w:p w14:paraId="173555EA" w14:textId="5CE7B4F1" w:rsidR="00CD1EA4" w:rsidRDefault="00CD1EA4" w:rsidP="009A7136">
      <w:pPr>
        <w:spacing w:after="0"/>
        <w:jc w:val="both"/>
        <w:rPr>
          <w:rFonts w:ascii="Times New Roman" w:hAnsi="Times New Roman" w:cs="Times New Roman"/>
          <w:sz w:val="24"/>
          <w:szCs w:val="24"/>
        </w:rPr>
      </w:pPr>
      <w:r w:rsidRPr="00141CA1">
        <w:rPr>
          <w:rFonts w:ascii="Times New Roman" w:hAnsi="Times New Roman" w:cs="Times New Roman"/>
          <w:sz w:val="24"/>
          <w:szCs w:val="24"/>
        </w:rPr>
        <w:t>Projekt ustawy zostanie udostępniony w Biuletynie Informacji Publicznej na stronie internetowej Rządowego Centrum Legislacji w zakładce Rządowy Proces Legislacyjny zgodnie z § 52 uchwały nr 190 Rady Ministrów z dnia 29 października 2013 r. – Regulamin pracy Rady Ministrów (M.P. z 2024 r. poz. 806</w:t>
      </w:r>
      <w:r w:rsidR="00F80188">
        <w:rPr>
          <w:rFonts w:ascii="Times New Roman" w:hAnsi="Times New Roman" w:cs="Times New Roman"/>
          <w:sz w:val="24"/>
          <w:szCs w:val="24"/>
        </w:rPr>
        <w:t>, z późn. zm.</w:t>
      </w:r>
      <w:r w:rsidRPr="00141CA1">
        <w:rPr>
          <w:rFonts w:ascii="Times New Roman" w:hAnsi="Times New Roman" w:cs="Times New Roman"/>
          <w:sz w:val="24"/>
          <w:szCs w:val="24"/>
        </w:rPr>
        <w:t>) oraz stosownie do wymogów art.</w:t>
      </w:r>
      <w:r w:rsidR="00C46F49">
        <w:rPr>
          <w:rFonts w:ascii="Times New Roman" w:hAnsi="Times New Roman" w:cs="Times New Roman"/>
          <w:sz w:val="24"/>
          <w:szCs w:val="24"/>
        </w:rPr>
        <w:t> </w:t>
      </w:r>
      <w:r w:rsidRPr="00141CA1">
        <w:rPr>
          <w:rFonts w:ascii="Times New Roman" w:hAnsi="Times New Roman" w:cs="Times New Roman"/>
          <w:sz w:val="24"/>
          <w:szCs w:val="24"/>
        </w:rPr>
        <w:t>5 ustawy</w:t>
      </w:r>
      <w:r w:rsidR="007D22EE" w:rsidRPr="00141CA1">
        <w:rPr>
          <w:rFonts w:ascii="Times New Roman" w:hAnsi="Times New Roman" w:cs="Times New Roman"/>
          <w:sz w:val="24"/>
          <w:szCs w:val="24"/>
        </w:rPr>
        <w:t xml:space="preserve"> </w:t>
      </w:r>
      <w:r w:rsidRPr="00141CA1">
        <w:rPr>
          <w:rFonts w:ascii="Times New Roman" w:hAnsi="Times New Roman" w:cs="Times New Roman"/>
          <w:sz w:val="24"/>
          <w:szCs w:val="24"/>
        </w:rPr>
        <w:t>z dnia 7 lipca 2005 r. o działalności lobbingowej w procesie stanowienia prawa (Dz. U. z 20</w:t>
      </w:r>
      <w:r w:rsidR="00DA4CC2">
        <w:rPr>
          <w:rFonts w:ascii="Times New Roman" w:hAnsi="Times New Roman" w:cs="Times New Roman"/>
          <w:sz w:val="24"/>
          <w:szCs w:val="24"/>
        </w:rPr>
        <w:t>25</w:t>
      </w:r>
      <w:r w:rsidRPr="00141CA1">
        <w:rPr>
          <w:rFonts w:ascii="Times New Roman" w:hAnsi="Times New Roman" w:cs="Times New Roman"/>
          <w:sz w:val="24"/>
          <w:szCs w:val="24"/>
        </w:rPr>
        <w:t xml:space="preserve"> r. poz. </w:t>
      </w:r>
      <w:r w:rsidR="00DA4CC2">
        <w:rPr>
          <w:rFonts w:ascii="Times New Roman" w:hAnsi="Times New Roman" w:cs="Times New Roman"/>
          <w:sz w:val="24"/>
          <w:szCs w:val="24"/>
        </w:rPr>
        <w:t>677</w:t>
      </w:r>
      <w:r w:rsidRPr="00141CA1">
        <w:rPr>
          <w:rFonts w:ascii="Times New Roman" w:hAnsi="Times New Roman" w:cs="Times New Roman"/>
          <w:sz w:val="24"/>
          <w:szCs w:val="24"/>
        </w:rPr>
        <w:t>).</w:t>
      </w:r>
    </w:p>
    <w:p w14:paraId="359B7239" w14:textId="77777777" w:rsidR="005156FA" w:rsidRDefault="005156FA" w:rsidP="009A7136">
      <w:pPr>
        <w:spacing w:after="0"/>
        <w:jc w:val="both"/>
        <w:rPr>
          <w:rFonts w:ascii="Times New Roman" w:hAnsi="Times New Roman" w:cs="Times New Roman"/>
          <w:sz w:val="24"/>
          <w:szCs w:val="24"/>
        </w:rPr>
      </w:pPr>
    </w:p>
    <w:p w14:paraId="0585B317" w14:textId="77777777" w:rsidR="005156FA" w:rsidRDefault="005156FA" w:rsidP="009A7136">
      <w:pPr>
        <w:spacing w:after="0"/>
        <w:jc w:val="both"/>
        <w:rPr>
          <w:rFonts w:ascii="Times New Roman" w:hAnsi="Times New Roman" w:cs="Times New Roman"/>
          <w:sz w:val="24"/>
          <w:szCs w:val="24"/>
        </w:rPr>
      </w:pPr>
    </w:p>
    <w:p w14:paraId="6C278A61" w14:textId="77777777" w:rsidR="005156FA" w:rsidRDefault="005156FA" w:rsidP="009A7136">
      <w:pPr>
        <w:spacing w:after="0"/>
        <w:jc w:val="both"/>
        <w:rPr>
          <w:rFonts w:ascii="Times New Roman" w:hAnsi="Times New Roman" w:cs="Times New Roman"/>
          <w:sz w:val="24"/>
          <w:szCs w:val="24"/>
        </w:rPr>
      </w:pPr>
    </w:p>
    <w:p w14:paraId="5BDD240A" w14:textId="77777777" w:rsidR="005156FA" w:rsidRDefault="005156FA" w:rsidP="005156FA">
      <w:pPr>
        <w:pStyle w:val="ODNONIKtreodnonika"/>
      </w:pPr>
      <w:r>
        <w:t>ZA ZGODNOŚĆ POD WZGLĘDEM PRAWNYM,</w:t>
      </w:r>
    </w:p>
    <w:p w14:paraId="4DBC67DA" w14:textId="77777777" w:rsidR="005156FA" w:rsidRDefault="005156FA" w:rsidP="005156FA">
      <w:pPr>
        <w:pStyle w:val="ODNONIKtreodnonika"/>
      </w:pPr>
      <w:r>
        <w:t>REDAKCYJNYM I LEGISLACYJNYM</w:t>
      </w:r>
    </w:p>
    <w:p w14:paraId="4FE8F654" w14:textId="5F39D5EE" w:rsidR="005156FA" w:rsidRDefault="005156FA" w:rsidP="005156FA">
      <w:pPr>
        <w:pStyle w:val="ODNONIKtreodnonika"/>
      </w:pPr>
      <w:r>
        <w:t xml:space="preserve">Aleksandra </w:t>
      </w:r>
      <w:r w:rsidR="006C6E80">
        <w:t>Ziuzia</w:t>
      </w:r>
    </w:p>
    <w:p w14:paraId="373ED014" w14:textId="39773772" w:rsidR="005156FA" w:rsidRDefault="006C6E80" w:rsidP="005156FA">
      <w:pPr>
        <w:pStyle w:val="ODNONIKtreodnonika"/>
      </w:pPr>
      <w:r>
        <w:t>Zastępca d</w:t>
      </w:r>
      <w:r w:rsidR="005156FA">
        <w:t>yrektor</w:t>
      </w:r>
      <w:r>
        <w:t>a</w:t>
      </w:r>
      <w:r w:rsidR="005156FA">
        <w:t xml:space="preserve"> Departamentu Prawnego</w:t>
      </w:r>
    </w:p>
    <w:p w14:paraId="7FC167C1" w14:textId="77777777" w:rsidR="005156FA" w:rsidRDefault="005156FA" w:rsidP="005156FA">
      <w:pPr>
        <w:pStyle w:val="ODNONIKtreodnonika"/>
      </w:pPr>
      <w:r>
        <w:t>w Kancelarii Prezesa Rady Ministrów</w:t>
      </w:r>
    </w:p>
    <w:p w14:paraId="39B644CF" w14:textId="77777777" w:rsidR="005156FA" w:rsidRDefault="005156FA" w:rsidP="005156FA">
      <w:pPr>
        <w:pStyle w:val="ODNONIKtreodnonika"/>
      </w:pPr>
      <w:r>
        <w:t>/- podpisano elektronicznie/</w:t>
      </w:r>
    </w:p>
    <w:p w14:paraId="18D588AB" w14:textId="77777777" w:rsidR="005156FA" w:rsidRPr="00141CA1" w:rsidRDefault="005156FA" w:rsidP="009A7136">
      <w:pPr>
        <w:spacing w:after="0"/>
        <w:jc w:val="both"/>
        <w:rPr>
          <w:rFonts w:ascii="Times New Roman" w:hAnsi="Times New Roman" w:cs="Times New Roman"/>
          <w:sz w:val="24"/>
          <w:szCs w:val="24"/>
        </w:rPr>
      </w:pPr>
    </w:p>
    <w:sectPr w:rsidR="005156FA" w:rsidRPr="00141CA1" w:rsidSect="00793976">
      <w:headerReference w:type="default" r:id="rId12"/>
      <w:footerReference w:type="default" r:id="rId13"/>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6E3B" w14:textId="77777777" w:rsidR="000121B7" w:rsidRDefault="000121B7" w:rsidP="000B278B">
      <w:pPr>
        <w:spacing w:after="0" w:line="240" w:lineRule="auto"/>
      </w:pPr>
      <w:r>
        <w:separator/>
      </w:r>
    </w:p>
  </w:endnote>
  <w:endnote w:type="continuationSeparator" w:id="0">
    <w:p w14:paraId="0A6D2FE8" w14:textId="77777777" w:rsidR="000121B7" w:rsidRDefault="000121B7" w:rsidP="000B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770895"/>
      <w:docPartObj>
        <w:docPartGallery w:val="Page Numbers (Bottom of Page)"/>
        <w:docPartUnique/>
      </w:docPartObj>
    </w:sdtPr>
    <w:sdtContent>
      <w:p w14:paraId="79B94214" w14:textId="7D523CD9" w:rsidR="00A067E9" w:rsidRDefault="00A067E9">
        <w:pPr>
          <w:pStyle w:val="Stopka"/>
          <w:jc w:val="center"/>
        </w:pPr>
        <w:r>
          <w:fldChar w:fldCharType="begin"/>
        </w:r>
        <w:r>
          <w:instrText>PAGE   \* MERGEFORMAT</w:instrText>
        </w:r>
        <w:r>
          <w:fldChar w:fldCharType="separate"/>
        </w:r>
        <w:r w:rsidR="007F2CAA">
          <w:rPr>
            <w:noProof/>
          </w:rPr>
          <w:t>10</w:t>
        </w:r>
        <w:r>
          <w:fldChar w:fldCharType="end"/>
        </w:r>
      </w:p>
    </w:sdtContent>
  </w:sdt>
  <w:p w14:paraId="5328F113" w14:textId="77777777" w:rsidR="00A067E9" w:rsidRDefault="00A067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11E7" w14:textId="77777777" w:rsidR="000121B7" w:rsidRDefault="000121B7" w:rsidP="000B278B">
      <w:pPr>
        <w:spacing w:after="0" w:line="240" w:lineRule="auto"/>
      </w:pPr>
      <w:r>
        <w:separator/>
      </w:r>
    </w:p>
  </w:footnote>
  <w:footnote w:type="continuationSeparator" w:id="0">
    <w:p w14:paraId="132A2E78" w14:textId="77777777" w:rsidR="000121B7" w:rsidRDefault="000121B7" w:rsidP="000B278B">
      <w:pPr>
        <w:spacing w:after="0" w:line="240" w:lineRule="auto"/>
      </w:pPr>
      <w:r>
        <w:continuationSeparator/>
      </w:r>
    </w:p>
  </w:footnote>
  <w:footnote w:id="1">
    <w:p w14:paraId="59321296" w14:textId="77777777" w:rsidR="008D2C20" w:rsidRPr="009500A2" w:rsidRDefault="008D2C20" w:rsidP="00003954">
      <w:pPr>
        <w:pStyle w:val="Tekstprzypisudolnego"/>
        <w:jc w:val="both"/>
        <w:rPr>
          <w:rFonts w:ascii="Times New Roman" w:hAnsi="Times New Roman" w:cs="Times New Roman"/>
        </w:rPr>
      </w:pPr>
      <w:r w:rsidRPr="009500A2">
        <w:rPr>
          <w:rStyle w:val="Odwoanieprzypisudolnego"/>
          <w:rFonts w:ascii="Times New Roman" w:hAnsi="Times New Roman" w:cs="Times New Roman"/>
        </w:rPr>
        <w:footnoteRef/>
      </w:r>
      <w:r w:rsidRPr="009500A2">
        <w:rPr>
          <w:rFonts w:ascii="Times New Roman" w:hAnsi="Times New Roman" w:cs="Times New Roman"/>
        </w:rPr>
        <w:t xml:space="preserve"> Zwane dalej „organizacjami pozarządowymi”;</w:t>
      </w:r>
    </w:p>
  </w:footnote>
  <w:footnote w:id="2">
    <w:p w14:paraId="5DBF9370" w14:textId="25A7F6DD" w:rsidR="008D2C20" w:rsidRPr="009500A2" w:rsidRDefault="008D2C20" w:rsidP="00003954">
      <w:pPr>
        <w:pStyle w:val="Tekstprzypisudolnego"/>
        <w:jc w:val="both"/>
        <w:rPr>
          <w:rFonts w:ascii="Times New Roman" w:hAnsi="Times New Roman" w:cs="Times New Roman"/>
        </w:rPr>
      </w:pPr>
      <w:r w:rsidRPr="009500A2">
        <w:rPr>
          <w:rStyle w:val="Odwoanieprzypisudolnego"/>
          <w:rFonts w:ascii="Times New Roman" w:hAnsi="Times New Roman" w:cs="Times New Roman"/>
        </w:rPr>
        <w:footnoteRef/>
      </w:r>
      <w:r w:rsidRPr="009500A2">
        <w:rPr>
          <w:rFonts w:ascii="Times New Roman" w:hAnsi="Times New Roman" w:cs="Times New Roman"/>
        </w:rPr>
        <w:t xml:space="preserve"> Zwana dalej „ustawą”</w:t>
      </w:r>
      <w:r w:rsidR="005F0BB2" w:rsidRPr="009500A2">
        <w:rPr>
          <w:rFonts w:ascii="Times New Roman" w:hAnsi="Times New Roman" w:cs="Times New Roman"/>
        </w:rPr>
        <w:t xml:space="preserve"> lub „udppw”</w:t>
      </w:r>
      <w:r w:rsidRPr="009500A2">
        <w:rPr>
          <w:rFonts w:ascii="Times New Roman" w:hAnsi="Times New Roman" w:cs="Times New Roman"/>
        </w:rPr>
        <w:t>;</w:t>
      </w:r>
    </w:p>
  </w:footnote>
  <w:footnote w:id="3">
    <w:p w14:paraId="081DF04A" w14:textId="3E39D547" w:rsidR="007B2CAD" w:rsidRPr="00003954" w:rsidRDefault="007B2CAD" w:rsidP="00003954">
      <w:pPr>
        <w:pStyle w:val="Tekstprzypisudolnego"/>
        <w:jc w:val="both"/>
        <w:rPr>
          <w:rFonts w:ascii="Lato" w:hAnsi="Lato"/>
        </w:rPr>
      </w:pPr>
      <w:r w:rsidRPr="009500A2">
        <w:rPr>
          <w:rStyle w:val="Odwoanieprzypisudolnego"/>
          <w:rFonts w:ascii="Times New Roman" w:hAnsi="Times New Roman" w:cs="Times New Roman"/>
        </w:rPr>
        <w:footnoteRef/>
      </w:r>
      <w:r w:rsidRPr="009500A2">
        <w:rPr>
          <w:rFonts w:ascii="Times New Roman" w:hAnsi="Times New Roman" w:cs="Times New Roman"/>
        </w:rPr>
        <w:t xml:space="preserve"> art. 43 ustawy z dnia 27 sierpnia 2009 r. o finansach publicznych;</w:t>
      </w:r>
    </w:p>
  </w:footnote>
  <w:footnote w:id="4">
    <w:p w14:paraId="669E621B" w14:textId="77777777" w:rsidR="00712D9A" w:rsidRPr="00A562AB" w:rsidRDefault="00712D9A" w:rsidP="00A562AB">
      <w:pPr>
        <w:pStyle w:val="Tekstprzypisudolnego"/>
        <w:jc w:val="both"/>
        <w:rPr>
          <w:rFonts w:ascii="Times New Roman" w:hAnsi="Times New Roman" w:cs="Times New Roman"/>
        </w:rPr>
      </w:pPr>
      <w:r w:rsidRPr="00A562AB">
        <w:rPr>
          <w:rStyle w:val="Odwoanieprzypisudolnego"/>
          <w:rFonts w:ascii="Times New Roman" w:hAnsi="Times New Roman" w:cs="Times New Roman"/>
        </w:rPr>
        <w:footnoteRef/>
      </w:r>
      <w:r w:rsidRPr="00A562AB">
        <w:rPr>
          <w:rFonts w:ascii="Times New Roman" w:hAnsi="Times New Roman" w:cs="Times New Roman"/>
        </w:rPr>
        <w:t xml:space="preserve"> „Sektor non-profit w 2022 r.”, Główny Urząd Statystyczny, Warszawa, Kraków 2024;</w:t>
      </w:r>
    </w:p>
  </w:footnote>
  <w:footnote w:id="5">
    <w:p w14:paraId="0938FF0C" w14:textId="77777777" w:rsidR="00712D9A" w:rsidRDefault="00712D9A" w:rsidP="00A562AB">
      <w:pPr>
        <w:pStyle w:val="Tekstprzypisudolnego"/>
        <w:jc w:val="both"/>
      </w:pPr>
      <w:r w:rsidRPr="00A562AB">
        <w:rPr>
          <w:rStyle w:val="Odwoanieprzypisudolnego"/>
          <w:rFonts w:ascii="Times New Roman" w:hAnsi="Times New Roman" w:cs="Times New Roman"/>
        </w:rPr>
        <w:footnoteRef/>
      </w:r>
      <w:r w:rsidRPr="00A562AB">
        <w:rPr>
          <w:rFonts w:ascii="Times New Roman" w:hAnsi="Times New Roman" w:cs="Times New Roman"/>
        </w:rPr>
        <w:t xml:space="preserve"> Tj. wartość środkowa, wśród danych uporządkowanych od najmniejszej do największej.</w:t>
      </w:r>
    </w:p>
  </w:footnote>
  <w:footnote w:id="6">
    <w:p w14:paraId="22D4D1AF" w14:textId="77777777" w:rsidR="00956B12" w:rsidRPr="00F71AC9" w:rsidRDefault="00956B12" w:rsidP="00F71AC9">
      <w:pPr>
        <w:pStyle w:val="Tekstprzypisudolnego"/>
        <w:jc w:val="both"/>
        <w:rPr>
          <w:rFonts w:ascii="Times New Roman" w:hAnsi="Times New Roman" w:cs="Times New Roman"/>
        </w:rPr>
      </w:pPr>
      <w:r w:rsidRPr="00F71AC9">
        <w:rPr>
          <w:rStyle w:val="Odwoanieprzypisudolnego"/>
          <w:rFonts w:ascii="Times New Roman" w:hAnsi="Times New Roman" w:cs="Times New Roman"/>
        </w:rPr>
        <w:footnoteRef/>
      </w:r>
      <w:r w:rsidRPr="00F71AC9">
        <w:rPr>
          <w:rFonts w:ascii="Times New Roman" w:hAnsi="Times New Roman" w:cs="Times New Roman"/>
        </w:rPr>
        <w:t xml:space="preserve"> Zgodnie z danymi GUS ceny towarów i usług konsumpcyjnych w grudniu 2024 r. w porównaniu z analogicznym miesiącem ub. roku wzrosły o 4,7% (</w:t>
      </w:r>
      <w:hyperlink r:id="rId1" w:history="1">
        <w:r w:rsidRPr="00F71AC9">
          <w:rPr>
            <w:rStyle w:val="Hipercze"/>
            <w:rFonts w:ascii="Times New Roman" w:hAnsi="Times New Roman" w:cs="Times New Roman"/>
          </w:rPr>
          <w:t>https://ssgk.stat.gov.pl/Ceny_towarow_i_uslug_konsumpcyjnych.html</w:t>
        </w:r>
      </w:hyperlink>
      <w:r w:rsidRPr="00F71AC9">
        <w:rPr>
          <w:rFonts w:ascii="Times New Roman" w:hAnsi="Times New Roman" w:cs="Times New Roman"/>
        </w:rPr>
        <w:t>); (https://stat.gov.pl/obszary-tematyczne/ceny-handel/wskazniki-cen/wskazniki-cen-towarow-i-uslug-konsumpcyjnych-pot-inflacja-/roczne-wskazniki-cen-towarow-i-uslug-konsumpcyjnych/);</w:t>
      </w:r>
    </w:p>
  </w:footnote>
  <w:footnote w:id="7">
    <w:p w14:paraId="223CF5D9" w14:textId="528DE706" w:rsidR="006F0CC4" w:rsidRDefault="006F0CC4" w:rsidP="006F0CC4">
      <w:pPr>
        <w:pStyle w:val="Tekstprzypisudolnego"/>
        <w:jc w:val="both"/>
      </w:pPr>
      <w:r>
        <w:rPr>
          <w:rStyle w:val="Odwoanieprzypisudolnego"/>
        </w:rPr>
        <w:footnoteRef/>
      </w:r>
      <w:r>
        <w:t xml:space="preserve"> </w:t>
      </w:r>
      <w:r w:rsidRPr="006F0CC4">
        <w:rPr>
          <w:rFonts w:ascii="Times New Roman" w:hAnsi="Times New Roman" w:cs="Times New Roman"/>
        </w:rPr>
        <w:t xml:space="preserve">Informacja o wynikach kontroli pn. </w:t>
      </w:r>
      <w:r w:rsidR="00C324DA">
        <w:rPr>
          <w:rFonts w:ascii="Times New Roman" w:hAnsi="Times New Roman" w:cs="Times New Roman"/>
        </w:rPr>
        <w:t>„</w:t>
      </w:r>
      <w:r w:rsidRPr="006F0CC4">
        <w:rPr>
          <w:rFonts w:ascii="Times New Roman" w:hAnsi="Times New Roman" w:cs="Times New Roman"/>
        </w:rPr>
        <w:t>Udzielanie nieodpłatnej pomocy prawnej, nieodpłatnego poradnictwa obyw</w:t>
      </w:r>
      <w:r w:rsidR="00C324DA">
        <w:rPr>
          <w:rFonts w:ascii="Times New Roman" w:hAnsi="Times New Roman" w:cs="Times New Roman"/>
        </w:rPr>
        <w:t xml:space="preserve">atelskiego oraz edukacja prawna„ </w:t>
      </w:r>
      <w:r w:rsidRPr="006F0CC4">
        <w:rPr>
          <w:rFonts w:ascii="Times New Roman" w:hAnsi="Times New Roman" w:cs="Times New Roman"/>
        </w:rPr>
        <w:t>(znak KAP.430.03.2024), czerwiec 2024 r.;</w:t>
      </w:r>
    </w:p>
  </w:footnote>
  <w:footnote w:id="8">
    <w:p w14:paraId="3C6EC7CC" w14:textId="77777777" w:rsidR="00B765AF" w:rsidRPr="00F71AC9" w:rsidRDefault="00B765AF" w:rsidP="00B765AF">
      <w:pPr>
        <w:pStyle w:val="Tekstprzypisudolnego"/>
        <w:rPr>
          <w:rFonts w:ascii="Times New Roman" w:hAnsi="Times New Roman" w:cs="Times New Roman"/>
        </w:rPr>
      </w:pPr>
      <w:r w:rsidRPr="00F71AC9">
        <w:rPr>
          <w:rStyle w:val="Odwoanieprzypisudolnego"/>
          <w:rFonts w:ascii="Times New Roman" w:hAnsi="Times New Roman" w:cs="Times New Roman"/>
        </w:rPr>
        <w:footnoteRef/>
      </w:r>
      <w:r w:rsidRPr="00F71AC9">
        <w:rPr>
          <w:rFonts w:ascii="Times New Roman" w:hAnsi="Times New Roman" w:cs="Times New Roman"/>
        </w:rPr>
        <w:t xml:space="preserve"> Dane na dzień 10 kwietnia 2025 r.</w:t>
      </w:r>
    </w:p>
  </w:footnote>
  <w:footnote w:id="9">
    <w:p w14:paraId="00F3A6B1" w14:textId="6866EFAB" w:rsidR="00B765AF" w:rsidRDefault="00B765AF" w:rsidP="00B765AF">
      <w:pPr>
        <w:pStyle w:val="Tekstprzypisudolnego"/>
      </w:pPr>
      <w:r w:rsidRPr="00F71AC9">
        <w:rPr>
          <w:rStyle w:val="Odwoanieprzypisudolnego"/>
          <w:rFonts w:ascii="Times New Roman" w:hAnsi="Times New Roman" w:cs="Times New Roman"/>
        </w:rPr>
        <w:footnoteRef/>
      </w:r>
      <w:r w:rsidRPr="00F71AC9">
        <w:rPr>
          <w:rFonts w:ascii="Times New Roman" w:hAnsi="Times New Roman" w:cs="Times New Roman"/>
        </w:rPr>
        <w:t xml:space="preserve"> Zwany dalej „NIW-CRSO”</w:t>
      </w:r>
      <w:r w:rsidR="00827472">
        <w:rPr>
          <w:rFonts w:ascii="Times New Roman" w:hAnsi="Times New Roman" w:cs="Times New Roman"/>
        </w:rPr>
        <w:t xml:space="preserve"> albo „Narodowym Instytutem”</w:t>
      </w:r>
      <w:r w:rsidRPr="00F71AC9">
        <w:rPr>
          <w:rFonts w:ascii="Times New Roman" w:hAnsi="Times New Roman" w:cs="Times New Roman"/>
        </w:rPr>
        <w:t>;</w:t>
      </w:r>
    </w:p>
  </w:footnote>
  <w:footnote w:id="10">
    <w:p w14:paraId="5B588607" w14:textId="5B1E3BE5" w:rsidR="0081762D" w:rsidRPr="0081762D" w:rsidRDefault="0081762D">
      <w:pPr>
        <w:pStyle w:val="Tekstprzypisudolnego"/>
        <w:rPr>
          <w:rFonts w:ascii="Times New Roman" w:hAnsi="Times New Roman" w:cs="Times New Roman"/>
        </w:rPr>
      </w:pPr>
      <w:r w:rsidRPr="0081762D">
        <w:rPr>
          <w:rStyle w:val="Odwoanieprzypisudolnego"/>
          <w:rFonts w:ascii="Times New Roman" w:hAnsi="Times New Roman" w:cs="Times New Roman"/>
        </w:rPr>
        <w:footnoteRef/>
      </w:r>
      <w:r w:rsidRPr="0081762D">
        <w:rPr>
          <w:rFonts w:ascii="Times New Roman" w:hAnsi="Times New Roman" w:cs="Times New Roman"/>
        </w:rPr>
        <w:t xml:space="preserve"> Zwany dalej „Komitetem”.</w:t>
      </w:r>
    </w:p>
  </w:footnote>
  <w:footnote w:id="11">
    <w:p w14:paraId="48CCD8E3" w14:textId="62EF0921" w:rsidR="00FB3816" w:rsidRPr="00F71AC9" w:rsidRDefault="00FB3816">
      <w:pPr>
        <w:pStyle w:val="Tekstprzypisudolnego"/>
        <w:rPr>
          <w:rFonts w:ascii="Times New Roman" w:hAnsi="Times New Roman" w:cs="Times New Roman"/>
        </w:rPr>
      </w:pPr>
      <w:r w:rsidRPr="00F71AC9">
        <w:rPr>
          <w:rStyle w:val="Odwoanieprzypisudolnego"/>
          <w:rFonts w:ascii="Times New Roman" w:hAnsi="Times New Roman" w:cs="Times New Roman"/>
        </w:rPr>
        <w:footnoteRef/>
      </w:r>
      <w:r w:rsidRPr="00F71AC9">
        <w:rPr>
          <w:rFonts w:ascii="Times New Roman" w:hAnsi="Times New Roman" w:cs="Times New Roman"/>
        </w:rPr>
        <w:t xml:space="preserve"> Zwany dalej „pdof” lub „podatkiem”;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0B38" w14:textId="0CCDE8FD" w:rsidR="002D7C20" w:rsidRPr="002D7C20" w:rsidRDefault="002D7C20" w:rsidP="002D7C20">
    <w:pPr>
      <w:pStyle w:val="Nagwek"/>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05817"/>
    <w:multiLevelType w:val="hybridMultilevel"/>
    <w:tmpl w:val="5BBE03B4"/>
    <w:lvl w:ilvl="0" w:tplc="3CFE4596">
      <w:start w:val="1"/>
      <w:numFmt w:val="decimal"/>
      <w:lvlText w:val="%1)"/>
      <w:lvlJc w:val="left"/>
      <w:pPr>
        <w:ind w:left="720" w:hanging="360"/>
      </w:pPr>
    </w:lvl>
    <w:lvl w:ilvl="1" w:tplc="F7B6B394">
      <w:start w:val="1"/>
      <w:numFmt w:val="lowerLetter"/>
      <w:lvlText w:val="%2."/>
      <w:lvlJc w:val="left"/>
      <w:pPr>
        <w:ind w:left="1440" w:hanging="360"/>
      </w:pPr>
    </w:lvl>
    <w:lvl w:ilvl="2" w:tplc="BEECF628">
      <w:start w:val="1"/>
      <w:numFmt w:val="lowerRoman"/>
      <w:lvlText w:val="%3."/>
      <w:lvlJc w:val="right"/>
      <w:pPr>
        <w:ind w:left="2160" w:hanging="180"/>
      </w:pPr>
    </w:lvl>
    <w:lvl w:ilvl="3" w:tplc="09BA7EE2">
      <w:start w:val="1"/>
      <w:numFmt w:val="decimal"/>
      <w:lvlText w:val="%4."/>
      <w:lvlJc w:val="left"/>
      <w:pPr>
        <w:ind w:left="2880" w:hanging="360"/>
      </w:pPr>
    </w:lvl>
    <w:lvl w:ilvl="4" w:tplc="4B6E0A30">
      <w:start w:val="1"/>
      <w:numFmt w:val="lowerLetter"/>
      <w:lvlText w:val="%5."/>
      <w:lvlJc w:val="left"/>
      <w:pPr>
        <w:ind w:left="3600" w:hanging="360"/>
      </w:pPr>
    </w:lvl>
    <w:lvl w:ilvl="5" w:tplc="0F1AC33A">
      <w:start w:val="1"/>
      <w:numFmt w:val="lowerRoman"/>
      <w:lvlText w:val="%6."/>
      <w:lvlJc w:val="right"/>
      <w:pPr>
        <w:ind w:left="4320" w:hanging="180"/>
      </w:pPr>
    </w:lvl>
    <w:lvl w:ilvl="6" w:tplc="15F01B2A">
      <w:start w:val="1"/>
      <w:numFmt w:val="decimal"/>
      <w:lvlText w:val="%7."/>
      <w:lvlJc w:val="left"/>
      <w:pPr>
        <w:ind w:left="5040" w:hanging="360"/>
      </w:pPr>
    </w:lvl>
    <w:lvl w:ilvl="7" w:tplc="71203B5C">
      <w:start w:val="1"/>
      <w:numFmt w:val="lowerLetter"/>
      <w:lvlText w:val="%8."/>
      <w:lvlJc w:val="left"/>
      <w:pPr>
        <w:ind w:left="5760" w:hanging="360"/>
      </w:pPr>
    </w:lvl>
    <w:lvl w:ilvl="8" w:tplc="B448E550">
      <w:start w:val="1"/>
      <w:numFmt w:val="lowerRoman"/>
      <w:lvlText w:val="%9."/>
      <w:lvlJc w:val="right"/>
      <w:pPr>
        <w:ind w:left="6480" w:hanging="180"/>
      </w:pPr>
    </w:lvl>
  </w:abstractNum>
  <w:abstractNum w:abstractNumId="1" w15:restartNumberingAfterBreak="0">
    <w:nsid w:val="5B3F3782"/>
    <w:multiLevelType w:val="hybridMultilevel"/>
    <w:tmpl w:val="C42C4E7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301C81"/>
    <w:multiLevelType w:val="hybridMultilevel"/>
    <w:tmpl w:val="8FE4AE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6F17B7"/>
    <w:multiLevelType w:val="hybridMultilevel"/>
    <w:tmpl w:val="0B02A64E"/>
    <w:lvl w:ilvl="0" w:tplc="150CF1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814855">
    <w:abstractNumId w:val="1"/>
  </w:num>
  <w:num w:numId="2" w16cid:durableId="728959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375974">
    <w:abstractNumId w:val="2"/>
  </w:num>
  <w:num w:numId="4" w16cid:durableId="1580676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FCF"/>
    <w:rsid w:val="000019BE"/>
    <w:rsid w:val="000037E2"/>
    <w:rsid w:val="00003954"/>
    <w:rsid w:val="00004C84"/>
    <w:rsid w:val="00011AE9"/>
    <w:rsid w:val="000121B7"/>
    <w:rsid w:val="00043C21"/>
    <w:rsid w:val="00047D9F"/>
    <w:rsid w:val="000510DF"/>
    <w:rsid w:val="00054678"/>
    <w:rsid w:val="00065EEB"/>
    <w:rsid w:val="00065F8A"/>
    <w:rsid w:val="000761F8"/>
    <w:rsid w:val="00081059"/>
    <w:rsid w:val="000A5239"/>
    <w:rsid w:val="000B278B"/>
    <w:rsid w:val="000E2577"/>
    <w:rsid w:val="000E6914"/>
    <w:rsid w:val="00100661"/>
    <w:rsid w:val="0010098C"/>
    <w:rsid w:val="00104F3C"/>
    <w:rsid w:val="00104F61"/>
    <w:rsid w:val="00112A0A"/>
    <w:rsid w:val="00127197"/>
    <w:rsid w:val="0012780D"/>
    <w:rsid w:val="001322F2"/>
    <w:rsid w:val="00135B9B"/>
    <w:rsid w:val="0014192F"/>
    <w:rsid w:val="00141CA1"/>
    <w:rsid w:val="0014205F"/>
    <w:rsid w:val="001665CB"/>
    <w:rsid w:val="00171DE6"/>
    <w:rsid w:val="001721E3"/>
    <w:rsid w:val="001803E8"/>
    <w:rsid w:val="00186A5A"/>
    <w:rsid w:val="0019225C"/>
    <w:rsid w:val="00192CC8"/>
    <w:rsid w:val="00197999"/>
    <w:rsid w:val="001B22F7"/>
    <w:rsid w:val="001B2DD5"/>
    <w:rsid w:val="001B47BA"/>
    <w:rsid w:val="001C1111"/>
    <w:rsid w:val="001C3E14"/>
    <w:rsid w:val="001D2BDA"/>
    <w:rsid w:val="001D30B9"/>
    <w:rsid w:val="001E0984"/>
    <w:rsid w:val="001E1B3D"/>
    <w:rsid w:val="001E3223"/>
    <w:rsid w:val="001E34FC"/>
    <w:rsid w:val="001E42DF"/>
    <w:rsid w:val="001E57E3"/>
    <w:rsid w:val="001E63F8"/>
    <w:rsid w:val="001F0050"/>
    <w:rsid w:val="001F109A"/>
    <w:rsid w:val="001F27EC"/>
    <w:rsid w:val="001F6EA7"/>
    <w:rsid w:val="001F6F86"/>
    <w:rsid w:val="001F7365"/>
    <w:rsid w:val="00201937"/>
    <w:rsid w:val="00213187"/>
    <w:rsid w:val="0022483A"/>
    <w:rsid w:val="00234527"/>
    <w:rsid w:val="00255957"/>
    <w:rsid w:val="00260080"/>
    <w:rsid w:val="00280512"/>
    <w:rsid w:val="002828EA"/>
    <w:rsid w:val="002844A6"/>
    <w:rsid w:val="00290E8D"/>
    <w:rsid w:val="002A1927"/>
    <w:rsid w:val="002B53B4"/>
    <w:rsid w:val="002D7C20"/>
    <w:rsid w:val="002E062C"/>
    <w:rsid w:val="002E3DEF"/>
    <w:rsid w:val="002E7804"/>
    <w:rsid w:val="003036C3"/>
    <w:rsid w:val="003270AD"/>
    <w:rsid w:val="0033216B"/>
    <w:rsid w:val="00332EEF"/>
    <w:rsid w:val="003346BD"/>
    <w:rsid w:val="00336B41"/>
    <w:rsid w:val="003402ED"/>
    <w:rsid w:val="00343A28"/>
    <w:rsid w:val="00363CC9"/>
    <w:rsid w:val="0036575C"/>
    <w:rsid w:val="003704F7"/>
    <w:rsid w:val="00375FB4"/>
    <w:rsid w:val="0038651D"/>
    <w:rsid w:val="0039460A"/>
    <w:rsid w:val="003A6AAC"/>
    <w:rsid w:val="003B416C"/>
    <w:rsid w:val="003C5B29"/>
    <w:rsid w:val="003D09FF"/>
    <w:rsid w:val="003D1BE9"/>
    <w:rsid w:val="003E027F"/>
    <w:rsid w:val="003E12C8"/>
    <w:rsid w:val="003F4140"/>
    <w:rsid w:val="003F4C5F"/>
    <w:rsid w:val="003F7C85"/>
    <w:rsid w:val="00420F07"/>
    <w:rsid w:val="0042332C"/>
    <w:rsid w:val="00434F30"/>
    <w:rsid w:val="00445AC7"/>
    <w:rsid w:val="00457C55"/>
    <w:rsid w:val="004A31DB"/>
    <w:rsid w:val="004A51A1"/>
    <w:rsid w:val="004A5E4D"/>
    <w:rsid w:val="004A6063"/>
    <w:rsid w:val="004B007D"/>
    <w:rsid w:val="004B3947"/>
    <w:rsid w:val="004C0E24"/>
    <w:rsid w:val="004C15C9"/>
    <w:rsid w:val="004C240B"/>
    <w:rsid w:val="004C59B7"/>
    <w:rsid w:val="004D2830"/>
    <w:rsid w:val="004E6B4B"/>
    <w:rsid w:val="004E6FB6"/>
    <w:rsid w:val="004F1AE5"/>
    <w:rsid w:val="004F5FE3"/>
    <w:rsid w:val="004F77DD"/>
    <w:rsid w:val="00501045"/>
    <w:rsid w:val="0050267B"/>
    <w:rsid w:val="00502E79"/>
    <w:rsid w:val="005156FA"/>
    <w:rsid w:val="005175D5"/>
    <w:rsid w:val="00523BEB"/>
    <w:rsid w:val="00534FEE"/>
    <w:rsid w:val="0053768B"/>
    <w:rsid w:val="0054062D"/>
    <w:rsid w:val="00547152"/>
    <w:rsid w:val="00547FCF"/>
    <w:rsid w:val="005517BD"/>
    <w:rsid w:val="00553098"/>
    <w:rsid w:val="005537FC"/>
    <w:rsid w:val="0056692F"/>
    <w:rsid w:val="00575E7D"/>
    <w:rsid w:val="005764B7"/>
    <w:rsid w:val="005801FC"/>
    <w:rsid w:val="005957A8"/>
    <w:rsid w:val="005974F6"/>
    <w:rsid w:val="005A1B80"/>
    <w:rsid w:val="005A44B4"/>
    <w:rsid w:val="005A7213"/>
    <w:rsid w:val="005B08E5"/>
    <w:rsid w:val="005B79A5"/>
    <w:rsid w:val="005D0C82"/>
    <w:rsid w:val="005D4B3B"/>
    <w:rsid w:val="005D709C"/>
    <w:rsid w:val="005E7A49"/>
    <w:rsid w:val="005F03C6"/>
    <w:rsid w:val="005F0BB2"/>
    <w:rsid w:val="005F31A2"/>
    <w:rsid w:val="00623FB2"/>
    <w:rsid w:val="006326CD"/>
    <w:rsid w:val="00634571"/>
    <w:rsid w:val="00635D2A"/>
    <w:rsid w:val="00636C60"/>
    <w:rsid w:val="00637A22"/>
    <w:rsid w:val="006410F5"/>
    <w:rsid w:val="00642810"/>
    <w:rsid w:val="00643060"/>
    <w:rsid w:val="00657947"/>
    <w:rsid w:val="00661A73"/>
    <w:rsid w:val="006625E7"/>
    <w:rsid w:val="00663B7A"/>
    <w:rsid w:val="00664582"/>
    <w:rsid w:val="006675E1"/>
    <w:rsid w:val="00667776"/>
    <w:rsid w:val="00681D5D"/>
    <w:rsid w:val="006820EC"/>
    <w:rsid w:val="00692880"/>
    <w:rsid w:val="006967FF"/>
    <w:rsid w:val="00697890"/>
    <w:rsid w:val="006A3A17"/>
    <w:rsid w:val="006A5589"/>
    <w:rsid w:val="006B21DC"/>
    <w:rsid w:val="006C6E80"/>
    <w:rsid w:val="006D4297"/>
    <w:rsid w:val="006D4EC8"/>
    <w:rsid w:val="006D5459"/>
    <w:rsid w:val="006D767F"/>
    <w:rsid w:val="006E0C14"/>
    <w:rsid w:val="006F0CC4"/>
    <w:rsid w:val="006F0E22"/>
    <w:rsid w:val="00710C1C"/>
    <w:rsid w:val="0071141F"/>
    <w:rsid w:val="00712D9A"/>
    <w:rsid w:val="007233BB"/>
    <w:rsid w:val="007255E2"/>
    <w:rsid w:val="007301A0"/>
    <w:rsid w:val="00730E8F"/>
    <w:rsid w:val="0073213D"/>
    <w:rsid w:val="00734D6B"/>
    <w:rsid w:val="00734FE1"/>
    <w:rsid w:val="00757E62"/>
    <w:rsid w:val="00763BD0"/>
    <w:rsid w:val="007860F1"/>
    <w:rsid w:val="007874FB"/>
    <w:rsid w:val="00787D9C"/>
    <w:rsid w:val="0079053F"/>
    <w:rsid w:val="00793976"/>
    <w:rsid w:val="00793F39"/>
    <w:rsid w:val="0079722A"/>
    <w:rsid w:val="007978CF"/>
    <w:rsid w:val="007B2CAD"/>
    <w:rsid w:val="007C4F5E"/>
    <w:rsid w:val="007D22EE"/>
    <w:rsid w:val="007D7D03"/>
    <w:rsid w:val="007E6B16"/>
    <w:rsid w:val="007E7C6D"/>
    <w:rsid w:val="007F058F"/>
    <w:rsid w:val="007F1507"/>
    <w:rsid w:val="007F2CAA"/>
    <w:rsid w:val="00802F35"/>
    <w:rsid w:val="00813285"/>
    <w:rsid w:val="0081730F"/>
    <w:rsid w:val="0081762D"/>
    <w:rsid w:val="00827472"/>
    <w:rsid w:val="008336F7"/>
    <w:rsid w:val="00834869"/>
    <w:rsid w:val="00842FC8"/>
    <w:rsid w:val="008527EE"/>
    <w:rsid w:val="00876AEA"/>
    <w:rsid w:val="008779C3"/>
    <w:rsid w:val="0088535A"/>
    <w:rsid w:val="00893A88"/>
    <w:rsid w:val="008A1BE0"/>
    <w:rsid w:val="008C2BFC"/>
    <w:rsid w:val="008D2C20"/>
    <w:rsid w:val="008E30E2"/>
    <w:rsid w:val="008E32FD"/>
    <w:rsid w:val="008F058D"/>
    <w:rsid w:val="008F59D8"/>
    <w:rsid w:val="00916FB4"/>
    <w:rsid w:val="00923430"/>
    <w:rsid w:val="00945458"/>
    <w:rsid w:val="009500A2"/>
    <w:rsid w:val="0095089A"/>
    <w:rsid w:val="0095376D"/>
    <w:rsid w:val="00956B12"/>
    <w:rsid w:val="0096436D"/>
    <w:rsid w:val="009940AF"/>
    <w:rsid w:val="009965BA"/>
    <w:rsid w:val="009A0BC2"/>
    <w:rsid w:val="009A7136"/>
    <w:rsid w:val="009B5467"/>
    <w:rsid w:val="009B6111"/>
    <w:rsid w:val="009D1918"/>
    <w:rsid w:val="009D1CB0"/>
    <w:rsid w:val="009D6790"/>
    <w:rsid w:val="009E5E27"/>
    <w:rsid w:val="009F28EC"/>
    <w:rsid w:val="009F2A84"/>
    <w:rsid w:val="009F62AA"/>
    <w:rsid w:val="009F69AA"/>
    <w:rsid w:val="009F6F43"/>
    <w:rsid w:val="009F7040"/>
    <w:rsid w:val="00A067E9"/>
    <w:rsid w:val="00A124F6"/>
    <w:rsid w:val="00A17CB3"/>
    <w:rsid w:val="00A21691"/>
    <w:rsid w:val="00A375D2"/>
    <w:rsid w:val="00A509AB"/>
    <w:rsid w:val="00A562AB"/>
    <w:rsid w:val="00A5782A"/>
    <w:rsid w:val="00A60A3A"/>
    <w:rsid w:val="00A710F0"/>
    <w:rsid w:val="00A81ED5"/>
    <w:rsid w:val="00A85184"/>
    <w:rsid w:val="00A93C1C"/>
    <w:rsid w:val="00A940BB"/>
    <w:rsid w:val="00AA5012"/>
    <w:rsid w:val="00AA62B1"/>
    <w:rsid w:val="00AB0C53"/>
    <w:rsid w:val="00AB2DB9"/>
    <w:rsid w:val="00AD2B36"/>
    <w:rsid w:val="00AE5973"/>
    <w:rsid w:val="00AF3B82"/>
    <w:rsid w:val="00AF3C07"/>
    <w:rsid w:val="00AF3D8F"/>
    <w:rsid w:val="00B02C17"/>
    <w:rsid w:val="00B0693A"/>
    <w:rsid w:val="00B06FC8"/>
    <w:rsid w:val="00B23EED"/>
    <w:rsid w:val="00B253C7"/>
    <w:rsid w:val="00B32A83"/>
    <w:rsid w:val="00B4719F"/>
    <w:rsid w:val="00B55CFB"/>
    <w:rsid w:val="00B6650C"/>
    <w:rsid w:val="00B6715E"/>
    <w:rsid w:val="00B67510"/>
    <w:rsid w:val="00B765AF"/>
    <w:rsid w:val="00B838F6"/>
    <w:rsid w:val="00B9318C"/>
    <w:rsid w:val="00B953A8"/>
    <w:rsid w:val="00BB229A"/>
    <w:rsid w:val="00BB454D"/>
    <w:rsid w:val="00BB4991"/>
    <w:rsid w:val="00BB55F1"/>
    <w:rsid w:val="00BC39F1"/>
    <w:rsid w:val="00BC71EF"/>
    <w:rsid w:val="00BD306B"/>
    <w:rsid w:val="00BD341D"/>
    <w:rsid w:val="00BE0E6A"/>
    <w:rsid w:val="00C0048B"/>
    <w:rsid w:val="00C10C72"/>
    <w:rsid w:val="00C118F6"/>
    <w:rsid w:val="00C17DB9"/>
    <w:rsid w:val="00C240FA"/>
    <w:rsid w:val="00C31E03"/>
    <w:rsid w:val="00C324DA"/>
    <w:rsid w:val="00C37D08"/>
    <w:rsid w:val="00C40F08"/>
    <w:rsid w:val="00C436F8"/>
    <w:rsid w:val="00C43744"/>
    <w:rsid w:val="00C46F49"/>
    <w:rsid w:val="00C470F4"/>
    <w:rsid w:val="00C64DFC"/>
    <w:rsid w:val="00C720BA"/>
    <w:rsid w:val="00C95820"/>
    <w:rsid w:val="00CB478E"/>
    <w:rsid w:val="00CC07D1"/>
    <w:rsid w:val="00CC1F5B"/>
    <w:rsid w:val="00CC3155"/>
    <w:rsid w:val="00CD07ED"/>
    <w:rsid w:val="00CD1EA4"/>
    <w:rsid w:val="00CD2D15"/>
    <w:rsid w:val="00CD6863"/>
    <w:rsid w:val="00CD71EC"/>
    <w:rsid w:val="00CF1859"/>
    <w:rsid w:val="00D02037"/>
    <w:rsid w:val="00D021C8"/>
    <w:rsid w:val="00D032F1"/>
    <w:rsid w:val="00D20312"/>
    <w:rsid w:val="00D20EED"/>
    <w:rsid w:val="00D46BB1"/>
    <w:rsid w:val="00D5670E"/>
    <w:rsid w:val="00D60F73"/>
    <w:rsid w:val="00D66E2A"/>
    <w:rsid w:val="00D72D1F"/>
    <w:rsid w:val="00D73CEA"/>
    <w:rsid w:val="00D75591"/>
    <w:rsid w:val="00D86405"/>
    <w:rsid w:val="00D86DEA"/>
    <w:rsid w:val="00DA4CC2"/>
    <w:rsid w:val="00DA5FFE"/>
    <w:rsid w:val="00DA681E"/>
    <w:rsid w:val="00DB3F9F"/>
    <w:rsid w:val="00DC118A"/>
    <w:rsid w:val="00DD64BF"/>
    <w:rsid w:val="00DE1AF0"/>
    <w:rsid w:val="00DE2B68"/>
    <w:rsid w:val="00DE40B4"/>
    <w:rsid w:val="00DF028B"/>
    <w:rsid w:val="00DF3C8D"/>
    <w:rsid w:val="00E00909"/>
    <w:rsid w:val="00E017A3"/>
    <w:rsid w:val="00E0215E"/>
    <w:rsid w:val="00E066D9"/>
    <w:rsid w:val="00E0701B"/>
    <w:rsid w:val="00E124CD"/>
    <w:rsid w:val="00E12D03"/>
    <w:rsid w:val="00E15C54"/>
    <w:rsid w:val="00E20FE0"/>
    <w:rsid w:val="00E210E3"/>
    <w:rsid w:val="00E22B88"/>
    <w:rsid w:val="00E268AD"/>
    <w:rsid w:val="00E439F0"/>
    <w:rsid w:val="00E454D8"/>
    <w:rsid w:val="00E51F04"/>
    <w:rsid w:val="00E61D31"/>
    <w:rsid w:val="00E628F6"/>
    <w:rsid w:val="00E6368C"/>
    <w:rsid w:val="00E6454A"/>
    <w:rsid w:val="00E7307A"/>
    <w:rsid w:val="00E7481F"/>
    <w:rsid w:val="00E934DB"/>
    <w:rsid w:val="00E952F6"/>
    <w:rsid w:val="00EA7D7A"/>
    <w:rsid w:val="00EC434F"/>
    <w:rsid w:val="00EE2AC0"/>
    <w:rsid w:val="00EE4552"/>
    <w:rsid w:val="00EF0F2F"/>
    <w:rsid w:val="00EF7775"/>
    <w:rsid w:val="00F008D3"/>
    <w:rsid w:val="00F0780F"/>
    <w:rsid w:val="00F11750"/>
    <w:rsid w:val="00F13ACD"/>
    <w:rsid w:val="00F24F93"/>
    <w:rsid w:val="00F30B82"/>
    <w:rsid w:val="00F33198"/>
    <w:rsid w:val="00F342E2"/>
    <w:rsid w:val="00F36A8B"/>
    <w:rsid w:val="00F47B8D"/>
    <w:rsid w:val="00F65CA9"/>
    <w:rsid w:val="00F71AC9"/>
    <w:rsid w:val="00F74163"/>
    <w:rsid w:val="00F80188"/>
    <w:rsid w:val="00F80317"/>
    <w:rsid w:val="00F80EAD"/>
    <w:rsid w:val="00F8467B"/>
    <w:rsid w:val="00FA4626"/>
    <w:rsid w:val="00FA7F83"/>
    <w:rsid w:val="00FB2D6B"/>
    <w:rsid w:val="00FB3816"/>
    <w:rsid w:val="00FB4BB4"/>
    <w:rsid w:val="00FC175D"/>
    <w:rsid w:val="00FC71BD"/>
    <w:rsid w:val="00FD1DC2"/>
    <w:rsid w:val="00FE539C"/>
    <w:rsid w:val="00FF5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0F2B"/>
  <w15:chartTrackingRefBased/>
  <w15:docId w15:val="{4A376109-5AC7-42A7-B977-4A0CD564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B278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B278B"/>
    <w:rPr>
      <w:sz w:val="20"/>
      <w:szCs w:val="20"/>
    </w:rPr>
  </w:style>
  <w:style w:type="character" w:styleId="Odwoanieprzypisudolnego">
    <w:name w:val="footnote reference"/>
    <w:basedOn w:val="Domylnaczcionkaakapitu"/>
    <w:uiPriority w:val="99"/>
    <w:semiHidden/>
    <w:unhideWhenUsed/>
    <w:rsid w:val="000B278B"/>
    <w:rPr>
      <w:vertAlign w:val="superscript"/>
    </w:rPr>
  </w:style>
  <w:style w:type="paragraph" w:styleId="Tekstdymka">
    <w:name w:val="Balloon Text"/>
    <w:basedOn w:val="Normalny"/>
    <w:link w:val="TekstdymkaZnak"/>
    <w:uiPriority w:val="99"/>
    <w:semiHidden/>
    <w:unhideWhenUsed/>
    <w:rsid w:val="00A067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67E9"/>
    <w:rPr>
      <w:rFonts w:ascii="Segoe UI" w:hAnsi="Segoe UI" w:cs="Segoe UI"/>
      <w:sz w:val="18"/>
      <w:szCs w:val="18"/>
    </w:rPr>
  </w:style>
  <w:style w:type="paragraph" w:styleId="Nagwek">
    <w:name w:val="header"/>
    <w:basedOn w:val="Normalny"/>
    <w:link w:val="NagwekZnak"/>
    <w:uiPriority w:val="99"/>
    <w:unhideWhenUsed/>
    <w:rsid w:val="00A067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7E9"/>
  </w:style>
  <w:style w:type="paragraph" w:styleId="Stopka">
    <w:name w:val="footer"/>
    <w:basedOn w:val="Normalny"/>
    <w:link w:val="StopkaZnak"/>
    <w:uiPriority w:val="99"/>
    <w:unhideWhenUsed/>
    <w:rsid w:val="00A067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67E9"/>
  </w:style>
  <w:style w:type="character" w:styleId="Odwoaniedokomentarza">
    <w:name w:val="annotation reference"/>
    <w:basedOn w:val="Domylnaczcionkaakapitu"/>
    <w:uiPriority w:val="99"/>
    <w:semiHidden/>
    <w:unhideWhenUsed/>
    <w:rsid w:val="00AB2DB9"/>
    <w:rPr>
      <w:sz w:val="16"/>
      <w:szCs w:val="16"/>
    </w:rPr>
  </w:style>
  <w:style w:type="paragraph" w:styleId="Tekstkomentarza">
    <w:name w:val="annotation text"/>
    <w:basedOn w:val="Normalny"/>
    <w:link w:val="TekstkomentarzaZnak"/>
    <w:uiPriority w:val="99"/>
    <w:unhideWhenUsed/>
    <w:rsid w:val="00AB2DB9"/>
    <w:pPr>
      <w:spacing w:line="240" w:lineRule="auto"/>
    </w:pPr>
    <w:rPr>
      <w:sz w:val="20"/>
      <w:szCs w:val="20"/>
    </w:rPr>
  </w:style>
  <w:style w:type="character" w:customStyle="1" w:styleId="TekstkomentarzaZnak">
    <w:name w:val="Tekst komentarza Znak"/>
    <w:basedOn w:val="Domylnaczcionkaakapitu"/>
    <w:link w:val="Tekstkomentarza"/>
    <w:uiPriority w:val="99"/>
    <w:rsid w:val="00AB2DB9"/>
    <w:rPr>
      <w:sz w:val="20"/>
      <w:szCs w:val="20"/>
    </w:rPr>
  </w:style>
  <w:style w:type="paragraph" w:styleId="Tematkomentarza">
    <w:name w:val="annotation subject"/>
    <w:basedOn w:val="Tekstkomentarza"/>
    <w:next w:val="Tekstkomentarza"/>
    <w:link w:val="TematkomentarzaZnak"/>
    <w:uiPriority w:val="99"/>
    <w:semiHidden/>
    <w:unhideWhenUsed/>
    <w:rsid w:val="00AB2DB9"/>
    <w:rPr>
      <w:b/>
      <w:bCs/>
    </w:rPr>
  </w:style>
  <w:style w:type="character" w:customStyle="1" w:styleId="TematkomentarzaZnak">
    <w:name w:val="Temat komentarza Znak"/>
    <w:basedOn w:val="TekstkomentarzaZnak"/>
    <w:link w:val="Tematkomentarza"/>
    <w:uiPriority w:val="99"/>
    <w:semiHidden/>
    <w:rsid w:val="00AB2DB9"/>
    <w:rPr>
      <w:b/>
      <w:bCs/>
      <w:sz w:val="20"/>
      <w:szCs w:val="20"/>
    </w:rPr>
  </w:style>
  <w:style w:type="paragraph" w:styleId="Poprawka">
    <w:name w:val="Revision"/>
    <w:hidden/>
    <w:uiPriority w:val="99"/>
    <w:semiHidden/>
    <w:rsid w:val="00F11750"/>
    <w:pPr>
      <w:spacing w:after="0" w:line="240" w:lineRule="auto"/>
    </w:pPr>
  </w:style>
  <w:style w:type="paragraph" w:styleId="Akapitzlist">
    <w:name w:val="List Paragraph"/>
    <w:basedOn w:val="Normalny"/>
    <w:uiPriority w:val="34"/>
    <w:qFormat/>
    <w:rsid w:val="005F0BB2"/>
    <w:pPr>
      <w:ind w:left="720"/>
      <w:contextualSpacing/>
    </w:pPr>
  </w:style>
  <w:style w:type="character" w:styleId="Hipercze">
    <w:name w:val="Hyperlink"/>
    <w:uiPriority w:val="99"/>
    <w:unhideWhenUsed/>
    <w:rsid w:val="00956B12"/>
    <w:rPr>
      <w:color w:val="0000FF"/>
      <w:u w:val="single"/>
    </w:rPr>
  </w:style>
  <w:style w:type="paragraph" w:customStyle="1" w:styleId="USTustnpkodeksu">
    <w:name w:val="UST(§) – ust. (§ np. kodeksu)"/>
    <w:basedOn w:val="Normalny"/>
    <w:uiPriority w:val="12"/>
    <w:qFormat/>
    <w:rsid w:val="004F77DD"/>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ZLITwPKTzmlitwpktartykuempunktem">
    <w:name w:val="Z/LIT_w_PKT – zm. lit. w pkt artykułem (punktem)"/>
    <w:basedOn w:val="Normalny"/>
    <w:uiPriority w:val="32"/>
    <w:qFormat/>
    <w:rsid w:val="005D709C"/>
    <w:pPr>
      <w:spacing w:after="0" w:line="360" w:lineRule="auto"/>
      <w:ind w:left="1497" w:hanging="476"/>
      <w:jc w:val="both"/>
    </w:pPr>
    <w:rPr>
      <w:rFonts w:ascii="Times" w:eastAsiaTheme="minorEastAsia" w:hAnsi="Times" w:cs="Arial"/>
      <w:bCs/>
      <w:sz w:val="24"/>
      <w:szCs w:val="20"/>
      <w:lang w:eastAsia="pl-PL"/>
    </w:rPr>
  </w:style>
  <w:style w:type="paragraph" w:customStyle="1" w:styleId="ZPKTzmpktartykuempunktem">
    <w:name w:val="Z/PKT – zm. pkt artykułem (punktem)"/>
    <w:basedOn w:val="Normalny"/>
    <w:uiPriority w:val="31"/>
    <w:qFormat/>
    <w:rsid w:val="005D709C"/>
    <w:pPr>
      <w:spacing w:after="0" w:line="360" w:lineRule="auto"/>
      <w:ind w:left="102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5D709C"/>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styleId="Nierozpoznanawzmianka">
    <w:name w:val="Unresolved Mention"/>
    <w:basedOn w:val="Domylnaczcionkaakapitu"/>
    <w:uiPriority w:val="99"/>
    <w:semiHidden/>
    <w:unhideWhenUsed/>
    <w:rsid w:val="003270AD"/>
    <w:rPr>
      <w:color w:val="605E5C"/>
      <w:shd w:val="clear" w:color="auto" w:fill="E1DFDD"/>
    </w:rPr>
  </w:style>
  <w:style w:type="paragraph" w:customStyle="1" w:styleId="ODNONIKtreodnonika">
    <w:name w:val="ODNOŚNIK – treść odnośnika"/>
    <w:uiPriority w:val="19"/>
    <w:qFormat/>
    <w:rsid w:val="005156FA"/>
    <w:pPr>
      <w:spacing w:after="0" w:line="240" w:lineRule="auto"/>
      <w:ind w:left="284" w:hanging="284"/>
      <w:jc w:val="both"/>
    </w:pPr>
    <w:rPr>
      <w:rFonts w:ascii="Times New Roman" w:eastAsiaTheme="minorEastAsia" w:hAnsi="Times New Roman"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8934">
      <w:bodyDiv w:val="1"/>
      <w:marLeft w:val="0"/>
      <w:marRight w:val="0"/>
      <w:marTop w:val="0"/>
      <w:marBottom w:val="0"/>
      <w:divBdr>
        <w:top w:val="none" w:sz="0" w:space="0" w:color="auto"/>
        <w:left w:val="none" w:sz="0" w:space="0" w:color="auto"/>
        <w:bottom w:val="none" w:sz="0" w:space="0" w:color="auto"/>
        <w:right w:val="none" w:sz="0" w:space="0" w:color="auto"/>
      </w:divBdr>
    </w:div>
    <w:div w:id="319622673">
      <w:bodyDiv w:val="1"/>
      <w:marLeft w:val="0"/>
      <w:marRight w:val="0"/>
      <w:marTop w:val="0"/>
      <w:marBottom w:val="0"/>
      <w:divBdr>
        <w:top w:val="none" w:sz="0" w:space="0" w:color="auto"/>
        <w:left w:val="none" w:sz="0" w:space="0" w:color="auto"/>
        <w:bottom w:val="none" w:sz="0" w:space="0" w:color="auto"/>
        <w:right w:val="none" w:sz="0" w:space="0" w:color="auto"/>
      </w:divBdr>
    </w:div>
    <w:div w:id="404644360">
      <w:bodyDiv w:val="1"/>
      <w:marLeft w:val="0"/>
      <w:marRight w:val="0"/>
      <w:marTop w:val="0"/>
      <w:marBottom w:val="0"/>
      <w:divBdr>
        <w:top w:val="none" w:sz="0" w:space="0" w:color="auto"/>
        <w:left w:val="none" w:sz="0" w:space="0" w:color="auto"/>
        <w:bottom w:val="none" w:sz="0" w:space="0" w:color="auto"/>
        <w:right w:val="none" w:sz="0" w:space="0" w:color="auto"/>
      </w:divBdr>
    </w:div>
    <w:div w:id="529999371">
      <w:bodyDiv w:val="1"/>
      <w:marLeft w:val="0"/>
      <w:marRight w:val="0"/>
      <w:marTop w:val="0"/>
      <w:marBottom w:val="0"/>
      <w:divBdr>
        <w:top w:val="none" w:sz="0" w:space="0" w:color="auto"/>
        <w:left w:val="none" w:sz="0" w:space="0" w:color="auto"/>
        <w:bottom w:val="none" w:sz="0" w:space="0" w:color="auto"/>
        <w:right w:val="none" w:sz="0" w:space="0" w:color="auto"/>
      </w:divBdr>
    </w:div>
    <w:div w:id="811295339">
      <w:bodyDiv w:val="1"/>
      <w:marLeft w:val="0"/>
      <w:marRight w:val="0"/>
      <w:marTop w:val="0"/>
      <w:marBottom w:val="0"/>
      <w:divBdr>
        <w:top w:val="none" w:sz="0" w:space="0" w:color="auto"/>
        <w:left w:val="none" w:sz="0" w:space="0" w:color="auto"/>
        <w:bottom w:val="none" w:sz="0" w:space="0" w:color="auto"/>
        <w:right w:val="none" w:sz="0" w:space="0" w:color="auto"/>
      </w:divBdr>
    </w:div>
    <w:div w:id="1093627752">
      <w:bodyDiv w:val="1"/>
      <w:marLeft w:val="0"/>
      <w:marRight w:val="0"/>
      <w:marTop w:val="0"/>
      <w:marBottom w:val="0"/>
      <w:divBdr>
        <w:top w:val="none" w:sz="0" w:space="0" w:color="auto"/>
        <w:left w:val="none" w:sz="0" w:space="0" w:color="auto"/>
        <w:bottom w:val="none" w:sz="0" w:space="0" w:color="auto"/>
        <w:right w:val="none" w:sz="0" w:space="0" w:color="auto"/>
      </w:divBdr>
    </w:div>
    <w:div w:id="1132284583">
      <w:bodyDiv w:val="1"/>
      <w:marLeft w:val="0"/>
      <w:marRight w:val="0"/>
      <w:marTop w:val="0"/>
      <w:marBottom w:val="0"/>
      <w:divBdr>
        <w:top w:val="none" w:sz="0" w:space="0" w:color="auto"/>
        <w:left w:val="none" w:sz="0" w:space="0" w:color="auto"/>
        <w:bottom w:val="none" w:sz="0" w:space="0" w:color="auto"/>
        <w:right w:val="none" w:sz="0" w:space="0" w:color="auto"/>
      </w:divBdr>
    </w:div>
    <w:div w:id="1149395878">
      <w:bodyDiv w:val="1"/>
      <w:marLeft w:val="0"/>
      <w:marRight w:val="0"/>
      <w:marTop w:val="0"/>
      <w:marBottom w:val="0"/>
      <w:divBdr>
        <w:top w:val="none" w:sz="0" w:space="0" w:color="auto"/>
        <w:left w:val="none" w:sz="0" w:space="0" w:color="auto"/>
        <w:bottom w:val="none" w:sz="0" w:space="0" w:color="auto"/>
        <w:right w:val="none" w:sz="0" w:space="0" w:color="auto"/>
      </w:divBdr>
    </w:div>
    <w:div w:id="1249465563">
      <w:bodyDiv w:val="1"/>
      <w:marLeft w:val="0"/>
      <w:marRight w:val="0"/>
      <w:marTop w:val="0"/>
      <w:marBottom w:val="0"/>
      <w:divBdr>
        <w:top w:val="none" w:sz="0" w:space="0" w:color="auto"/>
        <w:left w:val="none" w:sz="0" w:space="0" w:color="auto"/>
        <w:bottom w:val="none" w:sz="0" w:space="0" w:color="auto"/>
        <w:right w:val="none" w:sz="0" w:space="0" w:color="auto"/>
      </w:divBdr>
    </w:div>
    <w:div w:id="1333877164">
      <w:bodyDiv w:val="1"/>
      <w:marLeft w:val="0"/>
      <w:marRight w:val="0"/>
      <w:marTop w:val="0"/>
      <w:marBottom w:val="0"/>
      <w:divBdr>
        <w:top w:val="none" w:sz="0" w:space="0" w:color="auto"/>
        <w:left w:val="none" w:sz="0" w:space="0" w:color="auto"/>
        <w:bottom w:val="none" w:sz="0" w:space="0" w:color="auto"/>
        <w:right w:val="none" w:sz="0" w:space="0" w:color="auto"/>
      </w:divBdr>
    </w:div>
    <w:div w:id="1601449347">
      <w:bodyDiv w:val="1"/>
      <w:marLeft w:val="0"/>
      <w:marRight w:val="0"/>
      <w:marTop w:val="0"/>
      <w:marBottom w:val="0"/>
      <w:divBdr>
        <w:top w:val="none" w:sz="0" w:space="0" w:color="auto"/>
        <w:left w:val="none" w:sz="0" w:space="0" w:color="auto"/>
        <w:bottom w:val="none" w:sz="0" w:space="0" w:color="auto"/>
        <w:right w:val="none" w:sz="0" w:space="0" w:color="auto"/>
      </w:divBdr>
    </w:div>
    <w:div w:id="1645352187">
      <w:bodyDiv w:val="1"/>
      <w:marLeft w:val="0"/>
      <w:marRight w:val="0"/>
      <w:marTop w:val="0"/>
      <w:marBottom w:val="0"/>
      <w:divBdr>
        <w:top w:val="none" w:sz="0" w:space="0" w:color="auto"/>
        <w:left w:val="none" w:sz="0" w:space="0" w:color="auto"/>
        <w:bottom w:val="none" w:sz="0" w:space="0" w:color="auto"/>
        <w:right w:val="none" w:sz="0" w:space="0" w:color="auto"/>
      </w:divBdr>
    </w:div>
    <w:div w:id="1777821665">
      <w:bodyDiv w:val="1"/>
      <w:marLeft w:val="0"/>
      <w:marRight w:val="0"/>
      <w:marTop w:val="0"/>
      <w:marBottom w:val="0"/>
      <w:divBdr>
        <w:top w:val="none" w:sz="0" w:space="0" w:color="auto"/>
        <w:left w:val="none" w:sz="0" w:space="0" w:color="auto"/>
        <w:bottom w:val="none" w:sz="0" w:space="0" w:color="auto"/>
        <w:right w:val="none" w:sz="0" w:space="0" w:color="auto"/>
      </w:divBdr>
    </w:div>
    <w:div w:id="1791165954">
      <w:bodyDiv w:val="1"/>
      <w:marLeft w:val="0"/>
      <w:marRight w:val="0"/>
      <w:marTop w:val="0"/>
      <w:marBottom w:val="0"/>
      <w:divBdr>
        <w:top w:val="none" w:sz="0" w:space="0" w:color="auto"/>
        <w:left w:val="none" w:sz="0" w:space="0" w:color="auto"/>
        <w:bottom w:val="none" w:sz="0" w:space="0" w:color="auto"/>
        <w:right w:val="none" w:sz="0" w:space="0" w:color="auto"/>
      </w:divBdr>
    </w:div>
    <w:div w:id="1824196851">
      <w:bodyDiv w:val="1"/>
      <w:marLeft w:val="0"/>
      <w:marRight w:val="0"/>
      <w:marTop w:val="0"/>
      <w:marBottom w:val="0"/>
      <w:divBdr>
        <w:top w:val="none" w:sz="0" w:space="0" w:color="auto"/>
        <w:left w:val="none" w:sz="0" w:space="0" w:color="auto"/>
        <w:bottom w:val="none" w:sz="0" w:space="0" w:color="auto"/>
        <w:right w:val="none" w:sz="0" w:space="0" w:color="auto"/>
      </w:divBdr>
    </w:div>
    <w:div w:id="20853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kmjygq2daltqmfyc4njugy3timzwge&amp;refSource=hy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gnrug4ytcltqmfyc4nbyhazdoobygq&amp;refSource=hy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cnrrha3tmltqmfyc4nbqgq4tmmjsgq&amp;refSource=hyp"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mjygq2daltqmfyc4njugy3timzzga&amp;refSource=hy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gk.stat.gov.pl/Ceny_towarow_i_uslug_konsumpcyjnych.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4826-250F-4DF8-A465-6750611F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5734</Words>
  <Characters>34407</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Kontkiewicz Piotr</dc:creator>
  <cp:keywords/>
  <dc:description/>
  <cp:lastModifiedBy>Ziuzia Aleksandra</cp:lastModifiedBy>
  <cp:revision>7</cp:revision>
  <cp:lastPrinted>2025-03-18T12:00:00Z</cp:lastPrinted>
  <dcterms:created xsi:type="dcterms:W3CDTF">2025-08-05T13:04:00Z</dcterms:created>
  <dcterms:modified xsi:type="dcterms:W3CDTF">2025-08-10T12:46:00Z</dcterms:modified>
</cp:coreProperties>
</file>