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90"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43"/>
        <w:gridCol w:w="7770"/>
      </w:tblGrid>
      <w:tr w:rsidR="00304558" w:rsidRPr="00A67844" w:rsidTr="000D7DB2">
        <w:trPr>
          <w:trHeight w:hRule="exact" w:val="446"/>
        </w:trPr>
        <w:tc>
          <w:tcPr>
            <w:tcW w:w="1233" w:type="pct"/>
            <w:shd w:val="clear" w:color="auto" w:fill="FFFFFF"/>
            <w:vAlign w:val="center"/>
          </w:tcPr>
          <w:p w:rsidR="00304558" w:rsidRPr="00A67844" w:rsidRDefault="00304558" w:rsidP="009948A3">
            <w:pPr>
              <w:spacing w:after="0" w:line="240" w:lineRule="auto"/>
              <w:rPr>
                <w:rFonts w:ascii="Arial" w:hAnsi="Arial" w:cs="Arial"/>
                <w:b/>
                <w:szCs w:val="20"/>
              </w:rPr>
            </w:pPr>
            <w:bookmarkStart w:id="0" w:name="_GoBack"/>
            <w:bookmarkEnd w:id="0"/>
            <w:r w:rsidRPr="00A67844">
              <w:rPr>
                <w:rStyle w:val="Teksttreci295ptBezpogrubienia"/>
                <w:rFonts w:ascii="Arial" w:hAnsi="Arial" w:cs="Arial"/>
                <w:sz w:val="20"/>
                <w:szCs w:val="20"/>
              </w:rPr>
              <w:t>Numer porządkowy</w:t>
            </w:r>
          </w:p>
        </w:tc>
        <w:tc>
          <w:tcPr>
            <w:tcW w:w="3767" w:type="pct"/>
            <w:shd w:val="clear" w:color="auto" w:fill="FFFFFF"/>
            <w:vAlign w:val="center"/>
          </w:tcPr>
          <w:p w:rsidR="00304558" w:rsidRPr="00A67844" w:rsidRDefault="00304558" w:rsidP="009948A3">
            <w:pPr>
              <w:spacing w:after="0" w:line="240" w:lineRule="auto"/>
              <w:rPr>
                <w:rFonts w:ascii="Arial" w:hAnsi="Arial" w:cs="Arial"/>
                <w:b/>
                <w:szCs w:val="20"/>
              </w:rPr>
            </w:pPr>
            <w:r w:rsidRPr="00A67844">
              <w:rPr>
                <w:rFonts w:ascii="Arial" w:hAnsi="Arial" w:cs="Arial"/>
                <w:b/>
                <w:szCs w:val="20"/>
              </w:rPr>
              <w:t>09.4169</w:t>
            </w:r>
          </w:p>
        </w:tc>
      </w:tr>
      <w:tr w:rsidR="00304558" w:rsidRPr="00A67844" w:rsidTr="000D7DB2">
        <w:trPr>
          <w:trHeight w:hRule="exact" w:val="4534"/>
        </w:trPr>
        <w:tc>
          <w:tcPr>
            <w:tcW w:w="1233" w:type="pct"/>
            <w:shd w:val="clear" w:color="auto" w:fill="FFFFFF"/>
            <w:vAlign w:val="center"/>
          </w:tcPr>
          <w:p w:rsidR="00304558" w:rsidRPr="001F624C" w:rsidRDefault="00304558" w:rsidP="009948A3">
            <w:pPr>
              <w:spacing w:after="0" w:line="240" w:lineRule="auto"/>
              <w:rPr>
                <w:rFonts w:ascii="Arial" w:hAnsi="Arial" w:cs="Arial"/>
                <w:b/>
                <w:szCs w:val="20"/>
              </w:rPr>
            </w:pPr>
            <w:r w:rsidRPr="001F624C">
              <w:rPr>
                <w:rStyle w:val="Teksttreci295ptBezpogrubienia"/>
                <w:rFonts w:ascii="Arial" w:hAnsi="Arial" w:cs="Arial"/>
                <w:b w:val="0"/>
                <w:sz w:val="20"/>
                <w:szCs w:val="20"/>
              </w:rPr>
              <w:t xml:space="preserve">Umowa </w:t>
            </w:r>
            <w:r w:rsidRPr="001F624C">
              <w:rPr>
                <w:rFonts w:ascii="Arial" w:hAnsi="Arial" w:cs="Arial"/>
                <w:szCs w:val="20"/>
              </w:rPr>
              <w:t>międzynarodowa lub inny akt</w:t>
            </w:r>
          </w:p>
        </w:tc>
        <w:tc>
          <w:tcPr>
            <w:tcW w:w="3767" w:type="pct"/>
            <w:shd w:val="clear" w:color="auto" w:fill="FFFFFF"/>
            <w:vAlign w:val="center"/>
          </w:tcPr>
          <w:p w:rsidR="000D7DB2" w:rsidRPr="000D7DB2" w:rsidRDefault="000D7DB2" w:rsidP="000D7DB2">
            <w:pPr>
              <w:spacing w:after="0" w:line="240" w:lineRule="auto"/>
              <w:jc w:val="both"/>
              <w:rPr>
                <w:rStyle w:val="Teksttreci295ptBezpogrubienia"/>
                <w:rFonts w:ascii="Arial" w:hAnsi="Arial" w:cs="Arial"/>
                <w:b w:val="0"/>
                <w:sz w:val="20"/>
                <w:szCs w:val="20"/>
              </w:rPr>
            </w:pPr>
            <w:r w:rsidRPr="000D7DB2">
              <w:rPr>
                <w:rFonts w:ascii="Arial" w:hAnsi="Arial" w:cs="Arial"/>
                <w:b/>
                <w:szCs w:val="20"/>
              </w:rPr>
              <w:t xml:space="preserve">Decyzja Rady 2006/333/WE </w:t>
            </w:r>
            <w:r w:rsidRPr="000D7DB2">
              <w:rPr>
                <w:rStyle w:val="Teksttreci295ptBezpogrubienia"/>
                <w:rFonts w:ascii="Arial" w:hAnsi="Arial" w:cs="Arial"/>
                <w:b w:val="0"/>
                <w:sz w:val="20"/>
                <w:szCs w:val="20"/>
              </w:rPr>
              <w:t>z dnia 20 marca 2006 r. w sprawie zawarcia Porozumienia w formie wymiany listów pomiędzy Wspólnotą Europejską a Stanami Zjednoczonymi Ameryki zgodnie z art. XXIV: 6 i art. XXVIII Układu ogólnego w sprawie taryf celnych i handlu (GATT) 1994 dotyczącego zmiany koncesji na listach koncesyjnych Republiki Czeskiej, Republiki Estońskiej, Republiki Cypryjskiej, Republiki Łotewskiej, Republiki Litewskiej, Republiki Węgierskiej, Republiki Malty, Rzeczypospolitej Polskiej, Republiki Słowenii i Republiki Słowackiej w trakcie ich przystąpienia do Unii Europejskiej</w:t>
            </w:r>
            <w:r w:rsidR="00910CB0">
              <w:rPr>
                <w:rStyle w:val="Teksttreci295ptBezpogrubienia"/>
                <w:rFonts w:ascii="Arial" w:hAnsi="Arial" w:cs="Arial"/>
                <w:b w:val="0"/>
                <w:sz w:val="20"/>
                <w:szCs w:val="20"/>
              </w:rPr>
              <w:t>.</w:t>
            </w:r>
          </w:p>
          <w:p w:rsidR="001F624C" w:rsidRDefault="001F624C" w:rsidP="001F624C">
            <w:pPr>
              <w:spacing w:after="0" w:line="240" w:lineRule="auto"/>
              <w:jc w:val="both"/>
              <w:rPr>
                <w:rFonts w:ascii="Arial" w:hAnsi="Arial" w:cs="Arial"/>
                <w:szCs w:val="20"/>
              </w:rPr>
            </w:pPr>
          </w:p>
          <w:p w:rsidR="001F624C" w:rsidRPr="00DC5949" w:rsidRDefault="001F624C" w:rsidP="001F624C">
            <w:pPr>
              <w:spacing w:after="0" w:line="240" w:lineRule="auto"/>
              <w:rPr>
                <w:rStyle w:val="Hipercze"/>
                <w:rFonts w:ascii="Arial" w:hAnsi="Arial" w:cs="Arial"/>
                <w:color w:val="000000" w:themeColor="text1"/>
                <w:szCs w:val="20"/>
              </w:rPr>
            </w:pPr>
            <w:r w:rsidRPr="000D7DB2">
              <w:rPr>
                <w:rFonts w:ascii="Arial" w:hAnsi="Arial" w:cs="Arial"/>
                <w:b/>
                <w:szCs w:val="20"/>
              </w:rPr>
              <w:t>Rozporządzenie Delegowane Komisji (UE) 2020/760</w:t>
            </w:r>
            <w:r w:rsidRPr="00DC5949">
              <w:rPr>
                <w:rFonts w:ascii="Arial" w:hAnsi="Arial" w:cs="Arial"/>
                <w:szCs w:val="20"/>
              </w:rPr>
              <w:t xml:space="preserve"> z dnia 17 grudnia 2019 r. uzupełniające rozporządzenie Parlamentu Europejskiego i Rady (UE) nr 1308/2013 w odniesieniu do zasad administrowania kontyngentami taryfowymi na przywóz i wywóz podlegającymi systemowi pozwoleń oraz uzupełniające rozporządzenie Parlamentu Europejskiego i Rady (UE) nr 1306/2013  w odniesieniu do wnoszenia zabezpieczeń w ramach administrowania kontyngentami taryfowymi.</w:t>
            </w:r>
          </w:p>
          <w:p w:rsidR="001F624C" w:rsidRPr="00DC5949" w:rsidRDefault="001F624C" w:rsidP="001F624C">
            <w:pPr>
              <w:spacing w:after="0" w:line="240" w:lineRule="auto"/>
              <w:rPr>
                <w:rFonts w:ascii="Arial" w:hAnsi="Arial" w:cs="Arial"/>
                <w:szCs w:val="20"/>
              </w:rPr>
            </w:pPr>
          </w:p>
          <w:p w:rsidR="001F624C" w:rsidRPr="001F624C" w:rsidRDefault="001F624C" w:rsidP="009948A3">
            <w:pPr>
              <w:spacing w:after="0" w:line="240" w:lineRule="auto"/>
              <w:rPr>
                <w:rFonts w:ascii="Arial" w:hAnsi="Arial" w:cs="Arial"/>
                <w:color w:val="000000" w:themeColor="text1"/>
                <w:szCs w:val="20"/>
              </w:rPr>
            </w:pPr>
            <w:r w:rsidRPr="000D7DB2">
              <w:rPr>
                <w:rFonts w:ascii="Arial" w:hAnsi="Arial" w:cs="Arial"/>
                <w:b/>
                <w:szCs w:val="20"/>
              </w:rPr>
              <w:t>Rozporządzenie Wykonawcze Komisji (UE) 2020/761</w:t>
            </w:r>
            <w:r w:rsidRPr="00DC5949">
              <w:rPr>
                <w:rFonts w:ascii="Arial" w:hAnsi="Arial" w:cs="Arial"/>
                <w:szCs w:val="20"/>
              </w:rPr>
              <w:t xml:space="preserve"> z dnia 17 grudnia 2019 r. ustanawiające zasady stosowania rozporządzeń Parlamentu Europejskiego i Rady (WE) nr 1306/2013, (UE) nr 1308/2013 i (UE) nr 510/2014 w odniesieniu do systemu</w:t>
            </w:r>
            <w:r w:rsidRPr="00DC5949">
              <w:rPr>
                <w:rStyle w:val="Hipercze"/>
                <w:rFonts w:ascii="Arial" w:hAnsi="Arial" w:cs="Arial"/>
                <w:szCs w:val="20"/>
              </w:rPr>
              <w:t xml:space="preserve"> </w:t>
            </w:r>
            <w:r w:rsidRPr="001F624C">
              <w:rPr>
                <w:rStyle w:val="Hipercze"/>
                <w:rFonts w:ascii="Arial" w:hAnsi="Arial" w:cs="Arial"/>
                <w:color w:val="000000" w:themeColor="text1"/>
                <w:szCs w:val="20"/>
                <w:u w:val="none"/>
              </w:rPr>
              <w:t>administrowania kontyngentami taryfowymi przy wykorzystaniu pozwoleń.</w:t>
            </w:r>
          </w:p>
        </w:tc>
      </w:tr>
      <w:tr w:rsidR="00304558" w:rsidRPr="00A67844" w:rsidTr="000D7DB2">
        <w:trPr>
          <w:trHeight w:hRule="exact" w:val="839"/>
        </w:trPr>
        <w:tc>
          <w:tcPr>
            <w:tcW w:w="1233" w:type="pct"/>
            <w:shd w:val="clear" w:color="auto" w:fill="FFFFFF"/>
            <w:vAlign w:val="center"/>
          </w:tcPr>
          <w:p w:rsidR="00304558" w:rsidRPr="001F624C" w:rsidRDefault="00304558" w:rsidP="009948A3">
            <w:pPr>
              <w:spacing w:after="0" w:line="240" w:lineRule="auto"/>
              <w:rPr>
                <w:rFonts w:ascii="Arial" w:hAnsi="Arial" w:cs="Arial"/>
                <w:b/>
                <w:szCs w:val="20"/>
              </w:rPr>
            </w:pPr>
            <w:r w:rsidRPr="001F624C">
              <w:rPr>
                <w:rFonts w:ascii="Arial" w:hAnsi="Arial" w:cs="Arial"/>
                <w:b/>
                <w:szCs w:val="20"/>
              </w:rPr>
              <w:t>Okres obowiązywania kontyngentu taryfowego</w:t>
            </w:r>
          </w:p>
        </w:tc>
        <w:tc>
          <w:tcPr>
            <w:tcW w:w="3767" w:type="pct"/>
            <w:shd w:val="clear" w:color="auto" w:fill="FFFFFF"/>
            <w:vAlign w:val="center"/>
          </w:tcPr>
          <w:p w:rsidR="00304558" w:rsidRPr="001F624C" w:rsidRDefault="00304558" w:rsidP="009948A3">
            <w:pPr>
              <w:spacing w:after="0" w:line="240" w:lineRule="auto"/>
              <w:rPr>
                <w:rFonts w:ascii="Arial" w:hAnsi="Arial" w:cs="Arial"/>
                <w:b/>
                <w:szCs w:val="20"/>
              </w:rPr>
            </w:pPr>
            <w:r w:rsidRPr="001F624C">
              <w:rPr>
                <w:rStyle w:val="Teksttreci295ptBezpogrubienia"/>
                <w:rFonts w:ascii="Arial" w:hAnsi="Arial" w:cs="Arial"/>
                <w:b w:val="0"/>
                <w:sz w:val="20"/>
                <w:szCs w:val="20"/>
              </w:rPr>
              <w:t>Od 1 lipca do 30 czerwca</w:t>
            </w:r>
          </w:p>
        </w:tc>
      </w:tr>
      <w:tr w:rsidR="00304558" w:rsidRPr="00A67844" w:rsidTr="000D7DB2">
        <w:trPr>
          <w:trHeight w:hRule="exact" w:val="999"/>
        </w:trPr>
        <w:tc>
          <w:tcPr>
            <w:tcW w:w="1233" w:type="pct"/>
            <w:shd w:val="clear" w:color="auto" w:fill="FFFFFF"/>
            <w:vAlign w:val="center"/>
          </w:tcPr>
          <w:p w:rsidR="00304558" w:rsidRPr="001F624C" w:rsidRDefault="00304558" w:rsidP="009948A3">
            <w:pPr>
              <w:spacing w:after="0" w:line="240" w:lineRule="auto"/>
              <w:rPr>
                <w:rFonts w:ascii="Arial" w:hAnsi="Arial" w:cs="Arial"/>
                <w:b/>
                <w:szCs w:val="20"/>
              </w:rPr>
            </w:pPr>
            <w:r w:rsidRPr="001F624C">
              <w:rPr>
                <w:rFonts w:ascii="Arial" w:hAnsi="Arial" w:cs="Arial"/>
                <w:b/>
                <w:szCs w:val="20"/>
              </w:rPr>
              <w:t>Podokresy obowiązywania kontyngentu taryfowego</w:t>
            </w:r>
          </w:p>
        </w:tc>
        <w:tc>
          <w:tcPr>
            <w:tcW w:w="3767" w:type="pct"/>
            <w:shd w:val="clear" w:color="auto" w:fill="FFFFFF"/>
            <w:vAlign w:val="center"/>
          </w:tcPr>
          <w:p w:rsidR="00304558" w:rsidRPr="001F624C" w:rsidRDefault="00304558" w:rsidP="009948A3">
            <w:pPr>
              <w:spacing w:after="0" w:line="240" w:lineRule="auto"/>
              <w:rPr>
                <w:rFonts w:ascii="Arial" w:hAnsi="Arial" w:cs="Arial"/>
                <w:b/>
                <w:szCs w:val="20"/>
              </w:rPr>
            </w:pPr>
            <w:r w:rsidRPr="001F624C">
              <w:rPr>
                <w:rStyle w:val="Teksttreci295ptBezpogrubienia"/>
                <w:rFonts w:ascii="Arial" w:hAnsi="Arial" w:cs="Arial"/>
                <w:b w:val="0"/>
                <w:sz w:val="20"/>
                <w:szCs w:val="20"/>
              </w:rPr>
              <w:t>Od 1 lipca do 30 września</w:t>
            </w:r>
            <w:r w:rsidRPr="001F624C">
              <w:rPr>
                <w:rStyle w:val="Teksttreci295ptBezpogrubienia"/>
                <w:rFonts w:ascii="Arial" w:hAnsi="Arial" w:cs="Arial"/>
                <w:b w:val="0"/>
                <w:sz w:val="20"/>
                <w:szCs w:val="20"/>
              </w:rPr>
              <w:br/>
              <w:t>Od 1 października do 31 grudnia</w:t>
            </w:r>
            <w:r w:rsidRPr="001F624C">
              <w:rPr>
                <w:rStyle w:val="Teksttreci295ptBezpogrubienia"/>
                <w:rFonts w:ascii="Arial" w:hAnsi="Arial" w:cs="Arial"/>
                <w:b w:val="0"/>
                <w:sz w:val="20"/>
                <w:szCs w:val="20"/>
              </w:rPr>
              <w:br/>
              <w:t>Od 1 stycznia do 31 marca</w:t>
            </w:r>
            <w:r w:rsidRPr="001F624C">
              <w:rPr>
                <w:rStyle w:val="Teksttreci295ptBezpogrubienia"/>
                <w:rFonts w:ascii="Arial" w:hAnsi="Arial" w:cs="Arial"/>
                <w:b w:val="0"/>
                <w:sz w:val="20"/>
                <w:szCs w:val="20"/>
              </w:rPr>
              <w:br/>
              <w:t>Od 1 kwietnia do 30 czerwca</w:t>
            </w:r>
          </w:p>
        </w:tc>
      </w:tr>
      <w:tr w:rsidR="00304558" w:rsidRPr="00A67844" w:rsidTr="00A5790E">
        <w:trPr>
          <w:trHeight w:hRule="exact" w:val="4822"/>
        </w:trPr>
        <w:tc>
          <w:tcPr>
            <w:tcW w:w="1233" w:type="pct"/>
            <w:shd w:val="clear" w:color="auto" w:fill="FFFFFF"/>
            <w:vAlign w:val="center"/>
          </w:tcPr>
          <w:p w:rsidR="00304558" w:rsidRPr="001F624C" w:rsidRDefault="00304558" w:rsidP="009948A3">
            <w:pPr>
              <w:spacing w:after="0" w:line="240" w:lineRule="auto"/>
              <w:rPr>
                <w:rFonts w:ascii="Arial" w:hAnsi="Arial" w:cs="Arial"/>
                <w:szCs w:val="20"/>
              </w:rPr>
            </w:pPr>
            <w:r w:rsidRPr="001F624C">
              <w:rPr>
                <w:rFonts w:ascii="Arial" w:hAnsi="Arial" w:cs="Arial"/>
                <w:szCs w:val="20"/>
              </w:rPr>
              <w:t>Wniosek o pozwolenie</w:t>
            </w:r>
          </w:p>
        </w:tc>
        <w:tc>
          <w:tcPr>
            <w:tcW w:w="3767" w:type="pct"/>
            <w:shd w:val="clear" w:color="auto" w:fill="FFFFFF"/>
            <w:vAlign w:val="center"/>
          </w:tcPr>
          <w:p w:rsidR="000D7DB2" w:rsidRPr="00DC5949" w:rsidRDefault="000D7DB2" w:rsidP="000D7DB2">
            <w:pPr>
              <w:spacing w:before="100" w:beforeAutospacing="1" w:after="100" w:afterAutospacing="1" w:line="240" w:lineRule="auto"/>
              <w:contextualSpacing/>
              <w:rPr>
                <w:rFonts w:ascii="Arial" w:hAnsi="Arial" w:cs="Arial"/>
                <w:szCs w:val="20"/>
              </w:rPr>
            </w:pPr>
            <w:r w:rsidRPr="00DC5949">
              <w:rPr>
                <w:rFonts w:ascii="Arial" w:hAnsi="Arial" w:cs="Arial"/>
                <w:szCs w:val="20"/>
              </w:rPr>
              <w:t>Wnioski składa się w ciągu pierwszych siedmiu dni kalendarzowych miesiąca poprzedzającego początek okresu obowiązywania kontyngentu taryfowego oraz w ciągu pierwszych siedmiu dni kalendarzowych każdego miesiąca w trakcie okresu obowiązywania kontyngentu taryfowego, z wyjątkiem grudnia, w którym to miesiącu nie składa się żadnych wniosków.</w:t>
            </w:r>
          </w:p>
          <w:p w:rsidR="000D7DB2" w:rsidRPr="00DC5949" w:rsidRDefault="000D7DB2" w:rsidP="000D7DB2">
            <w:pPr>
              <w:spacing w:after="0" w:line="240" w:lineRule="auto"/>
              <w:contextualSpacing/>
              <w:rPr>
                <w:rFonts w:ascii="Arial" w:hAnsi="Arial" w:cs="Arial"/>
                <w:szCs w:val="20"/>
              </w:rPr>
            </w:pPr>
            <w:r w:rsidRPr="00DC5949">
              <w:rPr>
                <w:rFonts w:ascii="Arial" w:hAnsi="Arial" w:cs="Arial"/>
                <w:szCs w:val="20"/>
              </w:rPr>
              <w:t xml:space="preserve">Wnioski o pozwolenia, których ważność rozpoczyna się z dniem 1 stycznia, składa się między 23 i 30 listopada roku poprzedzającego. Można złożyć tylko jeden dopuszczalny wniosek w każdym miesiącu. </w:t>
            </w:r>
          </w:p>
          <w:p w:rsidR="000D7DB2" w:rsidRPr="00DC5949" w:rsidRDefault="000D7DB2" w:rsidP="000D7DB2">
            <w:pPr>
              <w:spacing w:before="100" w:beforeAutospacing="1" w:after="100" w:afterAutospacing="1" w:line="240" w:lineRule="auto"/>
              <w:contextualSpacing/>
              <w:rPr>
                <w:rFonts w:ascii="Arial" w:hAnsi="Arial" w:cs="Arial"/>
                <w:szCs w:val="20"/>
              </w:rPr>
            </w:pPr>
            <w:r w:rsidRPr="00DC5949">
              <w:rPr>
                <w:rFonts w:ascii="Arial" w:hAnsi="Arial" w:cs="Arial"/>
                <w:szCs w:val="20"/>
              </w:rPr>
              <w:t>W listopadzie podmioty mogą składać dwa wnioski na każdy kontyngent taryfowy: jeden wniosek o pozwolenie ważny od grudnia i jeden wniosek o pozwolenie ważny od stycznia.</w:t>
            </w:r>
          </w:p>
          <w:p w:rsidR="000D7DB2" w:rsidRPr="00DC5949" w:rsidRDefault="000D7DB2" w:rsidP="000D7DB2">
            <w:pPr>
              <w:spacing w:before="100" w:beforeAutospacing="1" w:after="100" w:afterAutospacing="1" w:line="240" w:lineRule="auto"/>
              <w:contextualSpacing/>
              <w:rPr>
                <w:rFonts w:ascii="Arial" w:hAnsi="Arial" w:cs="Arial"/>
                <w:szCs w:val="20"/>
              </w:rPr>
            </w:pPr>
          </w:p>
          <w:p w:rsidR="000D7DB2" w:rsidRPr="00DC5949" w:rsidRDefault="000D7DB2" w:rsidP="000D7DB2">
            <w:pPr>
              <w:spacing w:before="100" w:beforeAutospacing="1" w:after="100" w:afterAutospacing="1" w:line="240" w:lineRule="auto"/>
              <w:contextualSpacing/>
              <w:rPr>
                <w:rFonts w:ascii="Arial" w:hAnsi="Arial" w:cs="Arial"/>
                <w:szCs w:val="20"/>
              </w:rPr>
            </w:pPr>
            <w:r w:rsidRPr="00DC5949">
              <w:rPr>
                <w:rFonts w:ascii="Arial" w:hAnsi="Arial" w:cs="Arial"/>
                <w:szCs w:val="20"/>
              </w:rPr>
              <w:t>Szczegółowe adnotacje, które należy podać w formularzu wniosku:</w:t>
            </w:r>
          </w:p>
          <w:tbl>
            <w:tblPr>
              <w:tblW w:w="5000" w:type="pct"/>
              <w:tblCellSpacing w:w="0" w:type="dxa"/>
              <w:tblCellMar>
                <w:left w:w="0" w:type="dxa"/>
                <w:right w:w="0" w:type="dxa"/>
              </w:tblCellMar>
              <w:tblLook w:val="04A0" w:firstRow="1" w:lastRow="0" w:firstColumn="1" w:lastColumn="0" w:noHBand="0" w:noVBand="1"/>
            </w:tblPr>
            <w:tblGrid>
              <w:gridCol w:w="6"/>
              <w:gridCol w:w="7744"/>
            </w:tblGrid>
            <w:tr w:rsidR="000D7DB2" w:rsidRPr="00DC5949" w:rsidTr="004C6AF3">
              <w:trPr>
                <w:tblCellSpacing w:w="0" w:type="dxa"/>
              </w:trPr>
              <w:tc>
                <w:tcPr>
                  <w:tcW w:w="0" w:type="auto"/>
                  <w:hideMark/>
                </w:tcPr>
                <w:p w:rsidR="000D7DB2" w:rsidRPr="00DC5949" w:rsidRDefault="000D7DB2" w:rsidP="004C6AF3">
                  <w:pPr>
                    <w:spacing w:before="100" w:beforeAutospacing="1" w:after="100" w:afterAutospacing="1" w:line="240" w:lineRule="auto"/>
                    <w:contextualSpacing/>
                    <w:rPr>
                      <w:rFonts w:ascii="Arial" w:hAnsi="Arial" w:cs="Arial"/>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00"/>
                    <w:gridCol w:w="6644"/>
                  </w:tblGrid>
                  <w:tr w:rsidR="000D7DB2" w:rsidRPr="00DC5949" w:rsidTr="004C6AF3">
                    <w:trPr>
                      <w:tblCellSpacing w:w="0" w:type="dxa"/>
                    </w:trPr>
                    <w:tc>
                      <w:tcPr>
                        <w:tcW w:w="0" w:type="auto"/>
                        <w:hideMark/>
                      </w:tcPr>
                      <w:p w:rsidR="000D7DB2" w:rsidRPr="00DC5949" w:rsidRDefault="000D7DB2" w:rsidP="004C6AF3">
                        <w:pPr>
                          <w:spacing w:before="100" w:beforeAutospacing="1" w:after="100" w:afterAutospacing="1" w:line="240" w:lineRule="auto"/>
                          <w:contextualSpacing/>
                          <w:rPr>
                            <w:rFonts w:ascii="Arial" w:hAnsi="Arial" w:cs="Arial"/>
                            <w:b/>
                            <w:szCs w:val="20"/>
                          </w:rPr>
                        </w:pPr>
                        <w:r w:rsidRPr="00DC5949">
                          <w:rPr>
                            <w:rFonts w:ascii="Arial" w:hAnsi="Arial" w:cs="Arial"/>
                            <w:b/>
                            <w:szCs w:val="20"/>
                          </w:rPr>
                          <w:t>pole 20: -</w:t>
                        </w:r>
                      </w:p>
                    </w:tc>
                    <w:tc>
                      <w:tcPr>
                        <w:tcW w:w="0" w:type="auto"/>
                        <w:hideMark/>
                      </w:tcPr>
                      <w:p w:rsidR="000D7DB2" w:rsidRPr="00DC5949" w:rsidRDefault="000D7DB2" w:rsidP="004C6AF3">
                        <w:pPr>
                          <w:spacing w:before="100" w:beforeAutospacing="1" w:after="100" w:afterAutospacing="1" w:line="240" w:lineRule="auto"/>
                          <w:ind w:left="-130" w:firstLine="130"/>
                          <w:contextualSpacing/>
                          <w:rPr>
                            <w:rFonts w:ascii="Arial" w:hAnsi="Arial" w:cs="Arial"/>
                            <w:szCs w:val="20"/>
                          </w:rPr>
                        </w:pPr>
                        <w:r w:rsidRPr="00DC5949">
                          <w:rPr>
                            <w:rFonts w:ascii="Arial" w:hAnsi="Arial" w:cs="Arial"/>
                            <w:szCs w:val="20"/>
                          </w:rPr>
                          <w:t>numer porządkowy przywozowego kontyngentu taryfowego;</w:t>
                        </w:r>
                      </w:p>
                    </w:tc>
                  </w:tr>
                </w:tbl>
                <w:p w:rsidR="000D7DB2" w:rsidRPr="00DC5949" w:rsidRDefault="000D7DB2" w:rsidP="004C6AF3">
                  <w:pPr>
                    <w:spacing w:line="240" w:lineRule="auto"/>
                    <w:contextualSpacing/>
                    <w:rPr>
                      <w:rFonts w:ascii="Arial" w:hAnsi="Arial" w:cs="Arial"/>
                      <w:vanish/>
                      <w:szCs w:val="20"/>
                    </w:rPr>
                  </w:pPr>
                </w:p>
                <w:tbl>
                  <w:tblPr>
                    <w:tblW w:w="5000" w:type="pct"/>
                    <w:tblCellSpacing w:w="0" w:type="dxa"/>
                    <w:tblCellMar>
                      <w:left w:w="0" w:type="dxa"/>
                      <w:right w:w="0" w:type="dxa"/>
                    </w:tblCellMar>
                    <w:tblLook w:val="04A0" w:firstRow="1" w:lastRow="0" w:firstColumn="1" w:lastColumn="0" w:noHBand="0" w:noVBand="1"/>
                  </w:tblPr>
                  <w:tblGrid>
                    <w:gridCol w:w="6"/>
                    <w:gridCol w:w="7738"/>
                  </w:tblGrid>
                  <w:tr w:rsidR="000D7DB2" w:rsidRPr="00DC5949" w:rsidTr="004C6AF3">
                    <w:trPr>
                      <w:tblCellSpacing w:w="0" w:type="dxa"/>
                    </w:trPr>
                    <w:tc>
                      <w:tcPr>
                        <w:tcW w:w="0" w:type="auto"/>
                        <w:hideMark/>
                      </w:tcPr>
                      <w:p w:rsidR="000D7DB2" w:rsidRPr="00DC5949" w:rsidRDefault="000D7DB2" w:rsidP="004C6AF3">
                        <w:pPr>
                          <w:spacing w:before="100" w:beforeAutospacing="1" w:after="100" w:afterAutospacing="1" w:line="240" w:lineRule="auto"/>
                          <w:contextualSpacing/>
                          <w:rPr>
                            <w:rFonts w:ascii="Arial" w:hAnsi="Arial" w:cs="Arial"/>
                            <w:szCs w:val="20"/>
                          </w:rPr>
                        </w:pPr>
                      </w:p>
                    </w:tc>
                    <w:tc>
                      <w:tcPr>
                        <w:tcW w:w="0" w:type="auto"/>
                        <w:hideMark/>
                      </w:tcPr>
                      <w:p w:rsidR="000D7DB2" w:rsidRPr="00DC5949" w:rsidRDefault="000D7DB2" w:rsidP="004C6AF3">
                        <w:pPr>
                          <w:spacing w:before="100" w:beforeAutospacing="1" w:after="100" w:afterAutospacing="1" w:line="240" w:lineRule="auto"/>
                          <w:contextualSpacing/>
                          <w:rPr>
                            <w:rFonts w:ascii="Arial" w:hAnsi="Arial" w:cs="Arial"/>
                            <w:szCs w:val="20"/>
                          </w:rPr>
                        </w:pPr>
                        <w:r w:rsidRPr="00DC5949">
                          <w:rPr>
                            <w:rFonts w:ascii="Arial" w:hAnsi="Arial" w:cs="Arial"/>
                            <w:szCs w:val="20"/>
                          </w:rPr>
                          <w:t xml:space="preserve">              -     stawkę celną ad valorem i specyficzną stawkę celną („stawkę celną w  </w:t>
                        </w:r>
                      </w:p>
                      <w:p w:rsidR="000D7DB2" w:rsidRPr="00DC5949" w:rsidRDefault="000D7DB2" w:rsidP="004C6AF3">
                        <w:pPr>
                          <w:spacing w:before="100" w:beforeAutospacing="1" w:after="100" w:afterAutospacing="1" w:line="240" w:lineRule="auto"/>
                          <w:contextualSpacing/>
                          <w:rPr>
                            <w:rFonts w:ascii="Arial" w:hAnsi="Arial" w:cs="Arial"/>
                            <w:szCs w:val="20"/>
                          </w:rPr>
                        </w:pPr>
                        <w:r w:rsidRPr="00DC5949">
                          <w:rPr>
                            <w:rFonts w:ascii="Arial" w:hAnsi="Arial" w:cs="Arial"/>
                            <w:szCs w:val="20"/>
                          </w:rPr>
                          <w:t xml:space="preserve">                    ramach kontyngentu”) mające zastosowanie do danego produktu;</w:t>
                        </w:r>
                      </w:p>
                    </w:tc>
                  </w:tr>
                </w:tbl>
                <w:p w:rsidR="000D7DB2" w:rsidRPr="00DC5949" w:rsidRDefault="000D7DB2" w:rsidP="004C6AF3">
                  <w:pPr>
                    <w:spacing w:line="240" w:lineRule="auto"/>
                    <w:contextualSpacing/>
                    <w:rPr>
                      <w:rFonts w:ascii="Arial" w:hAnsi="Arial" w:cs="Arial"/>
                      <w:szCs w:val="20"/>
                    </w:rPr>
                  </w:pPr>
                </w:p>
              </w:tc>
            </w:tr>
          </w:tbl>
          <w:p w:rsidR="000D7DB2" w:rsidRPr="00DC5949" w:rsidRDefault="000D7DB2" w:rsidP="000D7DB2">
            <w:pPr>
              <w:spacing w:before="100" w:beforeAutospacing="1" w:after="100" w:afterAutospacing="1"/>
              <w:rPr>
                <w:rFonts w:ascii="Arial" w:hAnsi="Arial" w:cs="Arial"/>
                <w:szCs w:val="20"/>
              </w:rPr>
            </w:pPr>
            <w:r w:rsidRPr="00DC5949">
              <w:rPr>
                <w:rFonts w:ascii="Arial" w:hAnsi="Arial" w:cs="Arial"/>
                <w:szCs w:val="20"/>
              </w:rPr>
              <w:t>Wnioski o pozwolenie, które są niekompletne lub nie spełniają kryteriów określonych w rozporządzeniach wykonawczych (UE): 2020/761, 2016/1239 oraz w rozporządzeniu delegowanym (UE) 2016/123), uznaje się za niedopuszczalne.</w:t>
            </w:r>
          </w:p>
          <w:p w:rsidR="00304558" w:rsidRPr="001F624C" w:rsidRDefault="00304558" w:rsidP="009948A3">
            <w:pPr>
              <w:spacing w:after="0" w:line="240" w:lineRule="auto"/>
              <w:rPr>
                <w:rFonts w:ascii="Arial" w:hAnsi="Arial" w:cs="Arial"/>
                <w:b/>
                <w:szCs w:val="20"/>
              </w:rPr>
            </w:pPr>
          </w:p>
        </w:tc>
      </w:tr>
      <w:tr w:rsidR="00304558" w:rsidRPr="00A67844" w:rsidTr="000D7DB2">
        <w:trPr>
          <w:trHeight w:hRule="exact" w:val="294"/>
        </w:trPr>
        <w:tc>
          <w:tcPr>
            <w:tcW w:w="1233" w:type="pct"/>
            <w:shd w:val="clear" w:color="auto" w:fill="FFFFFF"/>
            <w:vAlign w:val="center"/>
          </w:tcPr>
          <w:p w:rsidR="00304558" w:rsidRPr="001F624C" w:rsidRDefault="00304558" w:rsidP="009948A3">
            <w:pPr>
              <w:spacing w:after="0" w:line="240" w:lineRule="auto"/>
              <w:rPr>
                <w:rFonts w:ascii="Arial" w:hAnsi="Arial" w:cs="Arial"/>
                <w:szCs w:val="20"/>
              </w:rPr>
            </w:pPr>
            <w:r w:rsidRPr="001F624C">
              <w:rPr>
                <w:rFonts w:ascii="Arial" w:hAnsi="Arial" w:cs="Arial"/>
                <w:szCs w:val="20"/>
              </w:rPr>
              <w:t>Opis produktu</w:t>
            </w:r>
          </w:p>
        </w:tc>
        <w:tc>
          <w:tcPr>
            <w:tcW w:w="3767" w:type="pct"/>
            <w:shd w:val="clear" w:color="auto" w:fill="FFFFFF"/>
            <w:vAlign w:val="center"/>
          </w:tcPr>
          <w:p w:rsidR="00304558" w:rsidRPr="001F624C" w:rsidRDefault="00304558" w:rsidP="009948A3">
            <w:pPr>
              <w:spacing w:after="0" w:line="240" w:lineRule="auto"/>
              <w:rPr>
                <w:rFonts w:ascii="Arial" w:hAnsi="Arial" w:cs="Arial"/>
                <w:b/>
                <w:szCs w:val="20"/>
              </w:rPr>
            </w:pPr>
            <w:r w:rsidRPr="001F624C">
              <w:rPr>
                <w:rStyle w:val="Teksttreci295ptBezpogrubienia"/>
                <w:rFonts w:ascii="Arial" w:hAnsi="Arial" w:cs="Arial"/>
                <w:b w:val="0"/>
                <w:sz w:val="20"/>
                <w:szCs w:val="20"/>
              </w:rPr>
              <w:t>Mięso drobiowe</w:t>
            </w:r>
          </w:p>
        </w:tc>
      </w:tr>
      <w:tr w:rsidR="00304558" w:rsidRPr="00A67844" w:rsidTr="000D7DB2">
        <w:trPr>
          <w:trHeight w:hRule="exact" w:val="269"/>
        </w:trPr>
        <w:tc>
          <w:tcPr>
            <w:tcW w:w="1233" w:type="pct"/>
            <w:shd w:val="clear" w:color="auto" w:fill="FFFFFF"/>
            <w:vAlign w:val="center"/>
          </w:tcPr>
          <w:p w:rsidR="00304558" w:rsidRPr="001F624C" w:rsidRDefault="00304558" w:rsidP="009948A3">
            <w:pPr>
              <w:spacing w:after="0" w:line="240" w:lineRule="auto"/>
              <w:rPr>
                <w:rFonts w:ascii="Arial" w:hAnsi="Arial" w:cs="Arial"/>
                <w:szCs w:val="20"/>
              </w:rPr>
            </w:pPr>
            <w:r w:rsidRPr="001F624C">
              <w:rPr>
                <w:rFonts w:ascii="Arial" w:hAnsi="Arial" w:cs="Arial"/>
                <w:szCs w:val="20"/>
              </w:rPr>
              <w:t>Pochodzenie</w:t>
            </w:r>
          </w:p>
        </w:tc>
        <w:tc>
          <w:tcPr>
            <w:tcW w:w="3767" w:type="pct"/>
            <w:shd w:val="clear" w:color="auto" w:fill="FFFFFF"/>
            <w:vAlign w:val="center"/>
          </w:tcPr>
          <w:p w:rsidR="00304558" w:rsidRPr="001F624C" w:rsidRDefault="00304558" w:rsidP="009948A3">
            <w:pPr>
              <w:spacing w:after="0" w:line="240" w:lineRule="auto"/>
              <w:rPr>
                <w:rFonts w:ascii="Arial" w:hAnsi="Arial" w:cs="Arial"/>
                <w:b/>
                <w:szCs w:val="20"/>
              </w:rPr>
            </w:pPr>
            <w:r w:rsidRPr="001F624C">
              <w:rPr>
                <w:rStyle w:val="Teksttreci295ptBezpogrubienia"/>
                <w:rFonts w:ascii="Arial" w:hAnsi="Arial" w:cs="Arial"/>
                <w:b w:val="0"/>
                <w:sz w:val="20"/>
                <w:szCs w:val="20"/>
              </w:rPr>
              <w:t>Stany Zjednoczone Ameryki</w:t>
            </w:r>
          </w:p>
        </w:tc>
      </w:tr>
      <w:tr w:rsidR="00304558" w:rsidRPr="00A67844" w:rsidTr="000D7DB2">
        <w:trPr>
          <w:trHeight w:hRule="exact" w:val="528"/>
        </w:trPr>
        <w:tc>
          <w:tcPr>
            <w:tcW w:w="1233" w:type="pct"/>
            <w:shd w:val="clear" w:color="auto" w:fill="FFFFFF"/>
            <w:vAlign w:val="center"/>
          </w:tcPr>
          <w:p w:rsidR="00304558" w:rsidRPr="001F624C" w:rsidRDefault="00304558" w:rsidP="009948A3">
            <w:pPr>
              <w:spacing w:after="0" w:line="240" w:lineRule="auto"/>
              <w:rPr>
                <w:rFonts w:ascii="Arial" w:hAnsi="Arial" w:cs="Arial"/>
                <w:szCs w:val="20"/>
              </w:rPr>
            </w:pPr>
            <w:r w:rsidRPr="001F624C">
              <w:rPr>
                <w:rFonts w:ascii="Arial" w:hAnsi="Arial" w:cs="Arial"/>
                <w:szCs w:val="20"/>
              </w:rPr>
              <w:t xml:space="preserve">Dowód pochodzenia przy składaniu wniosku o pozwolenie. Jeżeli </w:t>
            </w:r>
            <w:r w:rsidRPr="001F624C">
              <w:rPr>
                <w:rStyle w:val="Teksttreci295ptBezpogrubienia"/>
                <w:rFonts w:ascii="Arial" w:eastAsiaTheme="minorHAnsi" w:hAnsi="Arial" w:cs="Arial"/>
                <w:spacing w:val="0"/>
                <w:sz w:val="20"/>
                <w:szCs w:val="20"/>
              </w:rPr>
              <w:t xml:space="preserve">„tak”, </w:t>
            </w:r>
            <w:r w:rsidRPr="001F624C">
              <w:rPr>
                <w:rFonts w:ascii="Arial" w:hAnsi="Arial" w:cs="Arial"/>
                <w:szCs w:val="20"/>
              </w:rPr>
              <w:t>organ upoważniony do jego wydania</w:t>
            </w:r>
          </w:p>
        </w:tc>
        <w:tc>
          <w:tcPr>
            <w:tcW w:w="3767" w:type="pct"/>
            <w:shd w:val="clear" w:color="auto" w:fill="FFFFFF"/>
            <w:vAlign w:val="center"/>
          </w:tcPr>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Nie</w:t>
            </w:r>
          </w:p>
        </w:tc>
      </w:tr>
      <w:tr w:rsidR="00304558" w:rsidRPr="00A67844" w:rsidTr="00767730">
        <w:trPr>
          <w:trHeight w:hRule="exact" w:val="9077"/>
        </w:trPr>
        <w:tc>
          <w:tcPr>
            <w:tcW w:w="1233" w:type="pct"/>
            <w:shd w:val="clear" w:color="auto" w:fill="FFFFFF"/>
            <w:vAlign w:val="center"/>
          </w:tcPr>
          <w:p w:rsidR="00304558" w:rsidRPr="00A67844" w:rsidRDefault="00304558" w:rsidP="009948A3">
            <w:pPr>
              <w:spacing w:after="0" w:line="240" w:lineRule="auto"/>
              <w:rPr>
                <w:rFonts w:ascii="Arial" w:hAnsi="Arial" w:cs="Arial"/>
                <w:szCs w:val="20"/>
              </w:rPr>
            </w:pPr>
            <w:r w:rsidRPr="00A67844">
              <w:rPr>
                <w:rStyle w:val="Teksttreci295ptBezpogrubienia"/>
                <w:rFonts w:ascii="Arial" w:eastAsiaTheme="minorHAnsi" w:hAnsi="Arial" w:cs="Arial"/>
                <w:spacing w:val="0"/>
                <w:sz w:val="20"/>
                <w:szCs w:val="20"/>
              </w:rPr>
              <w:lastRenderedPageBreak/>
              <w:t>Dowód pochodzenia do celów dopuszczenia do obrotu</w:t>
            </w:r>
          </w:p>
        </w:tc>
        <w:tc>
          <w:tcPr>
            <w:tcW w:w="3767" w:type="pct"/>
            <w:shd w:val="clear" w:color="auto" w:fill="FFFFFF"/>
            <w:vAlign w:val="center"/>
          </w:tcPr>
          <w:p w:rsidR="00A85CD5" w:rsidRPr="00A85CD5" w:rsidRDefault="00363374" w:rsidP="00363374">
            <w:pPr>
              <w:pStyle w:val="Teksttreci60"/>
              <w:shd w:val="clear" w:color="auto" w:fill="auto"/>
              <w:spacing w:before="0" w:line="240" w:lineRule="auto"/>
              <w:jc w:val="left"/>
              <w:rPr>
                <w:rFonts w:ascii="Arial" w:hAnsi="Arial" w:cs="Arial"/>
                <w:sz w:val="20"/>
                <w:szCs w:val="20"/>
              </w:rPr>
            </w:pPr>
            <w:r w:rsidRPr="00A67844">
              <w:rPr>
                <w:rStyle w:val="Teksttreci6Exact"/>
                <w:rFonts w:ascii="Arial" w:hAnsi="Arial" w:cs="Arial"/>
                <w:sz w:val="20"/>
                <w:szCs w:val="20"/>
              </w:rPr>
              <w:t>Tak. Zgodnie z art. 57, 58 i 59 rozporządzenia (UE) 2015/2447</w:t>
            </w:r>
          </w:p>
          <w:p w:rsidR="00A85CD5" w:rsidRPr="00A85CD5" w:rsidRDefault="006B3FF8" w:rsidP="00A85CD5">
            <w:pPr>
              <w:pStyle w:val="Normalny1"/>
              <w:rPr>
                <w:rFonts w:ascii="Arial" w:hAnsi="Arial" w:cs="Arial"/>
                <w:sz w:val="20"/>
                <w:szCs w:val="20"/>
              </w:rPr>
            </w:pPr>
            <w:r>
              <w:rPr>
                <w:rFonts w:ascii="Arial" w:hAnsi="Arial" w:cs="Arial"/>
                <w:sz w:val="20"/>
                <w:szCs w:val="20"/>
              </w:rPr>
              <w:t>1</w:t>
            </w:r>
            <w:r w:rsidR="00A85CD5" w:rsidRPr="00A85CD5">
              <w:rPr>
                <w:rFonts w:ascii="Arial" w:hAnsi="Arial" w:cs="Arial"/>
                <w:sz w:val="20"/>
                <w:szCs w:val="20"/>
              </w:rPr>
              <w:t>.   W przypadku produktów objętych specjalnymi niepreferencyjnymi ustaleniami dotyczącymi przywozu świadectwo pochodzenia jest wystawiane przez właściwe organy kraju trzeciego, z którego pochodzą te produkty lub przez wiarygodną agencję, odpowiednio upoważnioną w tym celu przez te organy (organy wydające</w:t>
            </w:r>
            <w:r w:rsidR="00512186">
              <w:rPr>
                <w:rFonts w:ascii="Arial" w:hAnsi="Arial" w:cs="Arial"/>
                <w:sz w:val="20"/>
                <w:szCs w:val="20"/>
              </w:rPr>
              <w:t>)</w:t>
            </w:r>
            <w:r w:rsidR="00A85CD5" w:rsidRPr="00A85CD5">
              <w:rPr>
                <w:rFonts w:ascii="Arial" w:hAnsi="Arial" w:cs="Arial"/>
                <w:sz w:val="20"/>
                <w:szCs w:val="20"/>
              </w:rPr>
              <w:t>.Organ wydający zachowuje kopię każdego wystawionego świadectwa.</w:t>
            </w:r>
          </w:p>
          <w:p w:rsidR="00A85CD5" w:rsidRPr="00A85CD5" w:rsidRDefault="006B3FF8" w:rsidP="00A85CD5">
            <w:pPr>
              <w:pStyle w:val="Normalny1"/>
              <w:rPr>
                <w:rFonts w:ascii="Arial" w:hAnsi="Arial" w:cs="Arial"/>
                <w:sz w:val="20"/>
                <w:szCs w:val="20"/>
              </w:rPr>
            </w:pPr>
            <w:r>
              <w:rPr>
                <w:rFonts w:ascii="Arial" w:hAnsi="Arial" w:cs="Arial"/>
                <w:sz w:val="20"/>
                <w:szCs w:val="20"/>
              </w:rPr>
              <w:t xml:space="preserve">2. </w:t>
            </w:r>
            <w:r w:rsidR="00A85CD5" w:rsidRPr="00A85CD5">
              <w:rPr>
                <w:rFonts w:ascii="Arial" w:hAnsi="Arial" w:cs="Arial"/>
                <w:sz w:val="20"/>
                <w:szCs w:val="20"/>
              </w:rPr>
              <w:t>Świadectwa pochodzenia wystawia się, zanim produkty, których one dotyczą, zostaną zgłoszone do wywozu w kraju trzecim pochodzenia.</w:t>
            </w:r>
          </w:p>
          <w:p w:rsidR="00512186" w:rsidRDefault="006B3FF8" w:rsidP="006B3FF8">
            <w:pPr>
              <w:pStyle w:val="Normalny1"/>
              <w:rPr>
                <w:rFonts w:ascii="Arial" w:hAnsi="Arial" w:cs="Arial"/>
                <w:sz w:val="20"/>
                <w:szCs w:val="20"/>
              </w:rPr>
            </w:pPr>
            <w:r>
              <w:rPr>
                <w:rFonts w:ascii="Arial" w:hAnsi="Arial" w:cs="Arial"/>
                <w:sz w:val="20"/>
                <w:szCs w:val="20"/>
              </w:rPr>
              <w:t>3</w:t>
            </w:r>
            <w:r w:rsidR="00A85CD5" w:rsidRPr="00A85CD5">
              <w:rPr>
                <w:rFonts w:ascii="Arial" w:hAnsi="Arial" w:cs="Arial"/>
                <w:sz w:val="20"/>
                <w:szCs w:val="20"/>
              </w:rPr>
              <w:t xml:space="preserve">.   Na zasadzie odstępstwa od </w:t>
            </w:r>
            <w:r>
              <w:rPr>
                <w:rFonts w:ascii="Arial" w:hAnsi="Arial" w:cs="Arial"/>
                <w:sz w:val="20"/>
                <w:szCs w:val="20"/>
              </w:rPr>
              <w:t>zapisów w p</w:t>
            </w:r>
            <w:r w:rsidR="00A47469">
              <w:rPr>
                <w:rFonts w:ascii="Arial" w:hAnsi="Arial" w:cs="Arial"/>
                <w:sz w:val="20"/>
                <w:szCs w:val="20"/>
              </w:rPr>
              <w:t>unkcie 2.</w:t>
            </w:r>
            <w:r w:rsidR="00A85CD5" w:rsidRPr="00A85CD5">
              <w:rPr>
                <w:rFonts w:ascii="Arial" w:hAnsi="Arial" w:cs="Arial"/>
                <w:sz w:val="20"/>
                <w:szCs w:val="20"/>
              </w:rPr>
              <w:t>, świadectwa pochodzenia mogą wyjątkowo zostać wystawione po wywozie produktów, do których się odnoszą, jeżeli nie zostały one wystawione przy wywozie z powodu pomyłki, nieumyślnego przeoczenia lub szczególnych okoliczności.</w:t>
            </w:r>
          </w:p>
          <w:p w:rsidR="00A47469" w:rsidRDefault="00A85CD5" w:rsidP="00A47469">
            <w:pPr>
              <w:pStyle w:val="Normalny1"/>
              <w:rPr>
                <w:rFonts w:ascii="Arial" w:hAnsi="Arial" w:cs="Arial"/>
                <w:sz w:val="20"/>
                <w:szCs w:val="20"/>
              </w:rPr>
            </w:pPr>
            <w:r w:rsidRPr="00A85CD5">
              <w:rPr>
                <w:rFonts w:ascii="Arial" w:hAnsi="Arial" w:cs="Arial"/>
                <w:sz w:val="20"/>
                <w:szCs w:val="20"/>
              </w:rPr>
              <w:t>Jeżeli specjalne niepreferencyjne ustalenia dotyczące przywozu niektórych produktów przewidują wykorzystanie świadectwa pochodzenia, o którym mowa w art. 57 niniejszego rozporządzenia, zastosowanie tych ustaleń uzależnione jest od ustanowienia procedury współpracy administracyjnej, o ile dane ustalenia nie przewidują inaczej.</w:t>
            </w:r>
          </w:p>
          <w:p w:rsidR="00A85CD5" w:rsidRPr="00A47469" w:rsidRDefault="00A85CD5" w:rsidP="00A47469">
            <w:pPr>
              <w:pStyle w:val="Normalny1"/>
              <w:rPr>
                <w:rFonts w:ascii="Arial" w:hAnsi="Arial" w:cs="Arial"/>
                <w:sz w:val="20"/>
                <w:szCs w:val="20"/>
              </w:rPr>
            </w:pPr>
            <w:r w:rsidRPr="00A47469">
              <w:rPr>
                <w:rFonts w:ascii="Arial" w:hAnsi="Arial" w:cs="Arial"/>
                <w:sz w:val="20"/>
                <w:szCs w:val="20"/>
              </w:rPr>
              <w:t>W celu ustanowienia takiej procedury współpracy administracyjnej, zainteresowane kraje trzecie przysyłają Komisji następujące informacje</w:t>
            </w:r>
            <w:r w:rsidRPr="00A85CD5">
              <w:rPr>
                <w:rFonts w:ascii="Arial" w:hAnsi="Arial" w:cs="Arial"/>
                <w:szCs w:val="20"/>
              </w:rPr>
              <w:t>:</w:t>
            </w:r>
          </w:p>
          <w:tbl>
            <w:tblPr>
              <w:tblW w:w="5000" w:type="pct"/>
              <w:tblCellSpacing w:w="0" w:type="dxa"/>
              <w:tblCellMar>
                <w:left w:w="0" w:type="dxa"/>
                <w:right w:w="0" w:type="dxa"/>
              </w:tblCellMar>
              <w:tblLook w:val="04A0" w:firstRow="1" w:lastRow="0" w:firstColumn="1" w:lastColumn="0" w:noHBand="0" w:noVBand="1"/>
            </w:tblPr>
            <w:tblGrid>
              <w:gridCol w:w="178"/>
              <w:gridCol w:w="7572"/>
            </w:tblGrid>
            <w:tr w:rsidR="00A85CD5" w:rsidRPr="00A85CD5" w:rsidTr="00A85CD5">
              <w:trPr>
                <w:tblCellSpacing w:w="0" w:type="dxa"/>
              </w:trPr>
              <w:tc>
                <w:tcPr>
                  <w:tcW w:w="0" w:type="auto"/>
                  <w:hideMark/>
                </w:tcPr>
                <w:p w:rsidR="00A85CD5" w:rsidRPr="00A85CD5" w:rsidRDefault="00A85CD5" w:rsidP="00A85CD5">
                  <w:pPr>
                    <w:spacing w:before="100" w:beforeAutospacing="1" w:after="100" w:afterAutospacing="1" w:line="240" w:lineRule="auto"/>
                    <w:rPr>
                      <w:rFonts w:ascii="Arial" w:eastAsia="Times New Roman" w:hAnsi="Arial" w:cs="Arial"/>
                      <w:szCs w:val="20"/>
                      <w:lang w:eastAsia="pl-PL"/>
                    </w:rPr>
                  </w:pPr>
                  <w:r w:rsidRPr="00A85CD5">
                    <w:rPr>
                      <w:rFonts w:ascii="Arial" w:eastAsia="Times New Roman" w:hAnsi="Arial" w:cs="Arial"/>
                      <w:szCs w:val="20"/>
                      <w:lang w:eastAsia="pl-PL"/>
                    </w:rPr>
                    <w:t>a)</w:t>
                  </w:r>
                </w:p>
              </w:tc>
              <w:tc>
                <w:tcPr>
                  <w:tcW w:w="0" w:type="auto"/>
                  <w:hideMark/>
                </w:tcPr>
                <w:p w:rsidR="00A85CD5" w:rsidRPr="00A85CD5" w:rsidRDefault="00A85CD5" w:rsidP="00A85CD5">
                  <w:pPr>
                    <w:spacing w:before="100" w:beforeAutospacing="1" w:after="100" w:afterAutospacing="1" w:line="240" w:lineRule="auto"/>
                    <w:rPr>
                      <w:rFonts w:ascii="Arial" w:eastAsia="Times New Roman" w:hAnsi="Arial" w:cs="Arial"/>
                      <w:szCs w:val="20"/>
                      <w:lang w:eastAsia="pl-PL"/>
                    </w:rPr>
                  </w:pPr>
                  <w:r w:rsidRPr="00A85CD5">
                    <w:rPr>
                      <w:rFonts w:ascii="Arial" w:eastAsia="Times New Roman" w:hAnsi="Arial" w:cs="Arial"/>
                      <w:szCs w:val="20"/>
                      <w:lang w:eastAsia="pl-PL"/>
                    </w:rPr>
                    <w:t>nazwy i adresy organów wydających oraz wzory odcisków stosowanych przez nie pieczęci,</w:t>
                  </w:r>
                </w:p>
              </w:tc>
            </w:tr>
          </w:tbl>
          <w:p w:rsidR="00A85CD5" w:rsidRPr="00A85CD5" w:rsidRDefault="00A85CD5" w:rsidP="00A85CD5">
            <w:pPr>
              <w:spacing w:after="0" w:line="240" w:lineRule="auto"/>
              <w:rPr>
                <w:rFonts w:ascii="Arial" w:eastAsia="Times New Roman" w:hAnsi="Arial" w:cs="Arial"/>
                <w:vanish/>
                <w:szCs w:val="20"/>
                <w:lang w:eastAsia="pl-PL"/>
              </w:rPr>
            </w:pPr>
          </w:p>
          <w:tbl>
            <w:tblPr>
              <w:tblW w:w="5000" w:type="pct"/>
              <w:tblCellSpacing w:w="0" w:type="dxa"/>
              <w:tblCellMar>
                <w:left w:w="0" w:type="dxa"/>
                <w:right w:w="0" w:type="dxa"/>
              </w:tblCellMar>
              <w:tblLook w:val="04A0" w:firstRow="1" w:lastRow="0" w:firstColumn="1" w:lastColumn="0" w:noHBand="0" w:noVBand="1"/>
            </w:tblPr>
            <w:tblGrid>
              <w:gridCol w:w="178"/>
              <w:gridCol w:w="7572"/>
            </w:tblGrid>
            <w:tr w:rsidR="00A85CD5" w:rsidRPr="00A85CD5" w:rsidTr="00A85CD5">
              <w:trPr>
                <w:tblCellSpacing w:w="0" w:type="dxa"/>
              </w:trPr>
              <w:tc>
                <w:tcPr>
                  <w:tcW w:w="0" w:type="auto"/>
                  <w:hideMark/>
                </w:tcPr>
                <w:p w:rsidR="00A85CD5" w:rsidRPr="00A85CD5" w:rsidRDefault="00A85CD5" w:rsidP="00A85CD5">
                  <w:pPr>
                    <w:spacing w:before="100" w:beforeAutospacing="1" w:after="100" w:afterAutospacing="1" w:line="240" w:lineRule="auto"/>
                    <w:rPr>
                      <w:rFonts w:ascii="Arial" w:eastAsia="Times New Roman" w:hAnsi="Arial" w:cs="Arial"/>
                      <w:szCs w:val="20"/>
                      <w:lang w:eastAsia="pl-PL"/>
                    </w:rPr>
                  </w:pPr>
                  <w:r w:rsidRPr="00A85CD5">
                    <w:rPr>
                      <w:rFonts w:ascii="Arial" w:eastAsia="Times New Roman" w:hAnsi="Arial" w:cs="Arial"/>
                      <w:szCs w:val="20"/>
                      <w:lang w:eastAsia="pl-PL"/>
                    </w:rPr>
                    <w:t>b)</w:t>
                  </w:r>
                </w:p>
              </w:tc>
              <w:tc>
                <w:tcPr>
                  <w:tcW w:w="0" w:type="auto"/>
                  <w:hideMark/>
                </w:tcPr>
                <w:p w:rsidR="00A85CD5" w:rsidRPr="00A85CD5" w:rsidRDefault="00A85CD5" w:rsidP="00A85CD5">
                  <w:pPr>
                    <w:spacing w:before="100" w:beforeAutospacing="1" w:after="100" w:afterAutospacing="1" w:line="240" w:lineRule="auto"/>
                    <w:rPr>
                      <w:rFonts w:ascii="Arial" w:eastAsia="Times New Roman" w:hAnsi="Arial" w:cs="Arial"/>
                      <w:szCs w:val="20"/>
                      <w:lang w:eastAsia="pl-PL"/>
                    </w:rPr>
                  </w:pPr>
                  <w:r w:rsidRPr="00A85CD5">
                    <w:rPr>
                      <w:rFonts w:ascii="Arial" w:eastAsia="Times New Roman" w:hAnsi="Arial" w:cs="Arial"/>
                      <w:szCs w:val="20"/>
                      <w:lang w:eastAsia="pl-PL"/>
                    </w:rPr>
                    <w:t>nazwy i adresy organów rządowych, do których należy kierować wnioski o weryfikację świadectw pochodzenia przewidzianą w art. 59 niniejszego rozporządzenia.</w:t>
                  </w:r>
                </w:p>
              </w:tc>
            </w:tr>
          </w:tbl>
          <w:p w:rsidR="00A85CD5" w:rsidRPr="00A85CD5" w:rsidRDefault="00A85CD5" w:rsidP="00A85CD5">
            <w:pPr>
              <w:spacing w:before="100" w:beforeAutospacing="1" w:after="100" w:afterAutospacing="1" w:line="240" w:lineRule="auto"/>
              <w:rPr>
                <w:rFonts w:ascii="Arial" w:eastAsia="Times New Roman" w:hAnsi="Arial" w:cs="Arial"/>
                <w:szCs w:val="20"/>
                <w:lang w:eastAsia="pl-PL"/>
              </w:rPr>
            </w:pPr>
            <w:r w:rsidRPr="00A85CD5">
              <w:rPr>
                <w:rFonts w:ascii="Arial" w:eastAsia="Times New Roman" w:hAnsi="Arial" w:cs="Arial"/>
                <w:szCs w:val="20"/>
                <w:lang w:eastAsia="pl-PL"/>
              </w:rPr>
              <w:t>Komisja przekazuje powyższe informacje właściwym organom państw członkowskich.</w:t>
            </w:r>
          </w:p>
          <w:p w:rsidR="00CD61C4" w:rsidRDefault="00A85CD5" w:rsidP="00CD61C4">
            <w:pPr>
              <w:spacing w:before="100" w:beforeAutospacing="1" w:after="100" w:afterAutospacing="1" w:line="240" w:lineRule="auto"/>
              <w:rPr>
                <w:rFonts w:ascii="Arial" w:eastAsia="Times New Roman" w:hAnsi="Arial" w:cs="Arial"/>
                <w:szCs w:val="20"/>
                <w:lang w:eastAsia="pl-PL"/>
              </w:rPr>
            </w:pPr>
            <w:r w:rsidRPr="00A85CD5">
              <w:rPr>
                <w:rFonts w:ascii="Arial" w:eastAsia="Times New Roman" w:hAnsi="Arial" w:cs="Arial"/>
                <w:szCs w:val="20"/>
                <w:lang w:eastAsia="pl-PL"/>
              </w:rPr>
              <w:t>Jeżeli kraj trzeci nie przesłał Komisji</w:t>
            </w:r>
            <w:r w:rsidR="00512186">
              <w:rPr>
                <w:rFonts w:ascii="Arial" w:eastAsia="Times New Roman" w:hAnsi="Arial" w:cs="Arial"/>
                <w:szCs w:val="20"/>
                <w:lang w:eastAsia="pl-PL"/>
              </w:rPr>
              <w:t xml:space="preserve"> </w:t>
            </w:r>
            <w:r w:rsidRPr="00A85CD5">
              <w:rPr>
                <w:rFonts w:ascii="Arial" w:eastAsia="Times New Roman" w:hAnsi="Arial" w:cs="Arial"/>
                <w:szCs w:val="20"/>
                <w:lang w:eastAsia="pl-PL"/>
              </w:rPr>
              <w:t xml:space="preserve"> </w:t>
            </w:r>
            <w:r w:rsidR="00512186">
              <w:rPr>
                <w:rFonts w:ascii="Arial" w:eastAsia="Times New Roman" w:hAnsi="Arial" w:cs="Arial"/>
                <w:szCs w:val="20"/>
                <w:lang w:eastAsia="pl-PL"/>
              </w:rPr>
              <w:t xml:space="preserve">ww. </w:t>
            </w:r>
            <w:r w:rsidRPr="00A85CD5">
              <w:rPr>
                <w:rFonts w:ascii="Arial" w:eastAsia="Times New Roman" w:hAnsi="Arial" w:cs="Arial"/>
                <w:szCs w:val="20"/>
                <w:lang w:eastAsia="pl-PL"/>
              </w:rPr>
              <w:t>informacji, właściwe organy Unii odmawiają korzystania ze specjalnych niepreferencyjnych ustaleń dotyczących przywozu.</w:t>
            </w:r>
          </w:p>
          <w:p w:rsidR="00A85CD5" w:rsidRPr="00CD61C4" w:rsidRDefault="00A85CD5" w:rsidP="00CD61C4">
            <w:pPr>
              <w:spacing w:before="100" w:beforeAutospacing="1" w:after="100" w:afterAutospacing="1" w:line="240" w:lineRule="auto"/>
              <w:rPr>
                <w:rFonts w:ascii="Arial" w:eastAsia="Times New Roman" w:hAnsi="Arial" w:cs="Arial"/>
                <w:szCs w:val="20"/>
                <w:lang w:eastAsia="pl-PL"/>
              </w:rPr>
            </w:pPr>
            <w:r w:rsidRPr="00A85CD5">
              <w:rPr>
                <w:rFonts w:ascii="Arial" w:hAnsi="Arial" w:cs="Arial"/>
                <w:szCs w:val="20"/>
              </w:rPr>
              <w:t>  Weryfikację świadectw pochodzenia, przeprowadza się po przyjęciu zgłoszenia celnego (późniejsza weryfikacja).</w:t>
            </w:r>
          </w:p>
          <w:p w:rsidR="00A85CD5" w:rsidRDefault="00A85CD5" w:rsidP="00A85CD5">
            <w:pPr>
              <w:pStyle w:val="Normalny1"/>
            </w:pPr>
          </w:p>
          <w:p w:rsidR="00304558" w:rsidRPr="00A67844" w:rsidRDefault="00304558" w:rsidP="009948A3">
            <w:pPr>
              <w:spacing w:after="0" w:line="240" w:lineRule="auto"/>
              <w:rPr>
                <w:rFonts w:ascii="Arial" w:eastAsia="Cambria" w:hAnsi="Arial" w:cs="Arial"/>
                <w:bCs/>
                <w:color w:val="000000"/>
                <w:spacing w:val="-10"/>
                <w:szCs w:val="20"/>
                <w:lang w:eastAsia="pl-PL" w:bidi="pl-PL"/>
              </w:rPr>
            </w:pPr>
          </w:p>
        </w:tc>
      </w:tr>
      <w:tr w:rsidR="00304558" w:rsidRPr="00A67844" w:rsidTr="000D7DB2">
        <w:trPr>
          <w:trHeight w:hRule="exact" w:val="528"/>
        </w:trPr>
        <w:tc>
          <w:tcPr>
            <w:tcW w:w="1233" w:type="pct"/>
            <w:shd w:val="clear" w:color="auto" w:fill="FFFFFF"/>
            <w:vAlign w:val="center"/>
          </w:tcPr>
          <w:p w:rsidR="00304558" w:rsidRPr="00A67844" w:rsidRDefault="00304558" w:rsidP="009948A3">
            <w:pPr>
              <w:spacing w:after="0" w:line="240" w:lineRule="auto"/>
              <w:rPr>
                <w:rFonts w:ascii="Arial" w:hAnsi="Arial" w:cs="Arial"/>
                <w:szCs w:val="20"/>
              </w:rPr>
            </w:pPr>
            <w:r w:rsidRPr="00A67844">
              <w:rPr>
                <w:rStyle w:val="Teksttreci295ptBezpogrubienia"/>
                <w:rFonts w:ascii="Arial" w:eastAsiaTheme="minorHAnsi" w:hAnsi="Arial" w:cs="Arial"/>
                <w:spacing w:val="0"/>
                <w:sz w:val="20"/>
                <w:szCs w:val="20"/>
              </w:rPr>
              <w:t>Ilość w kilogramach</w:t>
            </w:r>
          </w:p>
        </w:tc>
        <w:tc>
          <w:tcPr>
            <w:tcW w:w="3767" w:type="pct"/>
            <w:shd w:val="clear" w:color="auto" w:fill="FFFFFF"/>
            <w:vAlign w:val="center"/>
          </w:tcPr>
          <w:p w:rsidR="00304558" w:rsidRPr="00A67844" w:rsidRDefault="00304558" w:rsidP="009948A3">
            <w:pPr>
              <w:pStyle w:val="Teksttreci60"/>
              <w:shd w:val="clear" w:color="auto" w:fill="auto"/>
              <w:spacing w:before="0" w:line="240" w:lineRule="auto"/>
              <w:jc w:val="left"/>
              <w:rPr>
                <w:rFonts w:ascii="Arial" w:hAnsi="Arial" w:cs="Arial"/>
                <w:sz w:val="20"/>
                <w:szCs w:val="20"/>
              </w:rPr>
            </w:pPr>
            <w:r w:rsidRPr="00A67844">
              <w:rPr>
                <w:rStyle w:val="Teksttreci6Exact"/>
                <w:rFonts w:ascii="Arial" w:hAnsi="Arial" w:cs="Arial"/>
                <w:sz w:val="20"/>
                <w:szCs w:val="20"/>
              </w:rPr>
              <w:t>21 345 000 kg, w następującym podziale: 25 % dla każdego podokresu obowiązywania kontyngentu taryfowego</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p>
        </w:tc>
      </w:tr>
      <w:tr w:rsidR="00304558" w:rsidRPr="00A67844" w:rsidTr="000D7DB2">
        <w:trPr>
          <w:trHeight w:hRule="exact" w:val="1519"/>
        </w:trPr>
        <w:tc>
          <w:tcPr>
            <w:tcW w:w="1233" w:type="pct"/>
            <w:shd w:val="clear" w:color="auto" w:fill="FFFFFF"/>
            <w:vAlign w:val="center"/>
          </w:tcPr>
          <w:p w:rsidR="00304558" w:rsidRPr="00A67844" w:rsidRDefault="00304558" w:rsidP="009948A3">
            <w:pPr>
              <w:spacing w:after="0" w:line="240" w:lineRule="auto"/>
              <w:rPr>
                <w:rFonts w:ascii="Arial" w:hAnsi="Arial" w:cs="Arial"/>
                <w:szCs w:val="20"/>
              </w:rPr>
            </w:pPr>
            <w:r w:rsidRPr="00A67844">
              <w:rPr>
                <w:rStyle w:val="Teksttreci295ptBezpogrubienia"/>
                <w:rFonts w:ascii="Arial" w:eastAsiaTheme="minorHAnsi" w:hAnsi="Arial" w:cs="Arial"/>
                <w:spacing w:val="0"/>
                <w:sz w:val="20"/>
                <w:szCs w:val="20"/>
              </w:rPr>
              <w:t>Kody CN</w:t>
            </w:r>
          </w:p>
        </w:tc>
        <w:tc>
          <w:tcPr>
            <w:tcW w:w="3767" w:type="pct"/>
            <w:shd w:val="clear" w:color="auto" w:fill="FFFFFF"/>
            <w:vAlign w:val="center"/>
          </w:tcPr>
          <w:p w:rsidR="00304558" w:rsidRPr="00A67844" w:rsidRDefault="00304558" w:rsidP="009948A3">
            <w:pPr>
              <w:pStyle w:val="Teksttreci60"/>
              <w:shd w:val="clear" w:color="auto" w:fill="auto"/>
              <w:spacing w:before="0" w:line="240" w:lineRule="auto"/>
              <w:jc w:val="left"/>
              <w:rPr>
                <w:rFonts w:ascii="Arial" w:hAnsi="Arial" w:cs="Arial"/>
                <w:bCs/>
                <w:color w:val="000000"/>
                <w:sz w:val="20"/>
                <w:szCs w:val="20"/>
                <w:lang w:eastAsia="pl-PL" w:bidi="pl-PL"/>
              </w:rPr>
            </w:pPr>
            <w:r w:rsidRPr="00A67844">
              <w:rPr>
                <w:rStyle w:val="Teksttreci6Exact"/>
                <w:rFonts w:ascii="Arial" w:hAnsi="Arial" w:cs="Arial"/>
                <w:sz w:val="20"/>
                <w:szCs w:val="20"/>
              </w:rPr>
              <w:t>0207 11 10, 0207 11 30, 0207 11 90, 0207 12 10, 0207 12 90, 0207 13 10, 0207 13 20, 0207 13 30, 020713 40, 0207 13 50, 0207 13 60, 0207 13 70, 0207 14 10, 0207 14 20, 0207 14 30, 0207 14 40, 0207 14 50, 0207 14 60, 0207 14 70, 0207 24 10, 0207 24 90, 0207 25 10, 0207 25 90, 0207 26 10, 0207 26 20, 0207 26 30, 0207 26 40, 0207 26 50, 0207 26 60, 0207 26 70, 0207 26 80, 0207 27 10, 0207 27 20, 0207 27 30, 0207 27 40, 0207 27 50, 0207 27 60, 0207 27 70, 0207 27 80</w:t>
            </w:r>
          </w:p>
        </w:tc>
      </w:tr>
      <w:tr w:rsidR="00304558" w:rsidRPr="00A67844" w:rsidTr="000D7DB2">
        <w:trPr>
          <w:trHeight w:hRule="exact" w:val="9084"/>
        </w:trPr>
        <w:tc>
          <w:tcPr>
            <w:tcW w:w="1233" w:type="pct"/>
            <w:shd w:val="clear" w:color="auto" w:fill="FFFFFF"/>
            <w:vAlign w:val="center"/>
          </w:tcPr>
          <w:p w:rsidR="00304558" w:rsidRPr="00A67844" w:rsidRDefault="00304558" w:rsidP="009948A3">
            <w:pPr>
              <w:spacing w:after="0" w:line="240" w:lineRule="auto"/>
              <w:rPr>
                <w:rFonts w:ascii="Arial" w:hAnsi="Arial" w:cs="Arial"/>
                <w:szCs w:val="20"/>
              </w:rPr>
            </w:pPr>
            <w:r w:rsidRPr="00A67844">
              <w:rPr>
                <w:rStyle w:val="Teksttreci295ptBezpogrubienia"/>
                <w:rFonts w:ascii="Arial" w:eastAsiaTheme="minorHAnsi" w:hAnsi="Arial" w:cs="Arial"/>
                <w:spacing w:val="0"/>
                <w:sz w:val="20"/>
                <w:szCs w:val="20"/>
              </w:rPr>
              <w:lastRenderedPageBreak/>
              <w:t>Cło w ramach kontyngentu</w:t>
            </w:r>
          </w:p>
        </w:tc>
        <w:tc>
          <w:tcPr>
            <w:tcW w:w="3767" w:type="pct"/>
            <w:shd w:val="clear" w:color="auto" w:fill="FFFFFF"/>
            <w:vAlign w:val="center"/>
          </w:tcPr>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11 10: 131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11 30: 149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11 90: 162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12 10: 149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12 90: 162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13 10: 512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13 20: 179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13 30: 134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13 40: 93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13 50: 301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13 60: 231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13 70: 504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14 10: 795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14 20: 179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14 30: 134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14 40: 93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14 50: 0%</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14 60: 231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 xml:space="preserve">CN 0207 14 70: 0% </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24 10: 170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24 90: 186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25 10: 170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 xml:space="preserve">CN 0207 25 90: 186 EUR za 1000 kg </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26 10: 425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26 20: 205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26 30: 134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26 40: 93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26 50: 339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26 60: 127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26 70: 230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26 80: 415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27 10: 0%</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27 20: 0%</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27 30: 134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27 40: 93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27 50: 339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27 60: 127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27 70: 230 EUR za 1000 kg</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Dla kodu</w:t>
            </w:r>
            <w:r>
              <w:rPr>
                <w:rFonts w:ascii="Arial" w:eastAsia="Cambria" w:hAnsi="Arial" w:cs="Arial"/>
                <w:bCs/>
                <w:color w:val="000000"/>
                <w:spacing w:val="-10"/>
                <w:szCs w:val="20"/>
                <w:lang w:eastAsia="pl-PL" w:bidi="pl-PL"/>
              </w:rPr>
              <w:t xml:space="preserve"> </w:t>
            </w:r>
            <w:r w:rsidRPr="00A67844">
              <w:rPr>
                <w:rFonts w:ascii="Arial" w:eastAsia="Cambria" w:hAnsi="Arial" w:cs="Arial"/>
                <w:bCs/>
                <w:color w:val="000000"/>
                <w:spacing w:val="-10"/>
                <w:szCs w:val="20"/>
                <w:lang w:eastAsia="pl-PL" w:bidi="pl-PL"/>
              </w:rPr>
              <w:t>CN 0207 27 80:  0%</w:t>
            </w:r>
          </w:p>
        </w:tc>
      </w:tr>
      <w:tr w:rsidR="00304558" w:rsidRPr="00A67844" w:rsidTr="000D7DB2">
        <w:trPr>
          <w:trHeight w:hRule="exact" w:val="528"/>
        </w:trPr>
        <w:tc>
          <w:tcPr>
            <w:tcW w:w="1233" w:type="pct"/>
            <w:shd w:val="clear" w:color="auto" w:fill="FFFFFF"/>
            <w:vAlign w:val="center"/>
          </w:tcPr>
          <w:p w:rsidR="00304558" w:rsidRPr="00A67844" w:rsidRDefault="00304558" w:rsidP="009948A3">
            <w:pPr>
              <w:spacing w:after="0" w:line="240" w:lineRule="auto"/>
              <w:rPr>
                <w:rFonts w:ascii="Arial" w:hAnsi="Arial" w:cs="Arial"/>
                <w:szCs w:val="20"/>
              </w:rPr>
            </w:pPr>
            <w:r w:rsidRPr="00A67844">
              <w:rPr>
                <w:rStyle w:val="Teksttreci295ptBezpogrubienia"/>
                <w:rFonts w:ascii="Arial" w:eastAsiaTheme="minorHAnsi" w:hAnsi="Arial" w:cs="Arial"/>
                <w:spacing w:val="0"/>
                <w:sz w:val="20"/>
                <w:szCs w:val="20"/>
              </w:rPr>
              <w:t>Dowód handlu</w:t>
            </w:r>
          </w:p>
        </w:tc>
        <w:tc>
          <w:tcPr>
            <w:tcW w:w="3767" w:type="pct"/>
            <w:shd w:val="clear" w:color="auto" w:fill="FFFFFF"/>
            <w:vAlign w:val="center"/>
          </w:tcPr>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Nie</w:t>
            </w:r>
          </w:p>
        </w:tc>
      </w:tr>
      <w:tr w:rsidR="00304558" w:rsidRPr="00A67844" w:rsidTr="000D7DB2">
        <w:trPr>
          <w:trHeight w:hRule="exact" w:val="528"/>
        </w:trPr>
        <w:tc>
          <w:tcPr>
            <w:tcW w:w="1233" w:type="pct"/>
            <w:shd w:val="clear" w:color="auto" w:fill="FFFFFF"/>
            <w:vAlign w:val="center"/>
          </w:tcPr>
          <w:p w:rsidR="00304558" w:rsidRPr="00A67844" w:rsidRDefault="00304558" w:rsidP="009948A3">
            <w:pPr>
              <w:spacing w:after="0" w:line="240" w:lineRule="auto"/>
              <w:rPr>
                <w:rFonts w:ascii="Arial" w:hAnsi="Arial" w:cs="Arial"/>
                <w:szCs w:val="20"/>
              </w:rPr>
            </w:pPr>
            <w:r w:rsidRPr="00A67844">
              <w:rPr>
                <w:rStyle w:val="Teksttreci295ptBezpogrubienia"/>
                <w:rFonts w:ascii="Arial" w:eastAsiaTheme="minorHAnsi" w:hAnsi="Arial" w:cs="Arial"/>
                <w:spacing w:val="0"/>
                <w:sz w:val="20"/>
                <w:szCs w:val="20"/>
              </w:rPr>
              <w:t>Zabezpieczenie na potrzeby pozwolenia na przywóz</w:t>
            </w:r>
          </w:p>
        </w:tc>
        <w:tc>
          <w:tcPr>
            <w:tcW w:w="3767" w:type="pct"/>
            <w:shd w:val="clear" w:color="auto" w:fill="FFFFFF"/>
            <w:vAlign w:val="center"/>
          </w:tcPr>
          <w:p w:rsidR="00304558" w:rsidRPr="00A67844" w:rsidRDefault="00304558" w:rsidP="009948A3">
            <w:pPr>
              <w:pStyle w:val="Teksttreci60"/>
              <w:shd w:val="clear" w:color="auto" w:fill="auto"/>
              <w:spacing w:before="0" w:line="240" w:lineRule="auto"/>
              <w:jc w:val="left"/>
              <w:rPr>
                <w:rFonts w:ascii="Arial" w:hAnsi="Arial" w:cs="Arial"/>
                <w:sz w:val="20"/>
                <w:szCs w:val="20"/>
              </w:rPr>
            </w:pPr>
            <w:r w:rsidRPr="00A67844">
              <w:rPr>
                <w:rStyle w:val="Teksttreci6Exact"/>
                <w:rFonts w:ascii="Arial" w:hAnsi="Arial" w:cs="Arial"/>
                <w:sz w:val="20"/>
                <w:szCs w:val="20"/>
              </w:rPr>
              <w:t xml:space="preserve">20 EUR </w:t>
            </w:r>
            <w:r w:rsidRPr="00A67844">
              <w:rPr>
                <w:rStyle w:val="Teksttreci6Odstpy0ptExact"/>
                <w:rFonts w:ascii="Arial" w:hAnsi="Arial" w:cs="Arial"/>
                <w:sz w:val="20"/>
                <w:szCs w:val="20"/>
              </w:rPr>
              <w:t xml:space="preserve">za </w:t>
            </w:r>
            <w:r w:rsidRPr="00A67844">
              <w:rPr>
                <w:rStyle w:val="Teksttreci6Exact"/>
                <w:rFonts w:ascii="Arial" w:hAnsi="Arial" w:cs="Arial"/>
                <w:sz w:val="20"/>
                <w:szCs w:val="20"/>
              </w:rPr>
              <w:t>100 kg</w:t>
            </w:r>
          </w:p>
        </w:tc>
      </w:tr>
      <w:tr w:rsidR="00304558" w:rsidRPr="00A67844" w:rsidTr="000D7DB2">
        <w:trPr>
          <w:trHeight w:hRule="exact" w:val="528"/>
        </w:trPr>
        <w:tc>
          <w:tcPr>
            <w:tcW w:w="1233" w:type="pct"/>
            <w:shd w:val="clear" w:color="auto" w:fill="FFFFFF"/>
            <w:vAlign w:val="center"/>
          </w:tcPr>
          <w:p w:rsidR="00304558" w:rsidRPr="00A67844" w:rsidRDefault="00304558" w:rsidP="009948A3">
            <w:pPr>
              <w:spacing w:after="0" w:line="240" w:lineRule="auto"/>
              <w:rPr>
                <w:rFonts w:ascii="Arial" w:hAnsi="Arial" w:cs="Arial"/>
                <w:szCs w:val="20"/>
              </w:rPr>
            </w:pPr>
            <w:r w:rsidRPr="00A67844">
              <w:rPr>
                <w:rStyle w:val="Teksttreci295ptBezpogrubienia"/>
                <w:rFonts w:ascii="Arial" w:eastAsiaTheme="minorHAnsi" w:hAnsi="Arial" w:cs="Arial"/>
                <w:spacing w:val="0"/>
                <w:sz w:val="20"/>
                <w:szCs w:val="20"/>
              </w:rPr>
              <w:t>Szczegółowe adnotacje dokonywane we wniosku o pozwolenie i w pozwoleniu</w:t>
            </w:r>
          </w:p>
        </w:tc>
        <w:tc>
          <w:tcPr>
            <w:tcW w:w="3767" w:type="pct"/>
            <w:shd w:val="clear" w:color="auto" w:fill="FFFFFF"/>
            <w:vAlign w:val="center"/>
          </w:tcPr>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Sekcja 8 wniosku o pozwolenie na przywóz i pozwolenia na przywóz wskazuje kraj pochodzenia; zaznacza się pole „tak” w tej sekcji.</w:t>
            </w:r>
          </w:p>
        </w:tc>
      </w:tr>
      <w:tr w:rsidR="00304558" w:rsidRPr="00A67844" w:rsidTr="00A85CD5">
        <w:trPr>
          <w:trHeight w:hRule="exact" w:val="3691"/>
        </w:trPr>
        <w:tc>
          <w:tcPr>
            <w:tcW w:w="1233" w:type="pct"/>
            <w:shd w:val="clear" w:color="auto" w:fill="FFFFFF"/>
            <w:vAlign w:val="center"/>
          </w:tcPr>
          <w:p w:rsidR="00304558" w:rsidRPr="00A67844" w:rsidRDefault="00304558" w:rsidP="009948A3">
            <w:pPr>
              <w:spacing w:after="0" w:line="240" w:lineRule="auto"/>
              <w:rPr>
                <w:rFonts w:ascii="Arial" w:hAnsi="Arial" w:cs="Arial"/>
                <w:szCs w:val="20"/>
              </w:rPr>
            </w:pPr>
            <w:r w:rsidRPr="00A67844">
              <w:rPr>
                <w:rStyle w:val="Teksttreci295ptBezpogrubienia"/>
                <w:rFonts w:ascii="Arial" w:eastAsiaTheme="minorHAnsi" w:hAnsi="Arial" w:cs="Arial"/>
                <w:spacing w:val="0"/>
                <w:sz w:val="20"/>
                <w:szCs w:val="20"/>
              </w:rPr>
              <w:lastRenderedPageBreak/>
              <w:t>Okres ważności pozwolenia</w:t>
            </w:r>
          </w:p>
        </w:tc>
        <w:tc>
          <w:tcPr>
            <w:tcW w:w="3767" w:type="pct"/>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178"/>
              <w:gridCol w:w="7572"/>
            </w:tblGrid>
            <w:tr w:rsidR="004D76FA" w:rsidRPr="00DC5949" w:rsidTr="004C6AF3">
              <w:trPr>
                <w:tblCellSpacing w:w="0" w:type="dxa"/>
              </w:trPr>
              <w:tc>
                <w:tcPr>
                  <w:tcW w:w="0" w:type="auto"/>
                  <w:hideMark/>
                </w:tcPr>
                <w:p w:rsidR="004D76FA" w:rsidRPr="00DC5949" w:rsidRDefault="004D76FA" w:rsidP="004C6AF3">
                  <w:pPr>
                    <w:spacing w:before="100" w:beforeAutospacing="1" w:after="100" w:afterAutospacing="1"/>
                    <w:rPr>
                      <w:rFonts w:ascii="Arial" w:hAnsi="Arial" w:cs="Arial"/>
                      <w:szCs w:val="20"/>
                    </w:rPr>
                  </w:pPr>
                  <w:r w:rsidRPr="00DC5949">
                    <w:rPr>
                      <w:rFonts w:ascii="Arial" w:hAnsi="Arial" w:cs="Arial"/>
                      <w:szCs w:val="20"/>
                    </w:rPr>
                    <w:t>a)</w:t>
                  </w:r>
                </w:p>
              </w:tc>
              <w:tc>
                <w:tcPr>
                  <w:tcW w:w="0" w:type="auto"/>
                  <w:hideMark/>
                </w:tcPr>
                <w:p w:rsidR="004D76FA" w:rsidRPr="00DC5949" w:rsidRDefault="004D76FA" w:rsidP="004C6AF3">
                  <w:pPr>
                    <w:spacing w:before="100" w:beforeAutospacing="1" w:after="100" w:afterAutospacing="1"/>
                    <w:rPr>
                      <w:rFonts w:ascii="Arial" w:hAnsi="Arial" w:cs="Arial"/>
                      <w:szCs w:val="20"/>
                    </w:rPr>
                  </w:pPr>
                  <w:r w:rsidRPr="00DC5949">
                    <w:rPr>
                      <w:rFonts w:ascii="Arial" w:hAnsi="Arial" w:cs="Arial"/>
                      <w:szCs w:val="20"/>
                    </w:rPr>
                    <w:t>w przypadku wniosków złożonych przed okresem obowiązywania kontyngentu taryfowego – od pierwszego dnia kalendarzowego okresu obowiązywania kontyngentu taryfowego do końca okresu obowiązywania kontyngentu taryfowego;</w:t>
                  </w:r>
                </w:p>
              </w:tc>
            </w:tr>
          </w:tbl>
          <w:p w:rsidR="004D76FA" w:rsidRPr="00DC5949" w:rsidRDefault="004D76FA" w:rsidP="004D76FA">
            <w:pPr>
              <w:rPr>
                <w:rFonts w:ascii="Arial" w:hAnsi="Arial" w:cs="Arial"/>
                <w:vanish/>
                <w:szCs w:val="20"/>
                <w:lang w:val="en"/>
              </w:rPr>
            </w:pPr>
          </w:p>
          <w:tbl>
            <w:tblPr>
              <w:tblW w:w="5000" w:type="pct"/>
              <w:tblCellSpacing w:w="0" w:type="dxa"/>
              <w:tblCellMar>
                <w:left w:w="0" w:type="dxa"/>
                <w:right w:w="0" w:type="dxa"/>
              </w:tblCellMar>
              <w:tblLook w:val="04A0" w:firstRow="1" w:lastRow="0" w:firstColumn="1" w:lastColumn="0" w:noHBand="0" w:noVBand="1"/>
            </w:tblPr>
            <w:tblGrid>
              <w:gridCol w:w="178"/>
              <w:gridCol w:w="7572"/>
            </w:tblGrid>
            <w:tr w:rsidR="004D76FA" w:rsidRPr="00DC5949" w:rsidTr="004C6AF3">
              <w:trPr>
                <w:tblCellSpacing w:w="0" w:type="dxa"/>
              </w:trPr>
              <w:tc>
                <w:tcPr>
                  <w:tcW w:w="0" w:type="auto"/>
                  <w:hideMark/>
                </w:tcPr>
                <w:p w:rsidR="004D76FA" w:rsidRPr="00DC5949" w:rsidRDefault="004D76FA" w:rsidP="004C6AF3">
                  <w:pPr>
                    <w:spacing w:before="100" w:beforeAutospacing="1" w:after="100" w:afterAutospacing="1"/>
                    <w:rPr>
                      <w:rFonts w:ascii="Arial" w:hAnsi="Arial" w:cs="Arial"/>
                      <w:szCs w:val="20"/>
                    </w:rPr>
                  </w:pPr>
                  <w:r w:rsidRPr="00DC5949">
                    <w:rPr>
                      <w:rFonts w:ascii="Arial" w:hAnsi="Arial" w:cs="Arial"/>
                      <w:szCs w:val="20"/>
                    </w:rPr>
                    <w:t>b)</w:t>
                  </w:r>
                </w:p>
              </w:tc>
              <w:tc>
                <w:tcPr>
                  <w:tcW w:w="0" w:type="auto"/>
                  <w:hideMark/>
                </w:tcPr>
                <w:p w:rsidR="004D76FA" w:rsidRPr="00DC5949" w:rsidRDefault="004D76FA" w:rsidP="004C6AF3">
                  <w:pPr>
                    <w:spacing w:before="100" w:beforeAutospacing="1" w:after="100" w:afterAutospacing="1"/>
                    <w:rPr>
                      <w:rFonts w:ascii="Arial" w:hAnsi="Arial" w:cs="Arial"/>
                      <w:szCs w:val="20"/>
                    </w:rPr>
                  </w:pPr>
                  <w:r w:rsidRPr="00DC5949">
                    <w:rPr>
                      <w:rFonts w:ascii="Arial" w:hAnsi="Arial" w:cs="Arial"/>
                      <w:szCs w:val="20"/>
                    </w:rPr>
                    <w:t>w przypadku wniosków złożonych w trakcie okresu obowiązywania kontyngentu taryfowego – od pierwszego dnia kalendarzowego miesiąca następującego po złożeniu wniosku do końca okresu obowiązywania kontyngentu taryfowego;</w:t>
                  </w:r>
                </w:p>
              </w:tc>
            </w:tr>
          </w:tbl>
          <w:p w:rsidR="004D76FA" w:rsidRPr="00DC5949" w:rsidRDefault="004D76FA" w:rsidP="004D76FA">
            <w:pPr>
              <w:rPr>
                <w:rFonts w:ascii="Arial" w:hAnsi="Arial" w:cs="Arial"/>
                <w:vanish/>
                <w:szCs w:val="20"/>
                <w:lang w:val="en"/>
              </w:rPr>
            </w:pPr>
          </w:p>
          <w:tbl>
            <w:tblPr>
              <w:tblW w:w="5000" w:type="pct"/>
              <w:tblCellSpacing w:w="0" w:type="dxa"/>
              <w:tblCellMar>
                <w:left w:w="0" w:type="dxa"/>
                <w:right w:w="0" w:type="dxa"/>
              </w:tblCellMar>
              <w:tblLook w:val="04A0" w:firstRow="1" w:lastRow="0" w:firstColumn="1" w:lastColumn="0" w:noHBand="0" w:noVBand="1"/>
            </w:tblPr>
            <w:tblGrid>
              <w:gridCol w:w="167"/>
              <w:gridCol w:w="7583"/>
            </w:tblGrid>
            <w:tr w:rsidR="004D76FA" w:rsidRPr="00DC5949" w:rsidTr="004C6AF3">
              <w:trPr>
                <w:tblCellSpacing w:w="0" w:type="dxa"/>
              </w:trPr>
              <w:tc>
                <w:tcPr>
                  <w:tcW w:w="0" w:type="auto"/>
                  <w:hideMark/>
                </w:tcPr>
                <w:p w:rsidR="004D76FA" w:rsidRPr="00DC5949" w:rsidRDefault="004D76FA" w:rsidP="004C6AF3">
                  <w:pPr>
                    <w:spacing w:before="100" w:beforeAutospacing="1" w:after="100" w:afterAutospacing="1"/>
                    <w:rPr>
                      <w:rFonts w:ascii="Arial" w:hAnsi="Arial" w:cs="Arial"/>
                      <w:szCs w:val="20"/>
                    </w:rPr>
                  </w:pPr>
                  <w:r w:rsidRPr="00DC5949">
                    <w:rPr>
                      <w:rFonts w:ascii="Arial" w:hAnsi="Arial" w:cs="Arial"/>
                      <w:szCs w:val="20"/>
                    </w:rPr>
                    <w:t>c)</w:t>
                  </w:r>
                </w:p>
              </w:tc>
              <w:tc>
                <w:tcPr>
                  <w:tcW w:w="0" w:type="auto"/>
                  <w:hideMark/>
                </w:tcPr>
                <w:p w:rsidR="004D76FA" w:rsidRPr="00DC5949" w:rsidRDefault="004D76FA" w:rsidP="004C6AF3">
                  <w:pPr>
                    <w:spacing w:before="100" w:beforeAutospacing="1" w:after="100" w:afterAutospacing="1"/>
                    <w:rPr>
                      <w:rFonts w:ascii="Arial" w:hAnsi="Arial" w:cs="Arial"/>
                      <w:szCs w:val="20"/>
                    </w:rPr>
                  </w:pPr>
                  <w:r w:rsidRPr="00DC5949">
                    <w:rPr>
                      <w:rFonts w:ascii="Arial" w:hAnsi="Arial" w:cs="Arial"/>
                      <w:szCs w:val="20"/>
                    </w:rPr>
                    <w:t>w przypadku wniosków złożonych między 23 a 30 listopada roku poprzedzającego – od dnia 1 stycznia następnego roku do końca okresu obowiązywania kontyngentu taryfowego;</w:t>
                  </w:r>
                </w:p>
              </w:tc>
            </w:tr>
          </w:tbl>
          <w:p w:rsidR="004D76FA" w:rsidRPr="00DC5949" w:rsidRDefault="004D76FA" w:rsidP="004D76FA">
            <w:pPr>
              <w:spacing w:before="100" w:beforeAutospacing="1" w:after="100" w:afterAutospacing="1"/>
              <w:rPr>
                <w:rFonts w:ascii="Arial" w:hAnsi="Arial" w:cs="Arial"/>
                <w:szCs w:val="20"/>
              </w:rPr>
            </w:pPr>
            <w:r w:rsidRPr="00DC5949">
              <w:rPr>
                <w:rFonts w:ascii="Arial" w:hAnsi="Arial" w:cs="Arial"/>
                <w:szCs w:val="20"/>
              </w:rPr>
              <w:t>Okres ważności pozwoleń wydanych dla danego podokresu upływa w ostatnim dniu kalendarzowym miesiąca następującego po zakończeniu tego podokresu, ale nie później niż z końcem okresu obowiązywania kontyngentu taryfowego.</w:t>
            </w:r>
          </w:p>
          <w:p w:rsidR="00304558" w:rsidRPr="00A67844" w:rsidRDefault="00304558" w:rsidP="009948A3">
            <w:pPr>
              <w:spacing w:after="0" w:line="240" w:lineRule="auto"/>
              <w:rPr>
                <w:rFonts w:ascii="Arial" w:eastAsia="Cambria" w:hAnsi="Arial" w:cs="Arial"/>
                <w:bCs/>
                <w:color w:val="000000"/>
                <w:spacing w:val="-10"/>
                <w:szCs w:val="20"/>
                <w:lang w:eastAsia="pl-PL" w:bidi="pl-PL"/>
              </w:rPr>
            </w:pPr>
          </w:p>
        </w:tc>
      </w:tr>
      <w:tr w:rsidR="00304558" w:rsidRPr="00A67844" w:rsidTr="000D7DB2">
        <w:trPr>
          <w:trHeight w:hRule="exact" w:val="528"/>
        </w:trPr>
        <w:tc>
          <w:tcPr>
            <w:tcW w:w="1233" w:type="pct"/>
            <w:shd w:val="clear" w:color="auto" w:fill="FFFFFF"/>
            <w:vAlign w:val="center"/>
          </w:tcPr>
          <w:p w:rsidR="00304558" w:rsidRPr="00A67844" w:rsidRDefault="00304558" w:rsidP="009948A3">
            <w:pPr>
              <w:spacing w:after="0" w:line="240" w:lineRule="auto"/>
              <w:rPr>
                <w:rFonts w:ascii="Arial" w:hAnsi="Arial" w:cs="Arial"/>
                <w:szCs w:val="20"/>
              </w:rPr>
            </w:pPr>
            <w:r w:rsidRPr="00A67844">
              <w:rPr>
                <w:rStyle w:val="Teksttreci295ptBezpogrubienia"/>
                <w:rFonts w:ascii="Arial" w:eastAsiaTheme="minorHAnsi" w:hAnsi="Arial" w:cs="Arial"/>
                <w:spacing w:val="0"/>
                <w:sz w:val="20"/>
                <w:szCs w:val="20"/>
              </w:rPr>
              <w:t>Możliwość przeniesienia pozwolenia</w:t>
            </w:r>
          </w:p>
        </w:tc>
        <w:tc>
          <w:tcPr>
            <w:tcW w:w="3767" w:type="pct"/>
            <w:shd w:val="clear" w:color="auto" w:fill="FFFFFF"/>
            <w:vAlign w:val="center"/>
          </w:tcPr>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Tak</w:t>
            </w:r>
          </w:p>
        </w:tc>
      </w:tr>
      <w:tr w:rsidR="00304558" w:rsidRPr="00A67844" w:rsidTr="000D7DB2">
        <w:trPr>
          <w:trHeight w:hRule="exact" w:val="528"/>
        </w:trPr>
        <w:tc>
          <w:tcPr>
            <w:tcW w:w="1233" w:type="pct"/>
            <w:shd w:val="clear" w:color="auto" w:fill="FFFFFF"/>
            <w:vAlign w:val="center"/>
          </w:tcPr>
          <w:p w:rsidR="00304558" w:rsidRPr="00A67844" w:rsidRDefault="00304558" w:rsidP="009948A3">
            <w:pPr>
              <w:spacing w:after="0" w:line="240" w:lineRule="auto"/>
              <w:rPr>
                <w:rFonts w:ascii="Arial" w:hAnsi="Arial" w:cs="Arial"/>
                <w:szCs w:val="20"/>
              </w:rPr>
            </w:pPr>
            <w:r w:rsidRPr="00A67844">
              <w:rPr>
                <w:rStyle w:val="Teksttreci295ptBezpogrubienia"/>
                <w:rFonts w:ascii="Arial" w:eastAsiaTheme="minorHAnsi" w:hAnsi="Arial" w:cs="Arial"/>
                <w:spacing w:val="0"/>
                <w:sz w:val="20"/>
                <w:szCs w:val="20"/>
              </w:rPr>
              <w:t>Ilość referencyjna</w:t>
            </w:r>
          </w:p>
        </w:tc>
        <w:tc>
          <w:tcPr>
            <w:tcW w:w="3767" w:type="pct"/>
            <w:shd w:val="clear" w:color="auto" w:fill="FFFFFF"/>
            <w:vAlign w:val="center"/>
          </w:tcPr>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Nie</w:t>
            </w:r>
          </w:p>
        </w:tc>
      </w:tr>
      <w:tr w:rsidR="00304558" w:rsidRPr="00A67844" w:rsidTr="000D7DB2">
        <w:trPr>
          <w:trHeight w:hRule="exact" w:val="528"/>
        </w:trPr>
        <w:tc>
          <w:tcPr>
            <w:tcW w:w="1233" w:type="pct"/>
            <w:shd w:val="clear" w:color="auto" w:fill="FFFFFF"/>
            <w:vAlign w:val="center"/>
          </w:tcPr>
          <w:p w:rsidR="00304558" w:rsidRPr="00A67844" w:rsidRDefault="00304558" w:rsidP="009948A3">
            <w:pPr>
              <w:spacing w:after="0" w:line="240" w:lineRule="auto"/>
              <w:rPr>
                <w:rFonts w:ascii="Arial" w:hAnsi="Arial" w:cs="Arial"/>
                <w:szCs w:val="20"/>
              </w:rPr>
            </w:pPr>
            <w:r w:rsidRPr="00A67844">
              <w:rPr>
                <w:rStyle w:val="Teksttreci295ptBezpogrubienia"/>
                <w:rFonts w:ascii="Arial" w:eastAsiaTheme="minorHAnsi" w:hAnsi="Arial" w:cs="Arial"/>
                <w:spacing w:val="0"/>
                <w:sz w:val="20"/>
                <w:szCs w:val="20"/>
              </w:rPr>
              <w:t>Podmiot zarejestrowany w bazie danych LORI</w:t>
            </w:r>
          </w:p>
        </w:tc>
        <w:tc>
          <w:tcPr>
            <w:tcW w:w="3767" w:type="pct"/>
            <w:shd w:val="clear" w:color="auto" w:fill="FFFFFF"/>
            <w:vAlign w:val="center"/>
          </w:tcPr>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Nie</w:t>
            </w:r>
          </w:p>
        </w:tc>
      </w:tr>
      <w:tr w:rsidR="00304558" w:rsidRPr="00A67844" w:rsidTr="000D7DB2">
        <w:trPr>
          <w:trHeight w:hRule="exact" w:val="528"/>
        </w:trPr>
        <w:tc>
          <w:tcPr>
            <w:tcW w:w="1233" w:type="pct"/>
            <w:shd w:val="clear" w:color="auto" w:fill="FFFFFF"/>
            <w:vAlign w:val="center"/>
          </w:tcPr>
          <w:p w:rsidR="00304558" w:rsidRPr="00A67844" w:rsidRDefault="00304558" w:rsidP="009948A3">
            <w:pPr>
              <w:spacing w:after="0" w:line="240" w:lineRule="auto"/>
              <w:rPr>
                <w:rFonts w:ascii="Arial" w:hAnsi="Arial" w:cs="Arial"/>
                <w:szCs w:val="20"/>
              </w:rPr>
            </w:pPr>
            <w:r w:rsidRPr="00A67844">
              <w:rPr>
                <w:rStyle w:val="Teksttreci295ptBezpogrubienia"/>
                <w:rFonts w:ascii="Arial" w:eastAsiaTheme="minorHAnsi" w:hAnsi="Arial" w:cs="Arial"/>
                <w:spacing w:val="0"/>
                <w:sz w:val="20"/>
                <w:szCs w:val="20"/>
              </w:rPr>
              <w:t>Warunki szczególne</w:t>
            </w:r>
          </w:p>
        </w:tc>
        <w:tc>
          <w:tcPr>
            <w:tcW w:w="3767" w:type="pct"/>
            <w:shd w:val="clear" w:color="auto" w:fill="FFFFFF"/>
            <w:vAlign w:val="center"/>
          </w:tcPr>
          <w:p w:rsidR="00304558" w:rsidRPr="00A67844" w:rsidRDefault="00304558" w:rsidP="009948A3">
            <w:pPr>
              <w:spacing w:after="0" w:line="240" w:lineRule="auto"/>
              <w:rPr>
                <w:rFonts w:ascii="Arial" w:eastAsia="Cambria" w:hAnsi="Arial" w:cs="Arial"/>
                <w:bCs/>
                <w:color w:val="000000"/>
                <w:spacing w:val="-10"/>
                <w:szCs w:val="20"/>
                <w:lang w:eastAsia="pl-PL" w:bidi="pl-PL"/>
              </w:rPr>
            </w:pPr>
            <w:r w:rsidRPr="00A67844">
              <w:rPr>
                <w:rFonts w:ascii="Arial" w:eastAsia="Cambria" w:hAnsi="Arial" w:cs="Arial"/>
                <w:bCs/>
                <w:color w:val="000000"/>
                <w:spacing w:val="-10"/>
                <w:szCs w:val="20"/>
                <w:lang w:eastAsia="pl-PL" w:bidi="pl-PL"/>
              </w:rPr>
              <w:t>Nie</w:t>
            </w:r>
          </w:p>
        </w:tc>
      </w:tr>
    </w:tbl>
    <w:p w:rsidR="00304558" w:rsidRPr="00A67844" w:rsidRDefault="00304558" w:rsidP="00304558">
      <w:pPr>
        <w:spacing w:after="0" w:line="240" w:lineRule="auto"/>
        <w:jc w:val="both"/>
        <w:rPr>
          <w:rFonts w:ascii="Arial" w:hAnsi="Arial" w:cs="Arial"/>
          <w:szCs w:val="20"/>
        </w:rPr>
      </w:pPr>
    </w:p>
    <w:p w:rsidR="00304558" w:rsidRDefault="00304558" w:rsidP="00304558">
      <w:pPr>
        <w:spacing w:after="0" w:line="240" w:lineRule="auto"/>
        <w:jc w:val="both"/>
        <w:rPr>
          <w:rFonts w:ascii="Arial" w:hAnsi="Arial" w:cs="Arial"/>
          <w:szCs w:val="20"/>
        </w:rPr>
      </w:pPr>
    </w:p>
    <w:p w:rsidR="00304558" w:rsidRDefault="00304558" w:rsidP="00304558">
      <w:pPr>
        <w:spacing w:after="0" w:line="240" w:lineRule="auto"/>
        <w:jc w:val="both"/>
        <w:rPr>
          <w:rFonts w:ascii="Arial" w:hAnsi="Arial" w:cs="Arial"/>
          <w:szCs w:val="20"/>
        </w:rPr>
      </w:pPr>
    </w:p>
    <w:p w:rsidR="00304558" w:rsidRPr="00A67844" w:rsidRDefault="00304558" w:rsidP="00304558">
      <w:pPr>
        <w:spacing w:after="0" w:line="240" w:lineRule="auto"/>
        <w:jc w:val="both"/>
        <w:rPr>
          <w:rFonts w:ascii="Arial" w:hAnsi="Arial" w:cs="Arial"/>
          <w:szCs w:val="20"/>
        </w:rPr>
      </w:pPr>
    </w:p>
    <w:p w:rsidR="00304558" w:rsidRPr="00A67844" w:rsidRDefault="00304558" w:rsidP="00304558">
      <w:pPr>
        <w:spacing w:after="0" w:line="240" w:lineRule="auto"/>
        <w:jc w:val="both"/>
        <w:rPr>
          <w:rFonts w:ascii="Arial" w:hAnsi="Arial" w:cs="Arial"/>
          <w:szCs w:val="20"/>
        </w:rPr>
      </w:pPr>
    </w:p>
    <w:p w:rsidR="00304558" w:rsidRPr="00A67844" w:rsidRDefault="00304558" w:rsidP="00304558">
      <w:pPr>
        <w:spacing w:after="0" w:line="240" w:lineRule="auto"/>
        <w:jc w:val="both"/>
        <w:rPr>
          <w:rFonts w:ascii="Arial" w:hAnsi="Arial" w:cs="Arial"/>
          <w:szCs w:val="20"/>
        </w:rPr>
      </w:pPr>
    </w:p>
    <w:p w:rsidR="008B2898" w:rsidRDefault="008B2898"/>
    <w:sectPr w:rsidR="008B289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96" w:rsidRDefault="00447896" w:rsidP="001F624C">
      <w:pPr>
        <w:spacing w:after="0" w:line="240" w:lineRule="auto"/>
      </w:pPr>
      <w:r>
        <w:separator/>
      </w:r>
    </w:p>
  </w:endnote>
  <w:endnote w:type="continuationSeparator" w:id="0">
    <w:p w:rsidR="00447896" w:rsidRDefault="00447896" w:rsidP="001F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96" w:rsidRDefault="00447896" w:rsidP="001F624C">
      <w:pPr>
        <w:spacing w:after="0" w:line="240" w:lineRule="auto"/>
      </w:pPr>
      <w:r>
        <w:separator/>
      </w:r>
    </w:p>
  </w:footnote>
  <w:footnote w:type="continuationSeparator" w:id="0">
    <w:p w:rsidR="00447896" w:rsidRDefault="00447896" w:rsidP="001F6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4C" w:rsidRPr="00223D7C" w:rsidRDefault="001F624C">
    <w:pPr>
      <w:pStyle w:val="Nagwek"/>
      <w:rPr>
        <w:rFonts w:ascii="Arial" w:hAnsi="Arial" w:cs="Arial"/>
      </w:rPr>
    </w:pPr>
    <w:r w:rsidRPr="00223D7C">
      <w:rPr>
        <w:rFonts w:ascii="Arial" w:hAnsi="Arial" w:cs="Arial"/>
      </w:rPr>
      <w:t>Kontyngenty taryfowe w sektorze drobiu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58"/>
    <w:rsid w:val="000D7DB2"/>
    <w:rsid w:val="001E3911"/>
    <w:rsid w:val="001F624C"/>
    <w:rsid w:val="00223D7C"/>
    <w:rsid w:val="00243749"/>
    <w:rsid w:val="00304558"/>
    <w:rsid w:val="00363374"/>
    <w:rsid w:val="00447896"/>
    <w:rsid w:val="004D76FA"/>
    <w:rsid w:val="00512186"/>
    <w:rsid w:val="006B3FF8"/>
    <w:rsid w:val="00767730"/>
    <w:rsid w:val="008B2898"/>
    <w:rsid w:val="00910CB0"/>
    <w:rsid w:val="00A47469"/>
    <w:rsid w:val="00A5790E"/>
    <w:rsid w:val="00A85CD5"/>
    <w:rsid w:val="00AB232F"/>
    <w:rsid w:val="00CD61C4"/>
    <w:rsid w:val="00F3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8124C-F463-4931-AEC8-A97B5832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4558"/>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95ptBezpogrubienia">
    <w:name w:val="Tekst treści (2) + 9;5 pt;Bez pogrubienia"/>
    <w:basedOn w:val="Domylnaczcionkaakapitu"/>
    <w:rsid w:val="00304558"/>
    <w:rPr>
      <w:rFonts w:ascii="Cambria" w:eastAsia="Cambria" w:hAnsi="Cambria" w:cs="Cambria"/>
      <w:b/>
      <w:bCs/>
      <w:i w:val="0"/>
      <w:iCs w:val="0"/>
      <w:smallCaps w:val="0"/>
      <w:strike w:val="0"/>
      <w:color w:val="000000"/>
      <w:spacing w:val="-10"/>
      <w:w w:val="100"/>
      <w:position w:val="0"/>
      <w:sz w:val="19"/>
      <w:szCs w:val="19"/>
      <w:u w:val="none"/>
      <w:lang w:val="pl-PL" w:eastAsia="pl-PL" w:bidi="pl-PL"/>
    </w:rPr>
  </w:style>
  <w:style w:type="character" w:customStyle="1" w:styleId="Teksttreci6">
    <w:name w:val="Tekst treści (6)_"/>
    <w:basedOn w:val="Domylnaczcionkaakapitu"/>
    <w:link w:val="Teksttreci60"/>
    <w:rsid w:val="00304558"/>
    <w:rPr>
      <w:rFonts w:ascii="Cambria" w:eastAsia="Cambria" w:hAnsi="Cambria" w:cs="Cambria"/>
      <w:spacing w:val="-10"/>
      <w:sz w:val="19"/>
      <w:szCs w:val="19"/>
      <w:shd w:val="clear" w:color="auto" w:fill="FFFFFF"/>
    </w:rPr>
  </w:style>
  <w:style w:type="paragraph" w:customStyle="1" w:styleId="Teksttreci60">
    <w:name w:val="Tekst treści (6)"/>
    <w:basedOn w:val="Normalny"/>
    <w:link w:val="Teksttreci6"/>
    <w:rsid w:val="00304558"/>
    <w:pPr>
      <w:widowControl w:val="0"/>
      <w:shd w:val="clear" w:color="auto" w:fill="FFFFFF"/>
      <w:spacing w:before="180" w:after="0" w:line="0" w:lineRule="atLeast"/>
      <w:jc w:val="center"/>
    </w:pPr>
    <w:rPr>
      <w:rFonts w:eastAsia="Cambria" w:cs="Cambria"/>
      <w:spacing w:val="-10"/>
      <w:sz w:val="19"/>
      <w:szCs w:val="19"/>
    </w:rPr>
  </w:style>
  <w:style w:type="character" w:customStyle="1" w:styleId="Teksttreci6Exact">
    <w:name w:val="Tekst treści (6) Exact"/>
    <w:basedOn w:val="Domylnaczcionkaakapitu"/>
    <w:rsid w:val="00304558"/>
    <w:rPr>
      <w:rFonts w:ascii="Cambria" w:eastAsia="Cambria" w:hAnsi="Cambria" w:cs="Cambria"/>
      <w:b w:val="0"/>
      <w:bCs w:val="0"/>
      <w:i w:val="0"/>
      <w:iCs w:val="0"/>
      <w:smallCaps w:val="0"/>
      <w:strike w:val="0"/>
      <w:spacing w:val="-10"/>
      <w:sz w:val="19"/>
      <w:szCs w:val="19"/>
      <w:u w:val="none"/>
    </w:rPr>
  </w:style>
  <w:style w:type="character" w:customStyle="1" w:styleId="Teksttreci6Odstpy0ptExact">
    <w:name w:val="Tekst treści (6) + Odstępy 0 pt Exact"/>
    <w:basedOn w:val="Teksttreci6"/>
    <w:rsid w:val="00304558"/>
    <w:rPr>
      <w:rFonts w:ascii="Cambria" w:eastAsia="Cambria" w:hAnsi="Cambria" w:cs="Cambria"/>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styleId="Hipercze">
    <w:name w:val="Hyperlink"/>
    <w:basedOn w:val="Domylnaczcionkaakapitu"/>
    <w:rsid w:val="001F624C"/>
    <w:rPr>
      <w:color w:val="0000FF"/>
      <w:u w:val="single"/>
    </w:rPr>
  </w:style>
  <w:style w:type="paragraph" w:styleId="Nagwek">
    <w:name w:val="header"/>
    <w:basedOn w:val="Normalny"/>
    <w:link w:val="NagwekZnak"/>
    <w:uiPriority w:val="99"/>
    <w:unhideWhenUsed/>
    <w:rsid w:val="001F62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624C"/>
    <w:rPr>
      <w:rFonts w:ascii="Cambria" w:hAnsi="Cambria"/>
      <w:sz w:val="20"/>
    </w:rPr>
  </w:style>
  <w:style w:type="paragraph" w:styleId="Stopka">
    <w:name w:val="footer"/>
    <w:basedOn w:val="Normalny"/>
    <w:link w:val="StopkaZnak"/>
    <w:uiPriority w:val="99"/>
    <w:unhideWhenUsed/>
    <w:rsid w:val="001F6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24C"/>
    <w:rPr>
      <w:rFonts w:ascii="Cambria" w:hAnsi="Cambria"/>
      <w:sz w:val="20"/>
    </w:rPr>
  </w:style>
  <w:style w:type="paragraph" w:customStyle="1" w:styleId="Normalny1">
    <w:name w:val="Normalny1"/>
    <w:basedOn w:val="Normalny"/>
    <w:rsid w:val="00A85CD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3080">
      <w:bodyDiv w:val="1"/>
      <w:marLeft w:val="0"/>
      <w:marRight w:val="0"/>
      <w:marTop w:val="0"/>
      <w:marBottom w:val="0"/>
      <w:divBdr>
        <w:top w:val="none" w:sz="0" w:space="0" w:color="auto"/>
        <w:left w:val="none" w:sz="0" w:space="0" w:color="auto"/>
        <w:bottom w:val="none" w:sz="0" w:space="0" w:color="auto"/>
        <w:right w:val="none" w:sz="0" w:space="0" w:color="auto"/>
      </w:divBdr>
    </w:div>
    <w:div w:id="1658342245">
      <w:bodyDiv w:val="1"/>
      <w:marLeft w:val="0"/>
      <w:marRight w:val="0"/>
      <w:marTop w:val="0"/>
      <w:marBottom w:val="0"/>
      <w:divBdr>
        <w:top w:val="none" w:sz="0" w:space="0" w:color="auto"/>
        <w:left w:val="none" w:sz="0" w:space="0" w:color="auto"/>
        <w:bottom w:val="none" w:sz="0" w:space="0" w:color="auto"/>
        <w:right w:val="none" w:sz="0" w:space="0" w:color="auto"/>
      </w:divBdr>
    </w:div>
    <w:div w:id="17494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7328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Agencja Rynku Rolnego</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Barcikowska Dorota</dc:creator>
  <cp:lastModifiedBy>Śliwska Dorota</cp:lastModifiedBy>
  <cp:revision>2</cp:revision>
  <dcterms:created xsi:type="dcterms:W3CDTF">2023-03-15T10:02:00Z</dcterms:created>
  <dcterms:modified xsi:type="dcterms:W3CDTF">2023-03-15T10:02:00Z</dcterms:modified>
</cp:coreProperties>
</file>