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D546" w14:textId="77777777" w:rsidR="00686F8F" w:rsidRPr="004D77E0" w:rsidRDefault="00686F8F" w:rsidP="00686F8F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669AC35B" w14:textId="749142D6" w:rsidR="00686F8F" w:rsidRPr="004D77E0" w:rsidRDefault="00686F8F" w:rsidP="00686F8F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4D77E0">
        <w:rPr>
          <w:rFonts w:ascii="Lato" w:hAnsi="Lato"/>
          <w:b/>
          <w:bCs/>
          <w:color w:val="00B0F0"/>
          <w:sz w:val="36"/>
          <w:szCs w:val="36"/>
          <w:u w:val="single"/>
        </w:rPr>
        <w:t>PROJEKT OBWIESZCZENIA REFUNDACYJNEGO NR 8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1</w:t>
      </w:r>
      <w:r w:rsidRPr="004D77E0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STYCZNIA </w:t>
      </w:r>
      <w:r w:rsidRPr="004D77E0">
        <w:rPr>
          <w:rFonts w:ascii="Lato" w:hAnsi="Lato"/>
          <w:b/>
          <w:bCs/>
          <w:color w:val="00B0F0"/>
          <w:sz w:val="36"/>
          <w:szCs w:val="36"/>
          <w:u w:val="single"/>
        </w:rPr>
        <w:t>202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6</w:t>
      </w:r>
      <w:r w:rsidRPr="004D77E0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5A456DAC" w14:textId="73EDEFFD" w:rsidR="00686F8F" w:rsidRPr="00A733DA" w:rsidRDefault="00686F8F" w:rsidP="00686F8F">
      <w:pPr>
        <w:spacing w:before="240" w:after="120" w:line="360" w:lineRule="auto"/>
        <w:jc w:val="both"/>
        <w:rPr>
          <w:rFonts w:ascii="Lato" w:hAnsi="Lato"/>
        </w:rPr>
      </w:pPr>
      <w:r w:rsidRPr="004D77E0">
        <w:rPr>
          <w:rFonts w:ascii="Lato" w:hAnsi="Lato"/>
        </w:rPr>
        <w:t>Prezentowane podsumowanie projektu obwieszczenia refundacyjnego nr 8</w:t>
      </w:r>
      <w:r>
        <w:rPr>
          <w:rFonts w:ascii="Lato" w:hAnsi="Lato"/>
        </w:rPr>
        <w:t>1</w:t>
      </w:r>
      <w:r w:rsidRPr="004D77E0">
        <w:rPr>
          <w:rFonts w:ascii="Lato" w:hAnsi="Lato"/>
        </w:rPr>
        <w:t xml:space="preserve"> </w:t>
      </w:r>
      <w:r w:rsidRPr="004D77E0">
        <w:rPr>
          <w:rFonts w:ascii="Lato" w:hAnsi="Lato"/>
          <w:b/>
          <w:bCs/>
        </w:rPr>
        <w:t>nie stanowi jego ostatecznej wersji</w:t>
      </w:r>
      <w:r w:rsidRPr="004D77E0">
        <w:rPr>
          <w:rFonts w:ascii="Lato" w:hAnsi="Lato"/>
        </w:rPr>
        <w:t>, bowiem nadal trwają prace administracyjne nad finalnym wykazem refundowanych leków, środków spożywczych specjalnego przeznaczenia żywieniowego oraz wyrobów medycznych obowiązującym od 1</w:t>
      </w:r>
      <w:r>
        <w:rPr>
          <w:rFonts w:ascii="Lato" w:hAnsi="Lato"/>
        </w:rPr>
        <w:t> stycznia</w:t>
      </w:r>
      <w:r w:rsidRPr="00A733DA">
        <w:rPr>
          <w:rFonts w:ascii="Lato" w:hAnsi="Lato"/>
        </w:rPr>
        <w:t xml:space="preserve"> 202</w:t>
      </w:r>
      <w:r>
        <w:rPr>
          <w:rFonts w:ascii="Lato" w:hAnsi="Lato"/>
        </w:rPr>
        <w:t>6</w:t>
      </w:r>
      <w:r w:rsidRPr="00A733DA">
        <w:rPr>
          <w:rFonts w:ascii="Lato" w:hAnsi="Lato"/>
        </w:rPr>
        <w:t xml:space="preserve"> r. </w:t>
      </w:r>
    </w:p>
    <w:p w14:paraId="348D43BD" w14:textId="21707226" w:rsidR="00686F8F" w:rsidRPr="005D1267" w:rsidRDefault="00686F8F" w:rsidP="00686F8F">
      <w:pPr>
        <w:spacing w:before="240" w:after="120" w:line="360" w:lineRule="auto"/>
        <w:jc w:val="both"/>
        <w:rPr>
          <w:rFonts w:ascii="Lato" w:hAnsi="Lato"/>
        </w:rPr>
      </w:pPr>
      <w:r w:rsidRPr="005D1267">
        <w:rPr>
          <w:rFonts w:ascii="Lato" w:hAnsi="Lato"/>
        </w:rPr>
        <w:t xml:space="preserve">Uwzględniając niniejszy projekt pierwszego w roku 2026 wykazu, finansowaniem ze środków publicznych zostanie objętych </w:t>
      </w:r>
      <w:r w:rsidR="001F7884" w:rsidRPr="005D1267">
        <w:rPr>
          <w:rFonts w:ascii="Lato" w:hAnsi="Lato"/>
          <w:b/>
          <w:bCs/>
        </w:rPr>
        <w:t>2</w:t>
      </w:r>
      <w:r w:rsidR="00731170">
        <w:rPr>
          <w:rFonts w:ascii="Lato" w:hAnsi="Lato"/>
          <w:b/>
          <w:bCs/>
        </w:rPr>
        <w:t>4</w:t>
      </w:r>
      <w:r w:rsidRPr="005D1267">
        <w:rPr>
          <w:rFonts w:ascii="Lato" w:hAnsi="Lato"/>
          <w:b/>
          <w:bCs/>
        </w:rPr>
        <w:t xml:space="preserve"> nowych cząsteczko – wskazań</w:t>
      </w:r>
      <w:r w:rsidRPr="005D1267">
        <w:rPr>
          <w:rFonts w:ascii="Lato" w:hAnsi="Lato"/>
        </w:rPr>
        <w:t>, w tym:</w:t>
      </w:r>
    </w:p>
    <w:p w14:paraId="2A6C84D9" w14:textId="5B047CD2" w:rsidR="00686F8F" w:rsidRPr="005D1267" w:rsidRDefault="00EB0593" w:rsidP="00686F8F">
      <w:pPr>
        <w:pStyle w:val="Akapitzlist"/>
        <w:numPr>
          <w:ilvl w:val="0"/>
          <w:numId w:val="25"/>
        </w:numPr>
        <w:spacing w:before="240" w:after="120" w:line="360" w:lineRule="auto"/>
        <w:jc w:val="both"/>
        <w:rPr>
          <w:rFonts w:ascii="Lato" w:hAnsi="Lato"/>
        </w:rPr>
      </w:pPr>
      <w:r w:rsidRPr="005D1267">
        <w:rPr>
          <w:rFonts w:ascii="Lato" w:hAnsi="Lato"/>
        </w:rPr>
        <w:t>9</w:t>
      </w:r>
      <w:r w:rsidR="00686F8F" w:rsidRPr="005D1267">
        <w:rPr>
          <w:rFonts w:ascii="Lato" w:hAnsi="Lato"/>
        </w:rPr>
        <w:t xml:space="preserve"> cząsteczko – wskazania onkologiczne,</w:t>
      </w:r>
    </w:p>
    <w:p w14:paraId="203154D9" w14:textId="6E6E6A08" w:rsidR="00686F8F" w:rsidRPr="005D1267" w:rsidRDefault="00731170" w:rsidP="00686F8F">
      <w:pPr>
        <w:pStyle w:val="Akapitzlist"/>
        <w:numPr>
          <w:ilvl w:val="0"/>
          <w:numId w:val="25"/>
        </w:num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>15</w:t>
      </w:r>
      <w:r w:rsidR="00686F8F" w:rsidRPr="005D1267">
        <w:rPr>
          <w:rFonts w:ascii="Lato" w:hAnsi="Lato"/>
        </w:rPr>
        <w:t xml:space="preserve"> cząsteczko - wskazań nieonkologicznych,</w:t>
      </w:r>
    </w:p>
    <w:p w14:paraId="1F90BE68" w14:textId="67F7BEF1" w:rsidR="00686F8F" w:rsidRPr="005D1267" w:rsidRDefault="00D27C56" w:rsidP="00686F8F">
      <w:pPr>
        <w:pStyle w:val="Akapitzlist"/>
        <w:numPr>
          <w:ilvl w:val="0"/>
          <w:numId w:val="25"/>
        </w:num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="00686F8F" w:rsidRPr="005D1267">
        <w:rPr>
          <w:rFonts w:ascii="Lato" w:hAnsi="Lato"/>
        </w:rPr>
        <w:t xml:space="preserve"> cząsteczko - wskazań dedykowanych chorobom rzadkim.</w:t>
      </w:r>
    </w:p>
    <w:p w14:paraId="0EE570C1" w14:textId="29AA6717" w:rsidR="00686F8F" w:rsidRPr="004D77E0" w:rsidRDefault="00686F8F" w:rsidP="00686F8F">
      <w:pPr>
        <w:spacing w:before="240" w:after="120" w:line="360" w:lineRule="auto"/>
        <w:jc w:val="both"/>
        <w:rPr>
          <w:rFonts w:ascii="Lato" w:hAnsi="Lato"/>
          <w:b/>
          <w:bCs/>
          <w:u w:val="single"/>
        </w:rPr>
      </w:pPr>
      <w:r w:rsidRPr="004D77E0">
        <w:rPr>
          <w:rFonts w:ascii="Lato" w:hAnsi="Lato"/>
          <w:b/>
          <w:bCs/>
          <w:u w:val="single"/>
        </w:rPr>
        <w:t>Z uwagi na trwające prace formalno-prawne oraz merytoryczne w zakresie opracowania ostatecznych treści programów lekowych, projekt obwieszczenia refundacyjnego nr 8</w:t>
      </w:r>
      <w:r w:rsidR="001F7884">
        <w:rPr>
          <w:rFonts w:ascii="Lato" w:hAnsi="Lato"/>
          <w:b/>
          <w:bCs/>
          <w:u w:val="single"/>
        </w:rPr>
        <w:t>1</w:t>
      </w:r>
      <w:r w:rsidRPr="004D77E0">
        <w:rPr>
          <w:rFonts w:ascii="Lato" w:hAnsi="Lato"/>
          <w:b/>
          <w:bCs/>
          <w:u w:val="single"/>
        </w:rPr>
        <w:t xml:space="preserve"> nie uwzględnia wszystkich nowych terapii, które ujęto w poniższym zestawieniu.</w:t>
      </w:r>
    </w:p>
    <w:p w14:paraId="6B466A0C" w14:textId="77777777" w:rsidR="004D093B" w:rsidRDefault="004D093B">
      <w:pPr>
        <w:suppressAutoHyphens w:val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1578"/>
        <w:gridCol w:w="1799"/>
        <w:gridCol w:w="1908"/>
        <w:gridCol w:w="3329"/>
        <w:gridCol w:w="4776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AF34B2" w:rsidRPr="004D093B" w14:paraId="1F4280B1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523C5D8D" w:rsidR="00AF34B2" w:rsidRPr="004D093B" w:rsidRDefault="00686F8F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76CF319A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C35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Tevimbra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05AEE280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C357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tislelizumab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2133FE3A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62ACB39C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16735EE3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 linii </w:t>
            </w:r>
            <w:proofErr w:type="spellStart"/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tislelizumab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opartą na związkach platyny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chorych na </w:t>
            </w:r>
            <w:proofErr w:type="spellStart"/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niedrobnokomórko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wego</w:t>
            </w:r>
            <w:proofErr w:type="spellEnd"/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raka płuca, 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niezależnie od wyniku oceny ekspresji PD-L1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F34B2" w:rsidRPr="004D093B" w14:paraId="5A345E23" w14:textId="77777777" w:rsidTr="00AF34B2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066F8EB9" w:rsidR="00AF34B2" w:rsidRPr="004D093B" w:rsidRDefault="00686F8F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630BDD90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C35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Tevimbra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593FD8DE" w:rsidR="00AF34B2" w:rsidRPr="00512C7C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0C357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tislelizumab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016FAAA6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33F2484B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34F5" w14:textId="70CC429B" w:rsidR="00AF34B2" w:rsidRPr="005D12AE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 linii </w:t>
            </w:r>
            <w:proofErr w:type="spellStart"/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tislelizumab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</w:t>
            </w:r>
            <w:r w:rsidRPr="00B2211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B22112">
              <w:rPr>
                <w:rFonts w:ascii="Lato" w:hAnsi="Lato" w:cstheme="majorHAnsi"/>
                <w:color w:val="000000"/>
                <w:sz w:val="18"/>
                <w:szCs w:val="18"/>
              </w:rPr>
              <w:t>pemetreksedem</w:t>
            </w:r>
            <w:proofErr w:type="spellEnd"/>
            <w:r w:rsidRPr="00B2211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pochodną platyny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chorych na </w:t>
            </w:r>
            <w:proofErr w:type="spellStart"/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niedrobnokomórko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wego</w:t>
            </w:r>
            <w:proofErr w:type="spellEnd"/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raka płuca, </w:t>
            </w:r>
            <w:r w:rsidRPr="00B22112">
              <w:rPr>
                <w:rFonts w:ascii="Lato" w:hAnsi="Lato" w:cstheme="majorHAnsi"/>
                <w:color w:val="000000"/>
                <w:sz w:val="18"/>
                <w:szCs w:val="18"/>
              </w:rPr>
              <w:t>z ekspresją PD-L1 ≥ 50%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F34B2" w:rsidRPr="004D093B" w14:paraId="2F304C7B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526D9AB7" w:rsidR="00AF34B2" w:rsidRPr="004D093B" w:rsidRDefault="00686F8F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67242616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0C357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Tevimbra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70D60044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0C357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tislelizumab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5CD52E95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7968E9F6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48E4686B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kolejnej linii z zastosowaniem </w:t>
            </w:r>
            <w:proofErr w:type="spellStart"/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tislelizumab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chorych na </w:t>
            </w:r>
            <w:proofErr w:type="spellStart"/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>niedrobnokomórko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wego</w:t>
            </w:r>
            <w:proofErr w:type="spellEnd"/>
            <w:r w:rsidRPr="000C357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raka płuca, </w:t>
            </w:r>
            <w:r w:rsidRPr="00B22112">
              <w:rPr>
                <w:rFonts w:ascii="Lato" w:hAnsi="Lato" w:cstheme="majorHAnsi"/>
                <w:color w:val="000000"/>
                <w:sz w:val="18"/>
                <w:szCs w:val="18"/>
              </w:rPr>
              <w:t>po uprzednim leczeniu pochodnymi platyny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F34B2" w:rsidRPr="004D093B" w14:paraId="66C1CB6B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9958" w14:textId="7AD60AD2" w:rsidR="00AF34B2" w:rsidRPr="004D093B" w:rsidRDefault="00686F8F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C745" w14:textId="3D9740EB" w:rsidR="00AF34B2" w:rsidRPr="000C357D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Tepkinly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771B" w14:textId="6EA25EEB" w:rsidR="00AF34B2" w:rsidRPr="000C357D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epkorytamab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4D3B" w14:textId="66205E9F" w:rsidR="00AF34B2" w:rsidRPr="001D7CC2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B.12.FM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A52D" w14:textId="02DAE058" w:rsidR="00AF34B2" w:rsidRPr="000C357D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DA5">
              <w:rPr>
                <w:rFonts w:ascii="Lato" w:hAnsi="Lato" w:cstheme="majorHAnsi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36A2" w14:textId="77777777" w:rsidR="00AF34B2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DA5"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od 3. linii</w:t>
            </w:r>
            <w:r w:rsidRPr="00EF7DA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7DA5">
              <w:rPr>
                <w:rFonts w:ascii="Lato" w:hAnsi="Lato" w:cstheme="majorHAnsi"/>
                <w:color w:val="000000"/>
                <w:sz w:val="18"/>
                <w:szCs w:val="18"/>
              </w:rPr>
              <w:t>epkorytamabem</w:t>
            </w:r>
            <w:proofErr w:type="spellEnd"/>
            <w:r w:rsidRPr="00EF7DA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EF7DA5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EF7DA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chorych na </w:t>
            </w:r>
            <w:proofErr w:type="spellStart"/>
            <w:r w:rsidRPr="00EF7DA5"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 w:rsidRPr="00EF7DA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grudkowego (FL) o stanie sprawności 0-2 według skali ECOG, po wcześniejszym zastosowaniu co najmniej dwóch linii leczenia ogólnoustrojowego, w tym zawierających przeciwciało anty-CD20 i lek alkilujący lub </w:t>
            </w:r>
            <w:proofErr w:type="spellStart"/>
            <w:r w:rsidRPr="00EF7DA5">
              <w:rPr>
                <w:rFonts w:ascii="Lato" w:hAnsi="Lato" w:cstheme="majorHAnsi"/>
                <w:color w:val="000000"/>
                <w:sz w:val="18"/>
                <w:szCs w:val="18"/>
              </w:rPr>
              <w:t>lenalidomid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52E999E5" w14:textId="3E85B434" w:rsidR="00AF34B2" w:rsidRPr="001D7CC2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524C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AF34B2" w:rsidRPr="004D093B" w14:paraId="28F07B27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2696" w14:textId="7F95DBF7" w:rsidR="00AF34B2" w:rsidRPr="004D093B" w:rsidRDefault="00686F8F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246F" w14:textId="688156E6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Tevimbra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64EE" w14:textId="44EFAA85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tislelizumab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D78E" w14:textId="396D788C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14EF" w14:textId="37B67098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F35EFD">
              <w:rPr>
                <w:rFonts w:ascii="Lato" w:hAnsi="Lato" w:cstheme="majorHAnsi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176D" w14:textId="6D0A59F9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201A7">
              <w:rPr>
                <w:rFonts w:ascii="Lato" w:hAnsi="Lato"/>
                <w:bCs/>
                <w:sz w:val="18"/>
                <w:szCs w:val="18"/>
              </w:rPr>
              <w:t xml:space="preserve">Leczenie </w:t>
            </w:r>
            <w:proofErr w:type="spellStart"/>
            <w:r w:rsidRPr="003201A7">
              <w:rPr>
                <w:rFonts w:ascii="Lato" w:hAnsi="Lato"/>
                <w:bCs/>
                <w:sz w:val="18"/>
                <w:szCs w:val="18"/>
              </w:rPr>
              <w:t>tislelizumabem</w:t>
            </w:r>
            <w:proofErr w:type="spellEnd"/>
            <w:r w:rsidRPr="003201A7">
              <w:rPr>
                <w:rFonts w:ascii="Lato" w:hAnsi="Lato"/>
                <w:bCs/>
                <w:sz w:val="18"/>
                <w:szCs w:val="18"/>
              </w:rPr>
              <w:t xml:space="preserve"> w skojarzeniu z chemioterapią </w:t>
            </w:r>
            <w:r>
              <w:rPr>
                <w:rFonts w:ascii="Lato" w:hAnsi="Lato"/>
                <w:bCs/>
                <w:sz w:val="18"/>
                <w:szCs w:val="18"/>
              </w:rPr>
              <w:t xml:space="preserve">skojarzoną </w:t>
            </w:r>
            <w:r w:rsidRPr="003201A7">
              <w:rPr>
                <w:rFonts w:ascii="Lato" w:hAnsi="Lato"/>
                <w:bCs/>
                <w:sz w:val="18"/>
                <w:szCs w:val="18"/>
              </w:rPr>
              <w:t>zawierającą pochodną platyny i </w:t>
            </w:r>
            <w:proofErr w:type="spellStart"/>
            <w:r w:rsidRPr="003201A7">
              <w:rPr>
                <w:rFonts w:ascii="Lato" w:hAnsi="Lato"/>
                <w:bCs/>
                <w:sz w:val="18"/>
                <w:szCs w:val="18"/>
              </w:rPr>
              <w:t>fluoropirymidynę</w:t>
            </w:r>
            <w:proofErr w:type="spellEnd"/>
            <w:r w:rsidRPr="003201A7">
              <w:rPr>
                <w:rFonts w:ascii="Lato" w:hAnsi="Lato"/>
                <w:bCs/>
                <w:sz w:val="18"/>
                <w:szCs w:val="18"/>
              </w:rPr>
              <w:t xml:space="preserve"> lub pochodną platyny i </w:t>
            </w:r>
            <w:proofErr w:type="spellStart"/>
            <w:r w:rsidRPr="003201A7">
              <w:rPr>
                <w:rFonts w:ascii="Lato" w:hAnsi="Lato"/>
                <w:bCs/>
                <w:sz w:val="18"/>
                <w:szCs w:val="18"/>
              </w:rPr>
              <w:t>taksan</w:t>
            </w:r>
            <w:proofErr w:type="spellEnd"/>
            <w:r w:rsidRPr="003201A7">
              <w:rPr>
                <w:rFonts w:ascii="Lato" w:hAnsi="Lato"/>
                <w:bCs/>
                <w:sz w:val="18"/>
                <w:szCs w:val="18"/>
              </w:rPr>
              <w:t xml:space="preserve"> (</w:t>
            </w:r>
            <w:proofErr w:type="spellStart"/>
            <w:r w:rsidRPr="003201A7">
              <w:rPr>
                <w:rFonts w:ascii="Lato" w:hAnsi="Lato"/>
                <w:bCs/>
                <w:sz w:val="18"/>
                <w:szCs w:val="18"/>
              </w:rPr>
              <w:t>paklitaksel</w:t>
            </w:r>
            <w:proofErr w:type="spellEnd"/>
            <w:r w:rsidRPr="003201A7">
              <w:rPr>
                <w:rFonts w:ascii="Lato" w:hAnsi="Lato"/>
                <w:bCs/>
                <w:sz w:val="18"/>
                <w:szCs w:val="18"/>
              </w:rPr>
              <w:t>) dorosłych pacjentów z nieoperacyjnym, miejscowo zaawansowanym lub przerzutowym płaskonabłonkowym rakiem przełyku z ekspresją PD-L1 ≥ 5% (I linia leczenia).</w:t>
            </w:r>
          </w:p>
        </w:tc>
      </w:tr>
      <w:tr w:rsidR="00AF34B2" w:rsidRPr="004D093B" w14:paraId="47E64C48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56BE" w14:textId="1CC6DF27" w:rsidR="00AF34B2" w:rsidRPr="004D093B" w:rsidRDefault="00686F8F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8D1E" w14:textId="412A8EBB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Tevimbra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866C" w14:textId="18B27DB8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tislelizumab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C4DD" w14:textId="128DB0E5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0DC7" w14:textId="60C80BBE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F35EFD">
              <w:rPr>
                <w:rFonts w:ascii="Lato" w:hAnsi="Lato" w:cstheme="majorHAnsi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6DAD" w14:textId="75776DF5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201A7">
              <w:rPr>
                <w:rFonts w:ascii="Lato" w:hAnsi="Lato"/>
                <w:sz w:val="18"/>
                <w:szCs w:val="18"/>
              </w:rPr>
              <w:t xml:space="preserve">Leczenie </w:t>
            </w:r>
            <w:proofErr w:type="spellStart"/>
            <w:r w:rsidRPr="003201A7">
              <w:rPr>
                <w:rFonts w:ascii="Lato" w:hAnsi="Lato"/>
                <w:sz w:val="18"/>
                <w:szCs w:val="18"/>
              </w:rPr>
              <w:t>tislelizumabem</w:t>
            </w:r>
            <w:proofErr w:type="spellEnd"/>
            <w:r w:rsidRPr="003201A7">
              <w:rPr>
                <w:rFonts w:ascii="Lato" w:hAnsi="Lato"/>
                <w:sz w:val="18"/>
                <w:szCs w:val="18"/>
              </w:rPr>
              <w:t xml:space="preserve"> w </w:t>
            </w:r>
            <w:proofErr w:type="spellStart"/>
            <w:r w:rsidRPr="003201A7">
              <w:rPr>
                <w:rFonts w:ascii="Lato" w:hAnsi="Lato"/>
                <w:sz w:val="18"/>
                <w:szCs w:val="18"/>
              </w:rPr>
              <w:t>monoterapii</w:t>
            </w:r>
            <w:proofErr w:type="spellEnd"/>
            <w:r w:rsidRPr="003201A7">
              <w:rPr>
                <w:rFonts w:ascii="Lato" w:hAnsi="Lato"/>
                <w:sz w:val="18"/>
                <w:szCs w:val="18"/>
              </w:rPr>
              <w:t xml:space="preserve"> dorosłych pacjentów z nieoperacyjnym, miejscowo zaawansowanym lub przerzutowym płaskonabłonkowym rakiem przełyku, którzy wcześniej otrzymywali chemioterapię opartą na pochodnych platyny (II linia leczenia).</w:t>
            </w:r>
          </w:p>
        </w:tc>
      </w:tr>
      <w:tr w:rsidR="00AF34B2" w:rsidRPr="004D093B" w14:paraId="70A94AED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361A" w14:textId="7FA4E695" w:rsidR="00AF34B2" w:rsidRPr="004D093B" w:rsidRDefault="00686F8F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7C62" w14:textId="01C24C77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Tevimbra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7586" w14:textId="15FC1978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tislelizumab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58D1" w14:textId="0369D8D5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1A2E" w14:textId="0EB00B65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F35EFD">
              <w:rPr>
                <w:rFonts w:ascii="Lato" w:hAnsi="Lato" w:cstheme="majorHAnsi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06D0" w14:textId="12B1D505" w:rsidR="00AF34B2" w:rsidRPr="004D093B" w:rsidRDefault="00AF34B2" w:rsidP="00AF34B2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201A7">
              <w:rPr>
                <w:rFonts w:ascii="Lato" w:hAnsi="Lato"/>
                <w:bCs/>
                <w:sz w:val="18"/>
                <w:szCs w:val="18"/>
              </w:rPr>
              <w:t xml:space="preserve">Leczenie </w:t>
            </w:r>
            <w:proofErr w:type="spellStart"/>
            <w:r w:rsidRPr="003201A7">
              <w:rPr>
                <w:rFonts w:ascii="Lato" w:hAnsi="Lato"/>
                <w:bCs/>
                <w:sz w:val="18"/>
                <w:szCs w:val="18"/>
              </w:rPr>
              <w:t>tislelizumabem</w:t>
            </w:r>
            <w:proofErr w:type="spellEnd"/>
            <w:r w:rsidRPr="003201A7">
              <w:rPr>
                <w:rFonts w:ascii="Lato" w:hAnsi="Lato"/>
                <w:bCs/>
                <w:sz w:val="18"/>
                <w:szCs w:val="18"/>
              </w:rPr>
              <w:t xml:space="preserve"> w skojarzeniu z</w:t>
            </w:r>
            <w:r>
              <w:rPr>
                <w:rFonts w:ascii="Lato" w:hAnsi="Lato"/>
                <w:bCs/>
                <w:sz w:val="18"/>
                <w:szCs w:val="18"/>
              </w:rPr>
              <w:t> </w:t>
            </w:r>
            <w:r w:rsidRPr="003201A7">
              <w:rPr>
                <w:rFonts w:ascii="Lato" w:hAnsi="Lato"/>
                <w:bCs/>
                <w:sz w:val="18"/>
                <w:szCs w:val="18"/>
              </w:rPr>
              <w:t xml:space="preserve">chemioterapią skojarzoną opartą na </w:t>
            </w:r>
            <w:proofErr w:type="spellStart"/>
            <w:r w:rsidRPr="003201A7">
              <w:rPr>
                <w:rFonts w:ascii="Lato" w:hAnsi="Lato"/>
                <w:bCs/>
                <w:sz w:val="18"/>
                <w:szCs w:val="18"/>
              </w:rPr>
              <w:t>fluoropirymidynie</w:t>
            </w:r>
            <w:proofErr w:type="spellEnd"/>
            <w:r w:rsidRPr="003201A7">
              <w:rPr>
                <w:rFonts w:ascii="Lato" w:hAnsi="Lato"/>
                <w:bCs/>
                <w:sz w:val="18"/>
                <w:szCs w:val="18"/>
              </w:rPr>
              <w:t xml:space="preserve"> i pochodnej platyny (cisplatyna+5-fluorouracyl lub schemat CAPOX) dorosłych pacjentów z HER2-ujemnym, nieoperacyjnym, miejscowo zaawansowanym lub przerzutowym gruczolakorakiem żołądka lub połączenia żołądkowo-przełykowego z ekspresją PD-L1 ≥5% (I linia leczenia).</w:t>
            </w:r>
          </w:p>
        </w:tc>
      </w:tr>
      <w:tr w:rsidR="00E5036C" w:rsidRPr="004D093B" w14:paraId="6B91DC24" w14:textId="77777777" w:rsidTr="00E5036C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5A23" w14:textId="4304675A" w:rsidR="00E5036C" w:rsidRPr="004D093B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A77C" w14:textId="16EB1572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Adcetris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37C8" w14:textId="53A26192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brentuksymab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vedotin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D78A" w14:textId="17860FDC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B.77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818E" w14:textId="0D1B1B07" w:rsidR="00E5036C" w:rsidRPr="00EF7DA5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DA5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KLASYCZNEGO CHŁONIAKA HODGKINA (ICD-10: C81)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A68B" w14:textId="77777777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1. linii </w:t>
            </w:r>
            <w:proofErr w:type="spellStart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>brentuksymabem</w:t>
            </w:r>
            <w:proofErr w:type="spellEnd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>vedotin</w:t>
            </w:r>
            <w:proofErr w:type="spellEnd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>etopozydem</w:t>
            </w:r>
            <w:proofErr w:type="spellEnd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>cyklofosfamidem</w:t>
            </w:r>
            <w:proofErr w:type="spellEnd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>doksorubicyną</w:t>
            </w:r>
            <w:proofErr w:type="spellEnd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>dakarbazyną</w:t>
            </w:r>
            <w:proofErr w:type="spellEnd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>deksametazonem</w:t>
            </w:r>
            <w:proofErr w:type="spellEnd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>BrECADD</w:t>
            </w:r>
            <w:proofErr w:type="spellEnd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dorosłych chorych na </w:t>
            </w:r>
            <w:proofErr w:type="spellStart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>Hodgkina</w:t>
            </w:r>
            <w:proofErr w:type="spellEnd"/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stadium IIB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zaawansowania choroby z czynnikami ryzyka oraz w stadium</w:t>
            </w:r>
            <w:r w:rsidRPr="005524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III lub IV zaawansowania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choroby.</w:t>
            </w:r>
          </w:p>
          <w:p w14:paraId="617BF5CE" w14:textId="6F4A1BE1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524C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E5036C" w:rsidRPr="004D093B" w14:paraId="2840AA72" w14:textId="77777777" w:rsidTr="00734115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3807" w14:textId="12E282DC" w:rsidR="00E5036C" w:rsidRPr="004D093B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548F" w14:textId="091C6A79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D0E4A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E0FE" w14:textId="222D4E72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erybulina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519C" w14:textId="5584A4FD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0E4A">
              <w:rPr>
                <w:rFonts w:ascii="Lato" w:hAnsi="Lato" w:cstheme="majorHAnsi"/>
                <w:sz w:val="18"/>
                <w:szCs w:val="18"/>
              </w:rPr>
              <w:t>C.108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47F46" w14:textId="5ACA8325" w:rsidR="00E5036C" w:rsidRPr="00EF7DA5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D0E4A">
              <w:rPr>
                <w:rFonts w:ascii="Lato" w:hAnsi="Lato" w:cstheme="majorHAnsi"/>
                <w:sz w:val="18"/>
                <w:szCs w:val="18"/>
              </w:rPr>
              <w:t>ERYBULINA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1070" w14:textId="77777777" w:rsidR="00E5036C" w:rsidRPr="004D77E0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D0E4A">
              <w:rPr>
                <w:rFonts w:ascii="Lato" w:hAnsi="Lato" w:cstheme="majorHAnsi"/>
                <w:sz w:val="18"/>
                <w:szCs w:val="18"/>
              </w:rPr>
              <w:t xml:space="preserve">Leczenie dorosłych pacjentów z rakiem piersi miejscowo zaawansowanym lub z przerzutami, z progresją choroby po zastosowaniu co najmniej jednego cyklu chemioterapii w leczeniu zaawansowanej postaci choroby, po uprzednim stosowaniu substancji z grupy </w:t>
            </w:r>
            <w:proofErr w:type="spellStart"/>
            <w:r w:rsidRPr="000D0E4A">
              <w:rPr>
                <w:rFonts w:ascii="Lato" w:hAnsi="Lato" w:cstheme="majorHAnsi"/>
                <w:sz w:val="18"/>
                <w:szCs w:val="18"/>
              </w:rPr>
              <w:t>antracyklin</w:t>
            </w:r>
            <w:proofErr w:type="spellEnd"/>
            <w:r w:rsidRPr="000D0E4A">
              <w:rPr>
                <w:rFonts w:ascii="Lato" w:hAnsi="Lato" w:cstheme="majorHAnsi"/>
                <w:sz w:val="18"/>
                <w:szCs w:val="18"/>
              </w:rPr>
              <w:t xml:space="preserve"> oraz </w:t>
            </w:r>
            <w:proofErr w:type="spellStart"/>
            <w:r w:rsidRPr="000D0E4A">
              <w:rPr>
                <w:rFonts w:ascii="Lato" w:hAnsi="Lato" w:cstheme="majorHAnsi"/>
                <w:sz w:val="18"/>
                <w:szCs w:val="18"/>
              </w:rPr>
              <w:t>taksanów</w:t>
            </w:r>
            <w:proofErr w:type="spellEnd"/>
            <w:r w:rsidRPr="000D0E4A">
              <w:rPr>
                <w:rFonts w:ascii="Lato" w:hAnsi="Lato" w:cstheme="majorHAnsi"/>
                <w:sz w:val="18"/>
                <w:szCs w:val="18"/>
              </w:rPr>
              <w:t xml:space="preserve"> w terapii </w:t>
            </w:r>
            <w:proofErr w:type="spellStart"/>
            <w:r w:rsidRPr="000D0E4A">
              <w:rPr>
                <w:rFonts w:ascii="Lato" w:hAnsi="Lato" w:cstheme="majorHAnsi"/>
                <w:sz w:val="18"/>
                <w:szCs w:val="18"/>
              </w:rPr>
              <w:t>adjuwantowej</w:t>
            </w:r>
            <w:proofErr w:type="spellEnd"/>
            <w:r w:rsidRPr="000D0E4A">
              <w:rPr>
                <w:rFonts w:ascii="Lato" w:hAnsi="Lato" w:cstheme="majorHAnsi"/>
                <w:sz w:val="18"/>
                <w:szCs w:val="18"/>
              </w:rPr>
              <w:t xml:space="preserve"> lub w leczeniu przerzutowej choroby nowotworowej, chyba że u pacjentów wystąpiły przeciwwskazania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79E383B5" w14:textId="3781650A" w:rsidR="00E5036C" w:rsidRDefault="00E5036C" w:rsidP="00E5036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</w:tbl>
    <w:p w14:paraId="7F9CCF36" w14:textId="51B74B46" w:rsidR="004D093B" w:rsidRDefault="004D093B"/>
    <w:p w14:paraId="7FCF9A29" w14:textId="77777777" w:rsidR="004D093B" w:rsidRDefault="004D093B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1578"/>
        <w:gridCol w:w="1799"/>
        <w:gridCol w:w="1908"/>
        <w:gridCol w:w="3329"/>
        <w:gridCol w:w="4776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093B" w14:paraId="1394CD71" w14:textId="77777777" w:rsidTr="00937CAF">
        <w:trPr>
          <w:cantSplit/>
          <w:trHeight w:val="628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F67336" w:rsidRPr="004D093B" w14:paraId="7522F87A" w14:textId="77777777" w:rsidTr="00937CAF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7776F5AC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30D56391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Winrevair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055978B6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sotatercept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54789916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B.31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3195B8F6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F0318">
              <w:rPr>
                <w:rFonts w:ascii="Lato" w:hAnsi="Lato" w:cstheme="majorHAnsi"/>
                <w:color w:val="000000"/>
                <w:sz w:val="18"/>
                <w:szCs w:val="18"/>
              </w:rPr>
              <w:t>LECZENIE TĘTNICZEGO NADCIŚNIENIA PŁUCNEGO (TNP) (ICD-10 I27, I27.0)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E4B" w14:textId="77777777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Lek o nowym mechanizmie działania (</w:t>
            </w:r>
            <w:r w:rsidRPr="008B17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inhibitor sygnalizacji </w:t>
            </w:r>
            <w:proofErr w:type="spellStart"/>
            <w:r w:rsidRPr="008B17B7">
              <w:rPr>
                <w:rFonts w:ascii="Lato" w:hAnsi="Lato" w:cstheme="majorHAnsi"/>
                <w:color w:val="000000"/>
                <w:sz w:val="18"/>
                <w:szCs w:val="18"/>
              </w:rPr>
              <w:t>aktywiny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stosowany jako leczenie dodane do dotychczasowej terapii </w:t>
            </w:r>
            <w:r w:rsidRPr="001F0318">
              <w:rPr>
                <w:rFonts w:ascii="Lato" w:hAnsi="Lato" w:cstheme="majorHAnsi"/>
                <w:color w:val="000000"/>
                <w:sz w:val="18"/>
                <w:szCs w:val="18"/>
              </w:rPr>
              <w:t>w celu poprawy wydolności wysiłkowej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 Lek będzie stanowił kolejną opcje terapeutyczn</w:t>
            </w:r>
            <w:r w:rsidRPr="00F67336">
              <w:rPr>
                <w:rFonts w:ascii="Lato" w:hAnsi="Lato" w:cstheme="majorHAnsi"/>
                <w:color w:val="000000"/>
                <w:sz w:val="18"/>
                <w:szCs w:val="18"/>
              </w:rPr>
              <w:t>ą dla pacjentów w klasie czynnościowej III, u których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dotychczasowe leczenie (2 lub 3 -składniowe) stosowane w programie lekowym nie pozwoliło na osiągniecie celów terapeutycznych.</w:t>
            </w:r>
          </w:p>
          <w:p w14:paraId="5797C9BB" w14:textId="61D6BEAE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4244F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67336" w:rsidRPr="004D093B" w14:paraId="51D264CC" w14:textId="77777777" w:rsidTr="00937CAF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3260" w14:textId="12C7E64F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666B" w14:textId="0360C61C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Ozurdex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CCAC" w14:textId="329CC171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dexamethasonum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A5FE" w14:textId="42B5D867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B.70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F45D" w14:textId="553BC4C7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CHOROBAMI SIATKÓWKI (ICD-10: H34.0, H35.3, H36.0)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6DA0" w14:textId="70F8EC91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zakrzepów żył siatkówki implantem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doszklistkowym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dexamethasonem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ramach części C programu.</w:t>
            </w:r>
          </w:p>
        </w:tc>
      </w:tr>
      <w:tr w:rsidR="00F67336" w:rsidRPr="004D093B" w14:paraId="1E623785" w14:textId="77777777" w:rsidTr="00937CAF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45C5" w14:textId="19DB2B96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532F" w14:textId="654E96EC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31A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Fabhalta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09E4" w14:textId="1300CBE8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</w:t>
            </w:r>
            <w:r w:rsidRPr="00B131A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pta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Pr="00B131A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opa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452B" w14:textId="209B338A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7E8D" w14:textId="7D14E7B5" w:rsidR="00F67336" w:rsidRPr="00DA24DA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131A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8226" w14:textId="79CC2705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70A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dorosłych pacjentów z PNH, u których występuje niedokrwistość hemolityczna. Leczenie w </w:t>
            </w:r>
            <w:proofErr w:type="spellStart"/>
            <w:r w:rsidRPr="00570ACD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570ACD">
              <w:rPr>
                <w:rFonts w:ascii="Lato" w:hAnsi="Lato" w:cstheme="majorHAnsi"/>
                <w:color w:val="000000"/>
                <w:sz w:val="18"/>
                <w:szCs w:val="18"/>
              </w:rPr>
              <w:t>, inhibitor układu dopełniacza B, pierwsza terapia doustna.</w:t>
            </w:r>
          </w:p>
          <w:p w14:paraId="0F3FD1D9" w14:textId="4F66E290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244F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67336" w:rsidRPr="004D093B" w14:paraId="5ED86F3E" w14:textId="77777777" w:rsidTr="00937CAF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0823C687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64A8" w14:textId="77777777" w:rsidR="00F67336" w:rsidRPr="00093A19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93A1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Evrysdi</w:t>
            </w:r>
            <w:proofErr w:type="spellEnd"/>
          </w:p>
          <w:p w14:paraId="16255631" w14:textId="7DC55476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93A19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(tabletki powlekane)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164629B5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rysdyplam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7A0E0DFE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B.102.FM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42B8FB6A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A24DA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RDZENIOWY ZANIK MIĘŚNI (ICD-10: G12.0, G12.1)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F563" w14:textId="77777777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Nowa postać obecnego już w programie lekowym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rysdyplamu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 W</w:t>
            </w:r>
            <w:r w:rsidRPr="00BF4BE3">
              <w:rPr>
                <w:rFonts w:ascii="Lato" w:hAnsi="Lato" w:cstheme="majorHAnsi"/>
                <w:color w:val="000000"/>
                <w:sz w:val="18"/>
                <w:szCs w:val="18"/>
              </w:rPr>
              <w:t>ygodniejsz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 dawkowanie</w:t>
            </w:r>
            <w:r w:rsidRPr="00BF4BE3">
              <w:rPr>
                <w:rFonts w:ascii="Lato" w:hAnsi="Lato" w:cstheme="majorHAnsi"/>
                <w:color w:val="000000"/>
                <w:sz w:val="18"/>
                <w:szCs w:val="18"/>
              </w:rPr>
              <w:t>, nie wymaga przechowywania w specjalnych warunkach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790C1040" w14:textId="737FB5AC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244F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F67336" w:rsidRPr="004D093B" w14:paraId="02DBCACE" w14:textId="77777777" w:rsidTr="00937CAF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79EB" w14:textId="5F83E2E3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1DE3" w14:textId="64340D0F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Orladeyo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26E7F" w14:textId="3BE5E52C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berotralstat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E098" w14:textId="7D9591F6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B.122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F49E" w14:textId="6E0D876C" w:rsidR="00F67336" w:rsidRPr="00DA24DA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F0318">
              <w:rPr>
                <w:rFonts w:ascii="Lato" w:hAnsi="Lato" w:cstheme="majorHAnsi"/>
                <w:sz w:val="18"/>
                <w:szCs w:val="18"/>
              </w:rPr>
              <w:t>LECZENIE ZAPOBIEGAWCZE CHORYCH Z NAWRACAJĄCYMI NAPADAMI DZIEDZICZNEGO OBRZĘKU NACZYNIORUCHOWEGO O CIĘŻKIM PRZEBIEGU (ICD-10: D 84.1)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A138" w14:textId="77777777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Druga terapia profilaktyczna objęta refundacją w programie lekowym w analogicznym wskazaniu jak w przypadku </w:t>
            </w:r>
            <w:proofErr w:type="spellStart"/>
            <w:r w:rsidRPr="00EC2E1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lanadelumabu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1C0AA3AD" w14:textId="5CBA562D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Lek w formie podania doustnego.</w:t>
            </w:r>
          </w:p>
          <w:p w14:paraId="5D864396" w14:textId="7193D03F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F031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</w:t>
            </w:r>
            <w:r w:rsidRPr="001F031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horoba rzadka)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F67336" w:rsidRPr="004D093B" w14:paraId="5CE97390" w14:textId="77777777" w:rsidTr="00937CAF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61A400FE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038F2B1F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70ACD">
              <w:rPr>
                <w:rFonts w:ascii="Lato" w:hAnsi="Lato" w:cstheme="majorHAnsi"/>
                <w:b/>
                <w:bCs/>
                <w:sz w:val="18"/>
                <w:szCs w:val="18"/>
              </w:rPr>
              <w:t>Bimzel</w:t>
            </w:r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x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2675E3BC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bimekizumab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13AE61DD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B.161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23ED2877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70AC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ROPNYM ZAPALENIEM APOKRYNOWYCH GRUCZOŁÓW POTOWYCH (HS) (ICD-10: L 73.2)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E44D" w14:textId="77777777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70A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dorosłych chorych z HS </w:t>
            </w:r>
          </w:p>
          <w:p w14:paraId="0AFE6806" w14:textId="68C7FCD8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70ACD">
              <w:rPr>
                <w:rFonts w:ascii="Lato" w:hAnsi="Lato" w:cstheme="majorHAnsi"/>
                <w:color w:val="000000"/>
                <w:sz w:val="18"/>
                <w:szCs w:val="18"/>
              </w:rPr>
              <w:t>(postać umiarkowana i ciężka)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F67336" w:rsidRPr="004D093B" w14:paraId="6D899FDB" w14:textId="77777777" w:rsidTr="00937CAF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6BC70B01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5330CCEE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Adzynma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1232AEC4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7B04F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rADAMTS13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083BAF8E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B.164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3D76173B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B04F1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ZAKRZEPOWĄ PLAMICĄ MAŁOPŁYTKOWĄ (ICD-10: M31.1)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FC3C" w14:textId="77777777" w:rsidR="00F67336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pierwszej enzymatycznej terapii zastępczej dla pacjentów pediatrycznych i dorosłych z wrodzoną zakrzepową plamicą małopłytkową (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cTTP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). </w:t>
            </w:r>
          </w:p>
          <w:p w14:paraId="418A86C7" w14:textId="40181517" w:rsidR="00F67336" w:rsidRPr="00734115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73411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7A6E1E34" w14:textId="7A61593B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3411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(TLI)</w:t>
            </w:r>
          </w:p>
        </w:tc>
      </w:tr>
      <w:tr w:rsidR="00F67336" w:rsidRPr="004D093B" w14:paraId="1AF8AB98" w14:textId="77777777" w:rsidTr="00734115">
        <w:trPr>
          <w:cantSplit/>
          <w:trHeight w:val="1005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273C5CB9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49B61A4F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231E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Elmiron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6A1C2E3A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</w:t>
            </w:r>
            <w:r w:rsidRPr="004231E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entozanu</w:t>
            </w:r>
            <w:proofErr w:type="spellEnd"/>
            <w:r w:rsidRPr="004231E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31E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wielosiarczan</w:t>
            </w:r>
            <w:proofErr w:type="spellEnd"/>
            <w:r w:rsidRPr="004231E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sodowy,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1A9287B4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 w:rsidR="00C846FB">
              <w:rPr>
                <w:rFonts w:ascii="Lato" w:hAnsi="Lato" w:cstheme="majorHAns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154A142C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PRZEWLEKŁEGO ZESPOŁU BÓLOWEGO PĘCHERZA MOCZOWEGO (ICD-10 N 30.1)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5D71" w14:textId="55F497ED" w:rsidR="00F67336" w:rsidRPr="004D093B" w:rsidRDefault="00F67336" w:rsidP="00F6733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16207"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416207">
              <w:rPr>
                <w:rFonts w:ascii="Lato" w:hAnsi="Lato"/>
                <w:sz w:val="18"/>
                <w:szCs w:val="18"/>
              </w:rPr>
              <w:t xml:space="preserve"> </w:t>
            </w:r>
            <w:r w:rsidRPr="00416207">
              <w:rPr>
                <w:rFonts w:ascii="Lato" w:hAnsi="Lato" w:cstheme="majorHAnsi"/>
                <w:color w:val="000000"/>
                <w:sz w:val="18"/>
                <w:szCs w:val="18"/>
              </w:rPr>
              <w:t>zespołu bolesnego pęcherza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/</w:t>
            </w:r>
            <w:r w:rsidRPr="0041620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416207">
              <w:rPr>
                <w:rFonts w:ascii="Lato" w:hAnsi="Lato"/>
                <w:sz w:val="18"/>
                <w:szCs w:val="18"/>
              </w:rPr>
              <w:t>śródmiąższowego zapalenia pęcherza kategorii 2B lub wyższej wg</w:t>
            </w:r>
            <w:r>
              <w:rPr>
                <w:rFonts w:ascii="Lato" w:hAnsi="Lato"/>
                <w:sz w:val="18"/>
                <w:szCs w:val="18"/>
              </w:rPr>
              <w:t>.</w:t>
            </w:r>
            <w:r w:rsidRPr="00416207">
              <w:rPr>
                <w:rFonts w:ascii="Lato" w:hAnsi="Lato"/>
                <w:sz w:val="18"/>
                <w:szCs w:val="18"/>
              </w:rPr>
              <w:t xml:space="preserve"> ESSIC</w:t>
            </w:r>
            <w:r w:rsidRPr="0041620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</w:t>
            </w:r>
            <w:r w:rsidRPr="0041620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nagłym parciem na mocz i częstym oddawaniem moczu. 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033ED5" w:rsidRPr="004D093B" w14:paraId="50DA02B0" w14:textId="77777777" w:rsidTr="005D126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00434255" w:rsidR="00033ED5" w:rsidRPr="004D093B" w:rsidRDefault="00081D7A" w:rsidP="00033ED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="00686F8F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7F38D9FF" w:rsidR="00033ED5" w:rsidRPr="00734115" w:rsidRDefault="00081D7A" w:rsidP="00C846FB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73411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B.27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0EE690A6" w:rsidR="00033ED5" w:rsidRPr="00C846FB" w:rsidRDefault="00EF7C44" w:rsidP="00EB77EA">
            <w:pPr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846FB">
              <w:rPr>
                <w:rFonts w:ascii="Lato" w:hAnsi="Lato"/>
                <w:b/>
                <w:sz w:val="18"/>
                <w:szCs w:val="18"/>
              </w:rPr>
              <w:t>LECZENIE PRZEWLEKŁYCH ZAKAŻEŃ PŁUC U ŚWIADCZENIOBIORCÓW Z MUKOWISCYDOZĄ (ICD-10: E84)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225130FA" w:rsidR="00033ED5" w:rsidRPr="00C153B4" w:rsidRDefault="00C153B4" w:rsidP="005D126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Zmiana</w:t>
            </w:r>
            <w:r w:rsidR="002F297B">
              <w:rPr>
                <w:rFonts w:ascii="Lato" w:hAnsi="Lato" w:cstheme="majorHAnsi"/>
                <w:sz w:val="18"/>
                <w:szCs w:val="18"/>
              </w:rPr>
              <w:t xml:space="preserve"> treści </w:t>
            </w:r>
            <w:r>
              <w:rPr>
                <w:rFonts w:ascii="Lato" w:hAnsi="Lato" w:cstheme="majorHAnsi"/>
                <w:sz w:val="18"/>
                <w:szCs w:val="18"/>
              </w:rPr>
              <w:t>programu</w:t>
            </w:r>
            <w:r w:rsidR="002F297B">
              <w:rPr>
                <w:rFonts w:ascii="Lato" w:hAnsi="Lato" w:cstheme="majorHAnsi"/>
                <w:sz w:val="18"/>
                <w:szCs w:val="18"/>
              </w:rPr>
              <w:t xml:space="preserve"> lekowego na wniosek Konsultanta </w:t>
            </w:r>
            <w:r>
              <w:rPr>
                <w:rFonts w:ascii="Lato" w:hAnsi="Lato" w:cstheme="majorHAnsi"/>
                <w:sz w:val="18"/>
                <w:szCs w:val="18"/>
              </w:rPr>
              <w:t>K</w:t>
            </w:r>
            <w:r w:rsidR="002F297B">
              <w:rPr>
                <w:rFonts w:ascii="Lato" w:hAnsi="Lato" w:cstheme="majorHAnsi"/>
                <w:sz w:val="18"/>
                <w:szCs w:val="18"/>
              </w:rPr>
              <w:t>rajowego</w:t>
            </w:r>
            <w:r>
              <w:rPr>
                <w:rFonts w:ascii="Lato" w:hAnsi="Lato" w:cstheme="majorHAnsi"/>
                <w:sz w:val="18"/>
                <w:szCs w:val="18"/>
              </w:rPr>
              <w:t>,</w:t>
            </w:r>
            <w:r w:rsidR="002F297B">
              <w:rPr>
                <w:rFonts w:ascii="Lato" w:hAnsi="Lato" w:cstheme="majorHAnsi"/>
                <w:sz w:val="18"/>
                <w:szCs w:val="18"/>
              </w:rPr>
              <w:t xml:space="preserve"> w zakresie m.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="002F297B">
              <w:rPr>
                <w:rFonts w:ascii="Lato" w:hAnsi="Lato" w:cstheme="majorHAnsi"/>
                <w:sz w:val="18"/>
                <w:szCs w:val="18"/>
              </w:rPr>
              <w:t xml:space="preserve">in. usunięcia </w:t>
            </w:r>
            <w:r w:rsidR="00085C00">
              <w:rPr>
                <w:rFonts w:ascii="Lato" w:hAnsi="Lato" w:cstheme="majorHAnsi"/>
                <w:sz w:val="18"/>
                <w:szCs w:val="18"/>
              </w:rPr>
              <w:t xml:space="preserve">jednego z kryterium kwalifikacji do leczenia </w:t>
            </w:r>
            <w:proofErr w:type="spellStart"/>
            <w:r w:rsidR="00085C00">
              <w:rPr>
                <w:rFonts w:ascii="Lato" w:hAnsi="Lato" w:cstheme="majorHAnsi"/>
                <w:sz w:val="18"/>
                <w:szCs w:val="18"/>
              </w:rPr>
              <w:t>tobramycyną</w:t>
            </w:r>
            <w:proofErr w:type="spellEnd"/>
            <w:r w:rsidR="00085C00">
              <w:rPr>
                <w:rFonts w:ascii="Lato" w:hAnsi="Lato" w:cstheme="majorHAnsi"/>
                <w:sz w:val="18"/>
                <w:szCs w:val="18"/>
              </w:rPr>
              <w:t xml:space="preserve"> tj.:</w:t>
            </w:r>
            <w:r w:rsidR="002F297B" w:rsidRPr="002F297B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sz w:val="18"/>
                <w:szCs w:val="18"/>
              </w:rPr>
              <w:t>„</w:t>
            </w:r>
            <w:r w:rsidR="002F297B" w:rsidRPr="00C153B4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oporność na </w:t>
            </w:r>
            <w:proofErr w:type="spellStart"/>
            <w:r w:rsidR="002F297B" w:rsidRPr="00C153B4">
              <w:rPr>
                <w:rFonts w:ascii="Lato" w:hAnsi="Lato" w:cstheme="majorHAnsi"/>
                <w:i/>
                <w:iCs/>
                <w:sz w:val="18"/>
                <w:szCs w:val="18"/>
              </w:rPr>
              <w:t>kolistynę</w:t>
            </w:r>
            <w:proofErr w:type="spellEnd"/>
            <w:r w:rsidR="002F297B" w:rsidRPr="00C153B4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lub udokumentowana nietolerancja </w:t>
            </w:r>
            <w:proofErr w:type="spellStart"/>
            <w:r w:rsidR="002F297B" w:rsidRPr="00C153B4">
              <w:rPr>
                <w:rFonts w:ascii="Lato" w:hAnsi="Lato" w:cstheme="majorHAnsi"/>
                <w:i/>
                <w:iCs/>
                <w:sz w:val="18"/>
                <w:szCs w:val="18"/>
              </w:rPr>
              <w:t>kolistyny</w:t>
            </w:r>
            <w:proofErr w:type="spellEnd"/>
            <w:r w:rsidR="002F297B" w:rsidRPr="00C153B4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(</w:t>
            </w:r>
            <w:r w:rsidR="00085C00" w:rsidRPr="00C153B4">
              <w:rPr>
                <w:rFonts w:ascii="Lato" w:hAnsi="Lato" w:cstheme="majorHAnsi"/>
                <w:i/>
                <w:iCs/>
                <w:sz w:val="18"/>
                <w:szCs w:val="18"/>
              </w:rPr>
              <w:t>…</w:t>
            </w:r>
            <w:r w:rsidR="002F297B" w:rsidRPr="00C153B4">
              <w:rPr>
                <w:rFonts w:ascii="Lato" w:hAnsi="Lato" w:cstheme="majorHAnsi"/>
                <w:i/>
                <w:iCs/>
                <w:sz w:val="18"/>
                <w:szCs w:val="18"/>
              </w:rPr>
              <w:t>)</w:t>
            </w:r>
            <w:r w:rsidRPr="00C153B4">
              <w:rPr>
                <w:rFonts w:ascii="Lato" w:hAnsi="Lato" w:cstheme="majorHAnsi"/>
                <w:i/>
                <w:iCs/>
                <w:sz w:val="18"/>
                <w:szCs w:val="18"/>
              </w:rPr>
              <w:t>”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,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a także </w:t>
            </w:r>
            <w:r w:rsidR="00C8401C">
              <w:rPr>
                <w:rFonts w:ascii="Lato" w:hAnsi="Lato" w:cstheme="majorHAnsi"/>
                <w:sz w:val="18"/>
                <w:szCs w:val="18"/>
              </w:rPr>
              <w:t xml:space="preserve">ujednolicenia </w:t>
            </w:r>
            <w:r w:rsidR="005D12AE">
              <w:rPr>
                <w:rFonts w:ascii="Lato" w:hAnsi="Lato" w:cstheme="majorHAnsi"/>
                <w:sz w:val="18"/>
                <w:szCs w:val="18"/>
              </w:rPr>
              <w:t>zapisów programu.</w:t>
            </w:r>
          </w:p>
        </w:tc>
      </w:tr>
      <w:tr w:rsidR="00734115" w:rsidRPr="004D093B" w14:paraId="571B0832" w14:textId="77777777" w:rsidTr="005D126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56893F53" w:rsidR="00734115" w:rsidRPr="004D093B" w:rsidRDefault="00686F8F" w:rsidP="0073411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6F667454" w:rsidR="00734115" w:rsidRPr="00734115" w:rsidRDefault="00734115" w:rsidP="00C846FB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73411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B.50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4889B21A" w:rsidR="00734115" w:rsidRPr="00C846FB" w:rsidRDefault="00734115" w:rsidP="00734115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 w:rsidRPr="00C846F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LECZENIE CHORYCH NA RAKA JAJNIKA, RAKA JAJOWODU LUB RAKA OTRZEWNEJ (ICD-10: C56, C57, C48)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65826563" w:rsidR="00734115" w:rsidRPr="004D093B" w:rsidRDefault="00734115" w:rsidP="005D1267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D77E0">
              <w:rPr>
                <w:rFonts w:ascii="Lato" w:hAnsi="Lato" w:cstheme="majorHAnsi"/>
                <w:sz w:val="18"/>
                <w:szCs w:val="18"/>
              </w:rPr>
              <w:t>Doprecyzowanie zapisów powodujących wątpliwości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interpretacyjne dla substancji czynnej </w:t>
            </w:r>
            <w:proofErr w:type="spellStart"/>
            <w:r w:rsidRPr="00DC2C40">
              <w:rPr>
                <w:rFonts w:ascii="Lato" w:hAnsi="Lato" w:cstheme="majorHAnsi"/>
                <w:sz w:val="18"/>
                <w:szCs w:val="18"/>
              </w:rPr>
              <w:t>mirwetuksymab</w:t>
            </w:r>
            <w:proofErr w:type="spellEnd"/>
            <w:r w:rsidRPr="00DC2C40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sz w:val="18"/>
                <w:szCs w:val="18"/>
              </w:rPr>
              <w:br/>
            </w:r>
            <w:proofErr w:type="spellStart"/>
            <w:r w:rsidRPr="00DC2C40">
              <w:rPr>
                <w:rFonts w:ascii="Lato" w:hAnsi="Lato" w:cstheme="majorHAnsi"/>
                <w:sz w:val="18"/>
                <w:szCs w:val="18"/>
              </w:rPr>
              <w:t>sor</w:t>
            </w:r>
            <w:r>
              <w:rPr>
                <w:rFonts w:ascii="Lato" w:hAnsi="Lato" w:cstheme="majorHAnsi"/>
                <w:sz w:val="18"/>
                <w:szCs w:val="18"/>
              </w:rPr>
              <w:t>a</w:t>
            </w:r>
            <w:r w:rsidRPr="00DC2C40">
              <w:rPr>
                <w:rFonts w:ascii="Lato" w:hAnsi="Lato" w:cstheme="majorHAnsi"/>
                <w:sz w:val="18"/>
                <w:szCs w:val="18"/>
              </w:rPr>
              <w:t>wtanzyna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>. Z</w:t>
            </w:r>
            <w:r w:rsidRPr="00DC2C40">
              <w:rPr>
                <w:rFonts w:ascii="Lato" w:hAnsi="Lato" w:cstheme="majorHAnsi"/>
                <w:sz w:val="18"/>
                <w:szCs w:val="18"/>
              </w:rPr>
              <w:t xml:space="preserve">miana redakcyjna ma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na </w:t>
            </w:r>
            <w:r w:rsidRPr="00DC2C40">
              <w:rPr>
                <w:rFonts w:ascii="Lato" w:hAnsi="Lato" w:cstheme="majorHAnsi"/>
                <w:sz w:val="18"/>
                <w:szCs w:val="18"/>
              </w:rPr>
              <w:t>celu ujednolicenie zapisów na wstępie do zapisów wskazanych w kryteriach kwalifikacji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odnoszących się do linii leczenia w programie lekowym.</w:t>
            </w:r>
          </w:p>
        </w:tc>
      </w:tr>
      <w:tr w:rsidR="00734115" w:rsidRPr="004D093B" w14:paraId="67293BB2" w14:textId="77777777" w:rsidTr="005D126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7A08033F" w:rsidR="00734115" w:rsidRPr="004D093B" w:rsidRDefault="00686F8F" w:rsidP="0073411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3BD5E839" w:rsidR="00734115" w:rsidRPr="00734115" w:rsidRDefault="00734115" w:rsidP="00C846FB">
            <w:pPr>
              <w:spacing w:after="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B.70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183A9D43" w:rsidR="00734115" w:rsidRPr="00C846FB" w:rsidRDefault="00734115" w:rsidP="00734115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sz w:val="18"/>
                <w:szCs w:val="18"/>
                <w:lang w:eastAsia="en-US"/>
              </w:rPr>
            </w:pPr>
            <w:r w:rsidRPr="00C846F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LECZENIE PACJENTÓW Z CHOROBAMI SIATKÓWKI (ICD-10: H34.0, H35.3, H36.0)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E2EB" w14:textId="77777777" w:rsidR="00734115" w:rsidRDefault="00734115" w:rsidP="005D126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Wprowadzenie możliwości wydłużenia odstępów między kolejnymi iniekcjami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doszklistkowymi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afliberceptu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8 mg z 20 tygodni do 24 tygodni.</w:t>
            </w:r>
          </w:p>
          <w:p w14:paraId="45A1011A" w14:textId="77777777" w:rsidR="00734115" w:rsidRDefault="00734115" w:rsidP="005D126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Dodanie wymogu oceny przez Zespół Koordynacyjny skuteczności leczenia AMD i DME u każdego pacjenta w programie.</w:t>
            </w:r>
          </w:p>
          <w:p w14:paraId="4CB410F8" w14:textId="77777777" w:rsidR="00734115" w:rsidRDefault="00734115" w:rsidP="005D126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Zmiana zapisu dotycząca badań do kwalifikacji do części C programu – „angiografia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fluoresceinowa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Pr="003623C4">
              <w:rPr>
                <w:rFonts w:ascii="Lato" w:hAnsi="Lato" w:cstheme="majorHAnsi"/>
                <w:sz w:val="18"/>
                <w:szCs w:val="18"/>
                <w:u w:val="single"/>
              </w:rPr>
              <w:t>lub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angio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-OCT” na zapis „angiografia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fluoresceinowa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 w:rsidRPr="003623C4">
              <w:rPr>
                <w:rFonts w:ascii="Lato" w:hAnsi="Lato" w:cstheme="majorHAnsi"/>
                <w:sz w:val="18"/>
                <w:szCs w:val="18"/>
                <w:u w:val="single"/>
              </w:rPr>
              <w:t>i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angio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>-OCT”.</w:t>
            </w:r>
          </w:p>
          <w:p w14:paraId="4FCF84DF" w14:textId="32FBE1B8" w:rsidR="00734115" w:rsidRPr="004D093B" w:rsidRDefault="00734115" w:rsidP="005D1267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Objęcie refundacją pierwszych odpowiedników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afliberceptu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 dawce 2 mg.</w:t>
            </w:r>
          </w:p>
        </w:tc>
      </w:tr>
      <w:tr w:rsidR="00734115" w:rsidRPr="004D093B" w14:paraId="66D571B6" w14:textId="77777777" w:rsidTr="005D126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3B00B440" w:rsidR="00734115" w:rsidRPr="004D093B" w:rsidRDefault="00686F8F" w:rsidP="0073411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4157855B" w:rsidR="00734115" w:rsidRPr="00734115" w:rsidRDefault="00734115" w:rsidP="00C846FB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3411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B.128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55A3D23E" w:rsidR="00734115" w:rsidRPr="00C846FB" w:rsidRDefault="00734115" w:rsidP="00734115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C846FB">
              <w:rPr>
                <w:rFonts w:ascii="Lato" w:hAnsi="Lato"/>
                <w:b/>
                <w:sz w:val="18"/>
                <w:szCs w:val="18"/>
              </w:rPr>
              <w:t>LECZENIE CHORYCH NA OSTRĄ PORFIRIĘ WĄTROBOWĄ (AHP) U DOROSŁYCH I</w:t>
            </w:r>
            <w:r w:rsidRPr="00C846FB">
              <w:rPr>
                <w:rFonts w:ascii="Arial" w:hAnsi="Arial" w:cs="Arial"/>
                <w:b/>
                <w:sz w:val="18"/>
                <w:szCs w:val="18"/>
              </w:rPr>
              <w:t> </w:t>
            </w:r>
            <w:r w:rsidRPr="00C846FB">
              <w:rPr>
                <w:rFonts w:ascii="Lato" w:hAnsi="Lato"/>
                <w:b/>
                <w:sz w:val="18"/>
                <w:szCs w:val="18"/>
              </w:rPr>
              <w:t>M</w:t>
            </w:r>
            <w:r w:rsidRPr="00C846FB">
              <w:rPr>
                <w:rFonts w:ascii="Lato" w:hAnsi="Lato" w:cs="Lato"/>
                <w:b/>
                <w:sz w:val="18"/>
                <w:szCs w:val="18"/>
              </w:rPr>
              <w:t>Ł</w:t>
            </w:r>
            <w:r w:rsidRPr="00C846FB">
              <w:rPr>
                <w:rFonts w:ascii="Lato" w:hAnsi="Lato"/>
                <w:b/>
                <w:sz w:val="18"/>
                <w:szCs w:val="18"/>
              </w:rPr>
              <w:t>ODZIE</w:t>
            </w:r>
            <w:r w:rsidRPr="00C846FB">
              <w:rPr>
                <w:rFonts w:ascii="Lato" w:hAnsi="Lato" w:cs="Lato"/>
                <w:b/>
                <w:sz w:val="18"/>
                <w:szCs w:val="18"/>
              </w:rPr>
              <w:t>Ż</w:t>
            </w:r>
            <w:r w:rsidRPr="00C846FB">
              <w:rPr>
                <w:rFonts w:ascii="Lato" w:hAnsi="Lato"/>
                <w:b/>
                <w:sz w:val="18"/>
                <w:szCs w:val="18"/>
              </w:rPr>
              <w:t>Y W WIEKU OD 12 LAT (ICD-10: E80.2)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7ABB" w14:textId="511C8FB9" w:rsidR="00734115" w:rsidRDefault="00734115" w:rsidP="005D126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A57907">
              <w:rPr>
                <w:rFonts w:ascii="Lato" w:hAnsi="Lato" w:cstheme="majorHAnsi"/>
                <w:sz w:val="18"/>
                <w:szCs w:val="18"/>
              </w:rPr>
              <w:t>Kompleksowa zmiana treści programu lekowego obejmująca wszystkie jego składowe</w:t>
            </w:r>
            <w:r>
              <w:rPr>
                <w:rFonts w:ascii="Lato" w:hAnsi="Lato" w:cstheme="majorHAnsi"/>
                <w:sz w:val="18"/>
                <w:szCs w:val="18"/>
              </w:rPr>
              <w:t>, prowadzona równolegle do przeniesienia finansowania produktu z Funduszu Medycznego do refundacji systemowej, po 4 latach finansowania jako technologia lekowa o wysokim poziomie innowacyjności (TLI)</w:t>
            </w:r>
            <w:r w:rsidRPr="00A57907">
              <w:rPr>
                <w:rFonts w:ascii="Lato" w:hAnsi="Lato" w:cstheme="majorHAnsi"/>
                <w:sz w:val="18"/>
                <w:szCs w:val="18"/>
              </w:rPr>
              <w:t>.</w:t>
            </w:r>
          </w:p>
          <w:p w14:paraId="4C9AB9C4" w14:textId="4FC296C1" w:rsidR="00734115" w:rsidRPr="004D093B" w:rsidRDefault="00734115" w:rsidP="005D1267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57907">
              <w:rPr>
                <w:rFonts w:ascii="Lato" w:hAnsi="Lato" w:cstheme="majorHAnsi"/>
                <w:sz w:val="18"/>
                <w:szCs w:val="18"/>
              </w:rPr>
              <w:t xml:space="preserve">Główna zmiana dotyczy </w:t>
            </w:r>
            <w:r>
              <w:rPr>
                <w:rFonts w:ascii="Lato" w:hAnsi="Lato" w:cstheme="majorHAnsi"/>
                <w:sz w:val="18"/>
                <w:szCs w:val="18"/>
              </w:rPr>
              <w:t>możliwości powrotu do leczenia po ciąży lub karmieniu piersią</w:t>
            </w:r>
            <w:r w:rsidRPr="00A57907">
              <w:rPr>
                <w:rFonts w:ascii="Lato" w:hAnsi="Lato" w:cstheme="majorHAnsi"/>
                <w:sz w:val="18"/>
                <w:szCs w:val="18"/>
              </w:rPr>
              <w:t>. Dodatkowo wprowadzono liczne zmiany ujednolicające i porządkujące program lekowy.</w:t>
            </w:r>
          </w:p>
        </w:tc>
      </w:tr>
      <w:tr w:rsidR="00734115" w:rsidRPr="004D093B" w14:paraId="1EC37EE4" w14:textId="77777777" w:rsidTr="005D126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728" w14:textId="67F66CFD" w:rsidR="00734115" w:rsidRPr="004D093B" w:rsidRDefault="00686F8F" w:rsidP="0073411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53BF" w14:textId="6E9DCC01" w:rsidR="00734115" w:rsidRPr="00734115" w:rsidRDefault="00734115" w:rsidP="00C846FB">
            <w:pPr>
              <w:pStyle w:val="Style2"/>
              <w:widowControl/>
              <w:spacing w:line="240" w:lineRule="auto"/>
              <w:jc w:val="center"/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34115">
              <w:rPr>
                <w:rFonts w:ascii="Lato" w:hAnsi="Lato" w:cstheme="majorHAnsi"/>
                <w:b/>
                <w:bCs/>
                <w:sz w:val="18"/>
                <w:szCs w:val="18"/>
              </w:rPr>
              <w:t>B.148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CBC3" w14:textId="36A83C6C" w:rsidR="00734115" w:rsidRPr="00C846FB" w:rsidRDefault="00734115" w:rsidP="00734115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846FB">
              <w:rPr>
                <w:rFonts w:ascii="Lato" w:hAnsi="Lato" w:cstheme="majorHAnsi"/>
                <w:b/>
                <w:bCs/>
                <w:sz w:val="18"/>
                <w:szCs w:val="18"/>
              </w:rPr>
              <w:t>LECZENIE CHORYCH NA RAKA ENDOMETRIUM (ICD-10: C54)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B79B" w14:textId="6F22D106" w:rsidR="00734115" w:rsidRPr="004D093B" w:rsidRDefault="00734115" w:rsidP="005D1267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Głównie d</w:t>
            </w:r>
            <w:r w:rsidRPr="004D77E0">
              <w:rPr>
                <w:rFonts w:ascii="Lato" w:hAnsi="Lato" w:cstheme="majorHAnsi"/>
                <w:sz w:val="18"/>
                <w:szCs w:val="18"/>
              </w:rPr>
              <w:t xml:space="preserve">oprecyzowanie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zapisu w części dotyczącej dawkowania leków, gdzie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 zapisu, iż nie </w:t>
            </w:r>
            <w:r w:rsidRPr="00DC2C40">
              <w:rPr>
                <w:rFonts w:ascii="Lato" w:hAnsi="Lato" w:cstheme="majorHAnsi"/>
                <w:color w:val="000000"/>
                <w:sz w:val="18"/>
                <w:szCs w:val="18"/>
              </w:rPr>
              <w:t>zaleca się zmniejszania dawki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dodano, iż chodzi o substancję czynną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durwalumab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przypadku leczenia pacjentów </w:t>
            </w:r>
            <w:proofErr w:type="spellStart"/>
            <w:r w:rsidRPr="00EC1AF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durwalumabem</w:t>
            </w:r>
            <w:proofErr w:type="spellEnd"/>
            <w:r w:rsidRPr="00EC1AF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EC1AF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karboplatyną</w:t>
            </w:r>
            <w:proofErr w:type="spellEnd"/>
            <w:r w:rsidRPr="00EC1AF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EC1AF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paklitakselem</w:t>
            </w:r>
            <w:proofErr w:type="spellEnd"/>
            <w:r w:rsidRPr="00EC1AF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, a następnie </w:t>
            </w:r>
            <w:proofErr w:type="spellStart"/>
            <w:r w:rsidRPr="00EC1AF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durwalumabem</w:t>
            </w:r>
            <w:proofErr w:type="spellEnd"/>
            <w:r w:rsidRPr="00EC1AF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EC1AF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monoterapii</w:t>
            </w:r>
            <w:proofErr w:type="spellEnd"/>
            <w:r w:rsidRPr="00EC1AF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lub w skojarzeniu z </w:t>
            </w:r>
            <w:proofErr w:type="spellStart"/>
            <w:r w:rsidRPr="00EC1AF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olaparybem</w:t>
            </w:r>
            <w:proofErr w:type="spellEnd"/>
            <w:r w:rsidRPr="00EC1AF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 I linii leczenia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734115" w:rsidRPr="004D093B" w14:paraId="760505AF" w14:textId="77777777" w:rsidTr="005D126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4D49" w14:textId="28CE8E65" w:rsidR="00734115" w:rsidRPr="004D093B" w:rsidRDefault="00686F8F" w:rsidP="0073411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35D" w14:textId="431011FC" w:rsidR="00734115" w:rsidRPr="00734115" w:rsidRDefault="00734115" w:rsidP="00C846FB">
            <w:pPr>
              <w:pStyle w:val="Style2"/>
              <w:widowControl/>
              <w:spacing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73411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B.154.FM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0952" w14:textId="62FC0D31" w:rsidR="00734115" w:rsidRPr="00C846FB" w:rsidRDefault="00734115" w:rsidP="00734115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C846FB">
              <w:rPr>
                <w:rFonts w:ascii="Lato" w:hAnsi="Lato"/>
                <w:b/>
                <w:sz w:val="18"/>
                <w:szCs w:val="18"/>
              </w:rPr>
              <w:t>LECZENIE PACJENTÓW Z ZESPOŁEM LENNOXA-GASTAUTA LUB Z ZESPOŁEM DRAVET (ICD-10: G40.4)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3CDF" w14:textId="1C74A21D" w:rsidR="00734115" w:rsidRPr="003B46BF" w:rsidRDefault="00734115" w:rsidP="005D126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BF4BE3">
              <w:rPr>
                <w:rFonts w:ascii="Lato" w:hAnsi="Lato" w:cstheme="majorHAnsi"/>
                <w:sz w:val="18"/>
                <w:szCs w:val="18"/>
              </w:rPr>
              <w:t>Zmiany dotyczą</w:t>
            </w:r>
            <w:r w:rsidR="00E5036C">
              <w:rPr>
                <w:rFonts w:ascii="Lato" w:hAnsi="Lato" w:cstheme="majorHAnsi"/>
                <w:sz w:val="18"/>
                <w:szCs w:val="18"/>
              </w:rPr>
              <w:t xml:space="preserve"> m.in. </w:t>
            </w:r>
            <w:r w:rsidRPr="00BF4BE3">
              <w:rPr>
                <w:rFonts w:ascii="Lato" w:hAnsi="Lato" w:cstheme="majorHAnsi"/>
                <w:sz w:val="18"/>
                <w:szCs w:val="18"/>
              </w:rPr>
              <w:t xml:space="preserve">powołania Zespół Koordynacyjny ds. Leczenia pacjentów z zespołem </w:t>
            </w:r>
            <w:proofErr w:type="spellStart"/>
            <w:r w:rsidRPr="00BF4BE3">
              <w:rPr>
                <w:rFonts w:ascii="Lato" w:hAnsi="Lato" w:cstheme="majorHAnsi"/>
                <w:sz w:val="18"/>
                <w:szCs w:val="18"/>
              </w:rPr>
              <w:t>Lennoxa-Gastauta</w:t>
            </w:r>
            <w:proofErr w:type="spellEnd"/>
            <w:r w:rsidRPr="00BF4BE3">
              <w:rPr>
                <w:rFonts w:ascii="Lato" w:hAnsi="Lato" w:cstheme="majorHAnsi"/>
                <w:sz w:val="18"/>
                <w:szCs w:val="18"/>
              </w:rPr>
              <w:t xml:space="preserve"> lub z zespołem </w:t>
            </w:r>
            <w:proofErr w:type="spellStart"/>
            <w:r w:rsidRPr="00BF4BE3">
              <w:rPr>
                <w:rFonts w:ascii="Lato" w:hAnsi="Lato" w:cstheme="majorHAnsi"/>
                <w:sz w:val="18"/>
                <w:szCs w:val="18"/>
              </w:rPr>
              <w:t>Dravet</w:t>
            </w:r>
            <w:proofErr w:type="spellEnd"/>
            <w:r w:rsidRPr="00BF4BE3">
              <w:rPr>
                <w:rFonts w:ascii="Lato" w:hAnsi="Lato" w:cstheme="majorHAnsi"/>
                <w:sz w:val="18"/>
                <w:szCs w:val="18"/>
              </w:rPr>
              <w:t xml:space="preserve">, usunięcia z punktu „kryteria wyłączenia” podpunktu </w:t>
            </w:r>
            <w:r>
              <w:rPr>
                <w:rFonts w:ascii="Lato" w:hAnsi="Lato" w:cstheme="majorHAnsi"/>
                <w:sz w:val="18"/>
                <w:szCs w:val="18"/>
              </w:rPr>
              <w:t>o zmianie leków w terapii podstawowej</w:t>
            </w:r>
            <w:r w:rsidRPr="00BF4BE3">
              <w:rPr>
                <w:rFonts w:ascii="Lato" w:hAnsi="Lato" w:cstheme="majorHAnsi"/>
                <w:sz w:val="18"/>
                <w:szCs w:val="18"/>
              </w:rPr>
              <w:t>,</w:t>
            </w:r>
            <w:r w:rsidR="00E5036C">
              <w:rPr>
                <w:rFonts w:ascii="Lato" w:hAnsi="Lato" w:cstheme="majorHAnsi"/>
                <w:sz w:val="18"/>
                <w:szCs w:val="18"/>
              </w:rPr>
              <w:t xml:space="preserve"> umożliwienie</w:t>
            </w:r>
            <w:r w:rsidRPr="00BF4BE3">
              <w:rPr>
                <w:rFonts w:ascii="Lato" w:hAnsi="Lato" w:cstheme="majorHAnsi"/>
                <w:sz w:val="18"/>
                <w:szCs w:val="18"/>
              </w:rPr>
              <w:t xml:space="preserve"> przesunięcia w czasie oceny skuteczności w przypadku wystąpienia stanów uniemożliwiających ocenę skuteczności (np. infekcji, gorączki, wzrostu aktywności enzymów wątrobowych), odroczenie nie dłuższe niż 9 miesięcy.</w:t>
            </w:r>
          </w:p>
        </w:tc>
      </w:tr>
      <w:tr w:rsidR="005D1267" w:rsidRPr="004D093B" w14:paraId="53AEE66C" w14:textId="77777777" w:rsidTr="005D1267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2640" w14:textId="32D5FCC8" w:rsidR="005D1267" w:rsidRDefault="005D1267" w:rsidP="005D126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41DC" w14:textId="04DDF13A" w:rsidR="005D1267" w:rsidRPr="00734115" w:rsidRDefault="005D1267" w:rsidP="00C846FB">
            <w:pPr>
              <w:pStyle w:val="Style2"/>
              <w:widowControl/>
              <w:spacing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C.110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823E" w14:textId="6C9292EA" w:rsidR="005D1267" w:rsidRPr="00C846FB" w:rsidRDefault="005D1267" w:rsidP="005D1267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C846FB">
              <w:rPr>
                <w:rFonts w:ascii="Lato" w:hAnsi="Lato"/>
                <w:b/>
                <w:sz w:val="18"/>
                <w:szCs w:val="18"/>
              </w:rPr>
              <w:t>AFLIBERCEPT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5EF5" w14:textId="28B2BF51" w:rsidR="005D1267" w:rsidRPr="00BF4BE3" w:rsidRDefault="005D1267" w:rsidP="005D126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refundacyjnej dla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afliberceptu</w:t>
            </w:r>
            <w:proofErr w:type="spellEnd"/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programu lekowego 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 dotyczącego leczenia raka jelita grubego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katalogu chemioterapii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ramach załącznika nr</w:t>
            </w:r>
            <w:r w:rsidRPr="001C094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C.110.</w:t>
            </w:r>
          </w:p>
        </w:tc>
      </w:tr>
    </w:tbl>
    <w:p w14:paraId="08AE375A" w14:textId="43C53898" w:rsidR="0056748F" w:rsidRPr="004D093B" w:rsidRDefault="0056748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052EAE3A" w14:textId="77777777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A159DA" w:rsidRPr="004D093B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450100DE" w:rsidR="00A159DA" w:rsidRPr="004D093B" w:rsidRDefault="0027472D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</w:t>
            </w:r>
            <w:r w:rsidR="00937CAF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495F6D63" w:rsidR="00A159DA" w:rsidRPr="004D093B" w:rsidRDefault="00483B24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Trimbow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61A09A02" w:rsidR="00A159DA" w:rsidRPr="004D093B" w:rsidRDefault="00415C7E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beklometazon</w:t>
            </w:r>
            <w:proofErr w:type="spellEnd"/>
            <w:r w:rsidRPr="00415C7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formoterol</w:t>
            </w:r>
            <w:proofErr w:type="spellEnd"/>
            <w:r w:rsidRPr="00415C7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="00FF0E8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glikopironium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0C0FD428" w:rsidR="00A159DA" w:rsidRPr="004D093B" w:rsidRDefault="00C21E1E" w:rsidP="00A159D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C21E1E">
              <w:rPr>
                <w:rFonts w:ascii="Lato" w:hAnsi="Lato" w:cstheme="majorHAnsi"/>
                <w:color w:val="000000"/>
                <w:sz w:val="18"/>
                <w:szCs w:val="18"/>
              </w:rPr>
              <w:t>Leczenie podtrzymujące u pacjentów dorosłych z umiarkowaną lub ciężką przewlekłą obturacyjną chorobą płuc (</w:t>
            </w:r>
            <w:proofErr w:type="spellStart"/>
            <w:r w:rsidRPr="00C21E1E">
              <w:rPr>
                <w:rFonts w:ascii="Lato" w:hAnsi="Lato" w:cstheme="majorHAnsi"/>
                <w:color w:val="000000"/>
                <w:sz w:val="18"/>
                <w:szCs w:val="18"/>
              </w:rPr>
              <w:t>POChP</w:t>
            </w:r>
            <w:proofErr w:type="spellEnd"/>
            <w:r w:rsidRPr="00C21E1E">
              <w:rPr>
                <w:rFonts w:ascii="Lato" w:hAnsi="Lato" w:cstheme="majorHAnsi"/>
                <w:color w:val="000000"/>
                <w:sz w:val="18"/>
                <w:szCs w:val="18"/>
              </w:rPr>
              <w:t>), u których nie uzyskuje się odpowiedniego efektu leczenia podczas jednoczesnego stosowania kortykosteroidu wziewnego i długo działającego agonisty receptorów beta-2 lub jednoczesnego stosowania długo działającego agonisty receptorów beta-2 i długo działającego antagonisty receptorów muskarynowych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12B94E77" w:rsidR="00F31A79" w:rsidRPr="004D093B" w:rsidRDefault="00B47BE3" w:rsidP="00DE00F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</w:t>
            </w:r>
            <w:r w:rsidR="00246A70">
              <w:rPr>
                <w:rFonts w:ascii="Lato" w:hAnsi="Lato" w:cstheme="majorHAnsi"/>
                <w:color w:val="000000"/>
                <w:sz w:val="18"/>
                <w:szCs w:val="18"/>
              </w:rPr>
              <w:t>cie refundacją leku</w:t>
            </w:r>
            <w:r w:rsidR="00C2474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trójskładnikow</w:t>
            </w:r>
            <w:r w:rsidR="00246A70"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="0064795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B60139">
              <w:rPr>
                <w:rFonts w:ascii="Lato" w:hAnsi="Lato" w:cstheme="majorHAnsi"/>
                <w:color w:val="000000"/>
                <w:sz w:val="18"/>
                <w:szCs w:val="18"/>
              </w:rPr>
              <w:t>w postaci proszku do inhalacji</w:t>
            </w:r>
            <w:r w:rsidR="000A180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461B60">
              <w:rPr>
                <w:rFonts w:ascii="Lato" w:hAnsi="Lato" w:cstheme="majorHAnsi"/>
                <w:color w:val="000000"/>
                <w:sz w:val="18"/>
                <w:szCs w:val="18"/>
              </w:rPr>
              <w:t>stosowan</w:t>
            </w:r>
            <w:r w:rsidR="00246A70"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="00461B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</w:t>
            </w:r>
            <w:r w:rsidR="000A180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leczeniu </w:t>
            </w:r>
            <w:proofErr w:type="spellStart"/>
            <w:r w:rsidR="000A180D">
              <w:rPr>
                <w:rFonts w:ascii="Lato" w:hAnsi="Lato" w:cstheme="majorHAnsi"/>
                <w:color w:val="000000"/>
                <w:sz w:val="18"/>
                <w:szCs w:val="18"/>
              </w:rPr>
              <w:t>POChP</w:t>
            </w:r>
            <w:proofErr w:type="spellEnd"/>
            <w:r w:rsidR="00DA3B8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dorosłych pacjentów</w:t>
            </w:r>
            <w:r w:rsidR="000A180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(obecnie w refundacji jest w tym wskazaniu </w:t>
            </w:r>
            <w:r w:rsidR="00DA3B8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 </w:t>
            </w:r>
            <w:proofErr w:type="spellStart"/>
            <w:r w:rsidR="00461B60">
              <w:rPr>
                <w:rFonts w:ascii="Lato" w:hAnsi="Lato" w:cstheme="majorHAnsi"/>
                <w:color w:val="000000"/>
                <w:sz w:val="18"/>
                <w:szCs w:val="18"/>
              </w:rPr>
              <w:t>Trimbow</w:t>
            </w:r>
            <w:proofErr w:type="spellEnd"/>
            <w:r w:rsidR="00461B6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postaci </w:t>
            </w:r>
            <w:r w:rsidR="000A180D">
              <w:rPr>
                <w:rFonts w:ascii="Lato" w:hAnsi="Lato" w:cstheme="majorHAnsi"/>
                <w:color w:val="000000"/>
                <w:sz w:val="18"/>
                <w:szCs w:val="18"/>
              </w:rPr>
              <w:t>aerozol</w:t>
            </w:r>
            <w:r w:rsidR="00461B60">
              <w:rPr>
                <w:rFonts w:ascii="Lato" w:hAnsi="Lato" w:cstheme="majorHAnsi"/>
                <w:color w:val="000000"/>
                <w:sz w:val="18"/>
                <w:szCs w:val="18"/>
              </w:rPr>
              <w:t>u</w:t>
            </w:r>
            <w:r w:rsidR="000A180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inhalacyjn</w:t>
            </w:r>
            <w:r w:rsidR="00461B60"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="000A180D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</w:tc>
      </w:tr>
      <w:tr w:rsidR="00EA326D" w:rsidRPr="004D093B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528B1BCA" w:rsidR="00EA326D" w:rsidRPr="004D093B" w:rsidRDefault="0027472D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</w:t>
            </w:r>
            <w:r w:rsidR="00937CAF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0FC1B3A6" w:rsidR="00EA326D" w:rsidRPr="004D093B" w:rsidRDefault="00483B24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Trimbow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3206CE6D" w:rsidR="00EA326D" w:rsidRPr="004D093B" w:rsidRDefault="00FF0E85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F0E8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beklometazon</w:t>
            </w:r>
            <w:proofErr w:type="spellEnd"/>
            <w:r w:rsidRPr="00FF0E8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FF0E8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formoterol</w:t>
            </w:r>
            <w:proofErr w:type="spellEnd"/>
            <w:r w:rsidRPr="00FF0E8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FF0E8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glikopironium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1206058E" w:rsidR="00EA326D" w:rsidRPr="004D093B" w:rsidRDefault="009C1130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C1130">
              <w:rPr>
                <w:rFonts w:ascii="Lato" w:hAnsi="Lato" w:cstheme="majorHAnsi"/>
                <w:color w:val="000000"/>
                <w:sz w:val="18"/>
                <w:szCs w:val="18"/>
              </w:rPr>
              <w:t>Leczenie podtrzymujące astmy u pacjentów dorosłych z niewystarczającą kontrolą objawów astmy po zastosowaniu produktu złożonego z długo działającego agonisty receptorów beta-2 i dużych dawek kortykosteroidu wziewnego, u których wystąpiło jedno lub więcej zaostrzeń astmy w ciągu poprzedniego roku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3724" w14:textId="02FA80D2" w:rsidR="00EA326D" w:rsidRPr="004D093B" w:rsidRDefault="00246A70" w:rsidP="00EA326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46A70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leku </w:t>
            </w:r>
            <w:r w:rsidR="007E216C" w:rsidRPr="007E216C">
              <w:rPr>
                <w:rFonts w:ascii="Lato" w:hAnsi="Lato" w:cstheme="majorHAnsi"/>
                <w:color w:val="000000"/>
                <w:sz w:val="18"/>
                <w:szCs w:val="18"/>
              </w:rPr>
              <w:t>trójskładnikow</w:t>
            </w:r>
            <w:r w:rsidR="002C3980"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="007E216C" w:rsidRPr="007E21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postaci </w:t>
            </w:r>
            <w:r w:rsidR="00AF1DA4">
              <w:rPr>
                <w:rFonts w:ascii="Lato" w:hAnsi="Lato" w:cstheme="majorHAnsi"/>
                <w:color w:val="000000"/>
                <w:sz w:val="18"/>
                <w:szCs w:val="18"/>
              </w:rPr>
              <w:t>aerozolu inhalacyjnego</w:t>
            </w:r>
            <w:r w:rsidR="007E216C" w:rsidRPr="007E21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stosowan</w:t>
            </w:r>
            <w:r w:rsidR="002C3980"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="007E216C" w:rsidRPr="007E216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leczeniu </w:t>
            </w:r>
            <w:r w:rsidR="00AF1DA4">
              <w:rPr>
                <w:rFonts w:ascii="Lato" w:hAnsi="Lato" w:cstheme="majorHAnsi"/>
                <w:color w:val="000000"/>
                <w:sz w:val="18"/>
                <w:szCs w:val="18"/>
              </w:rPr>
              <w:t>astmy u dorosłych pacjentów</w:t>
            </w:r>
            <w:r w:rsidR="007E216C" w:rsidRPr="007E216C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31170" w:rsidRPr="004D093B" w14:paraId="193FE483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2BA4" w14:textId="56A68D4E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09E0" w14:textId="2E693D8F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PKU </w:t>
            </w: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GMPro</w:t>
            </w:r>
            <w:proofErr w:type="spell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Mix In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7AF1" w14:textId="166B542B" w:rsidR="00731170" w:rsidRPr="00FF0E85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</w:t>
            </w:r>
            <w:r w:rsidRPr="00A5790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ieta eliminacyjna w </w:t>
            </w:r>
            <w:proofErr w:type="spellStart"/>
            <w:r w:rsidRPr="00A5790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fenyloketonurii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3B9B" w14:textId="2E88B875" w:rsidR="00731170" w:rsidRPr="009C113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5790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Fenyloketonuria (PKU) u pacjentów powyżej 3 roku życia, u których dobowa tolerancja fenyloalaniny pozwala na zastosowanie preparatów </w:t>
            </w:r>
            <w:proofErr w:type="spellStart"/>
            <w:r w:rsidRPr="00A57907">
              <w:rPr>
                <w:rFonts w:ascii="Lato" w:hAnsi="Lato" w:cstheme="majorHAnsi"/>
                <w:color w:val="000000"/>
                <w:sz w:val="18"/>
                <w:szCs w:val="18"/>
              </w:rPr>
              <w:t>glikomakropeptydowych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3B3E" w14:textId="77777777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</w:t>
            </w:r>
            <w:r w:rsidRPr="00A83DF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iałkozastępczy produkt bezsmakowy oparty o </w:t>
            </w:r>
            <w:proofErr w:type="spellStart"/>
            <w:r w:rsidRPr="00A83DF2">
              <w:rPr>
                <w:rFonts w:ascii="Lato" w:hAnsi="Lato" w:cstheme="majorHAnsi"/>
                <w:color w:val="000000"/>
                <w:sz w:val="18"/>
                <w:szCs w:val="18"/>
              </w:rPr>
              <w:t>glikomakropeptyd</w:t>
            </w:r>
            <w:proofErr w:type="spellEnd"/>
            <w:r w:rsidRPr="00A83DF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(GMP)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r w:rsidRPr="00A83DF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stosowany w diecie pacjentów z </w:t>
            </w:r>
            <w:proofErr w:type="spellStart"/>
            <w:r w:rsidRPr="00A83DF2">
              <w:rPr>
                <w:rFonts w:ascii="Lato" w:hAnsi="Lato" w:cstheme="majorHAnsi"/>
                <w:color w:val="000000"/>
                <w:sz w:val="18"/>
                <w:szCs w:val="18"/>
              </w:rPr>
              <w:t>fenyloketonurią</w:t>
            </w:r>
            <w:proofErr w:type="spellEnd"/>
            <w:r w:rsidRPr="00A83DF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1FDA6ACC" w14:textId="39029217" w:rsidR="00731170" w:rsidRPr="00246A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545D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731170" w:rsidRPr="004D093B" w14:paraId="5B4DB12A" w14:textId="77777777" w:rsidTr="00686F8F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7A8A5" w14:textId="4E87BBE8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B3FB" w14:textId="32AB4AA8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F488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Polpril</w:t>
            </w:r>
            <w:proofErr w:type="spellEnd"/>
            <w:r w:rsidRPr="00DF488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Plus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8F8E" w14:textId="705BE1C0" w:rsidR="00731170" w:rsidRPr="00FF0E85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E21C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ramipril</w:t>
            </w:r>
            <w:proofErr w:type="spellEnd"/>
            <w:r w:rsidRPr="007E21C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E21C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indapamid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1F97" w14:textId="0FF070F9" w:rsidR="00731170" w:rsidRPr="009C113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E21C8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B800" w14:textId="162ABB6E" w:rsidR="00731170" w:rsidRPr="006545DF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7E21C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Kolejny produkt dwulekowy (lek złożony, single </w:t>
            </w:r>
            <w:proofErr w:type="spellStart"/>
            <w:r w:rsidRPr="007E21C8">
              <w:rPr>
                <w:rFonts w:ascii="Lato" w:hAnsi="Lato" w:cstheme="majorHAnsi"/>
                <w:color w:val="000000"/>
                <w:sz w:val="18"/>
                <w:szCs w:val="18"/>
              </w:rPr>
              <w:t>pill</w:t>
            </w:r>
            <w:proofErr w:type="spellEnd"/>
            <w:r w:rsidRPr="007E21C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21C8">
              <w:rPr>
                <w:rFonts w:ascii="Lato" w:hAnsi="Lato" w:cstheme="majorHAnsi"/>
                <w:color w:val="000000"/>
                <w:sz w:val="18"/>
                <w:szCs w:val="18"/>
              </w:rPr>
              <w:t>combination</w:t>
            </w:r>
            <w:proofErr w:type="spellEnd"/>
            <w:r w:rsidRPr="007E21C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SPC) możliwy do zastosowania w leczeniu nadciśnienia tętniczego u dorosłych pacjentów.</w:t>
            </w:r>
          </w:p>
        </w:tc>
      </w:tr>
      <w:tr w:rsidR="00731170" w:rsidRPr="004D093B" w14:paraId="1BE054DB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277F1" w14:textId="48409390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1C91" w14:textId="77777777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F488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Legrex</w:t>
            </w:r>
            <w:proofErr w:type="spellEnd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41030AA" w14:textId="4205A398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>dawka</w:t>
            </w:r>
            <w:r w:rsidRPr="00937CAF"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90mg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DAF9" w14:textId="6D61CB8B" w:rsidR="00731170" w:rsidRPr="00FF0E85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F488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tikagrelor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6DE9" w14:textId="5BCA8D1A" w:rsidR="00731170" w:rsidRPr="009C113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Zapobieganie zdarzeniom sercowo-naczyniowym, w skojarzeniu z kwasem acetylosalicylowym (ASA), u dorosłych pacjentów z ostrym zespołem wieńcowym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(OZW)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D22E3" w14:textId="04941729" w:rsidR="00731170" w:rsidRPr="00246A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kolejnego leku w profilaktyce zdarzeń sercowo-naczyniowych – w dawce 90mg jako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ostrego zespołu wieńcowego, w skojarzeniu z ASA</w:t>
            </w: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31170" w:rsidRPr="004D093B" w14:paraId="0B1A0A14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3C67" w14:textId="7069E4CF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924E9" w14:textId="77777777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F488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Legrex</w:t>
            </w:r>
            <w:proofErr w:type="spellEnd"/>
          </w:p>
          <w:p w14:paraId="5B812EA8" w14:textId="5119CE25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>dawka</w:t>
            </w:r>
            <w:r w:rsidRPr="00937CAF"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  <w:r w:rsidRPr="00937CAF"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  <w:t>0mg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CAF6" w14:textId="66063090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F488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tikagrelor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F05F" w14:textId="1681FD53" w:rsidR="00731170" w:rsidRPr="00A57907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Zapobieganie zdarzeniom sercowo-naczyniowym, w skojarzeniu z kwasem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acetylosalicylowym (ASA), u dorosłych pacjentów z zawałem mięśnia sercowego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(zawał serca) w wywiadzie i wysokim ryzykiem zdarzeń sercowo naczyniowych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3E68" w14:textId="13E01A0B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kolejnego leku w profilaktyce zdarzeń sercowo-naczyniowych – w dawce 60mg jako przedłużone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przebytym, co najmniej rok temu, zawałem serca w wywiadzie i z wysokim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ryzykiem zdarzeń sercowo-naczyniowych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 w skojarzeniu z ASA</w:t>
            </w:r>
            <w:r w:rsidRPr="00DF488F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731170" w:rsidRPr="004D093B" w14:paraId="3C2EDAD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BD73" w14:textId="297BCFD0" w:rsidR="007311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8FB7" w14:textId="1753D703" w:rsidR="00731170" w:rsidRPr="00937CAF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F34B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PütterPro2 Lite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br/>
            </w:r>
            <w:r w:rsidRPr="00AF34B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PütterPro2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1607" w14:textId="066C5EB7" w:rsidR="00731170" w:rsidRPr="00FF0E85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 w:rsidRPr="00AF34B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mplastri</w:t>
            </w:r>
            <w:proofErr w:type="spellEnd"/>
            <w:r w:rsidRPr="00AF34B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34B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polyurethanum</w:t>
            </w:r>
            <w:proofErr w:type="spellEnd"/>
            <w:r w:rsidRPr="00AF34B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34B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spumatum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ED5F" w14:textId="067A570B" w:rsidR="00731170" w:rsidRPr="009C113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F34B2">
              <w:rPr>
                <w:rFonts w:ascii="Lato" w:hAnsi="Lato" w:cstheme="majorHAnsi"/>
                <w:color w:val="000000"/>
                <w:sz w:val="18"/>
                <w:szCs w:val="18"/>
              </w:rPr>
              <w:t>Przewlekłe owrzodzenia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45C1" w14:textId="1E69FC31" w:rsidR="00731170" w:rsidRPr="00246A70" w:rsidRDefault="00731170" w:rsidP="0073117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Nowy rodzaj opatrunku finansowany w leczeniu przewlekłych owrzodzeń.</w:t>
            </w:r>
          </w:p>
        </w:tc>
      </w:tr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sectPr w:rsidR="009D10B8" w:rsidSect="005058F2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1CB0" w14:textId="77777777" w:rsidR="00A16ED3" w:rsidRDefault="00A16ED3">
      <w:pPr>
        <w:spacing w:after="0" w:line="240" w:lineRule="auto"/>
      </w:pPr>
      <w:r>
        <w:separator/>
      </w:r>
    </w:p>
  </w:endnote>
  <w:endnote w:type="continuationSeparator" w:id="0">
    <w:p w14:paraId="5A15E427" w14:textId="77777777" w:rsidR="00A16ED3" w:rsidRDefault="00A1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98547" w14:textId="77777777" w:rsidR="00A16ED3" w:rsidRDefault="00A16E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B5407B" w14:textId="77777777" w:rsidR="00A16ED3" w:rsidRDefault="00A1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6CF" w14:textId="4633511D" w:rsidR="005058F2" w:rsidRDefault="00143D0B">
    <w:pPr>
      <w:pStyle w:val="Nagwek"/>
    </w:pPr>
    <w:bookmarkStart w:id="2" w:name="_Hlk74147372"/>
    <w:bookmarkEnd w:id="2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5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30263"/>
    <w:multiLevelType w:val="hybridMultilevel"/>
    <w:tmpl w:val="8910B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1"/>
  </w:num>
  <w:num w:numId="6" w16cid:durableId="1164782895">
    <w:abstractNumId w:val="4"/>
  </w:num>
  <w:num w:numId="7" w16cid:durableId="1764568987">
    <w:abstractNumId w:val="8"/>
  </w:num>
  <w:num w:numId="8" w16cid:durableId="1605840971">
    <w:abstractNumId w:val="9"/>
  </w:num>
  <w:num w:numId="9" w16cid:durableId="969629549">
    <w:abstractNumId w:val="18"/>
  </w:num>
  <w:num w:numId="10" w16cid:durableId="1576276737">
    <w:abstractNumId w:val="1"/>
  </w:num>
  <w:num w:numId="11" w16cid:durableId="409036424">
    <w:abstractNumId w:val="22"/>
  </w:num>
  <w:num w:numId="12" w16cid:durableId="1526747669">
    <w:abstractNumId w:val="2"/>
  </w:num>
  <w:num w:numId="13" w16cid:durableId="1746950255">
    <w:abstractNumId w:val="10"/>
  </w:num>
  <w:num w:numId="14" w16cid:durableId="329715522">
    <w:abstractNumId w:val="12"/>
  </w:num>
  <w:num w:numId="15" w16cid:durableId="1837842867">
    <w:abstractNumId w:val="11"/>
  </w:num>
  <w:num w:numId="16" w16cid:durableId="1970238000">
    <w:abstractNumId w:val="20"/>
  </w:num>
  <w:num w:numId="17" w16cid:durableId="485172914">
    <w:abstractNumId w:val="14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6"/>
  </w:num>
  <w:num w:numId="22" w16cid:durableId="1157845039">
    <w:abstractNumId w:val="15"/>
  </w:num>
  <w:num w:numId="23" w16cid:durableId="1318220489">
    <w:abstractNumId w:val="13"/>
  </w:num>
  <w:num w:numId="24" w16cid:durableId="791442922">
    <w:abstractNumId w:val="17"/>
  </w:num>
  <w:num w:numId="25" w16cid:durableId="18527903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702E4"/>
    <w:rsid w:val="00070A13"/>
    <w:rsid w:val="00070A89"/>
    <w:rsid w:val="0008118E"/>
    <w:rsid w:val="00081D7A"/>
    <w:rsid w:val="00085C00"/>
    <w:rsid w:val="00086074"/>
    <w:rsid w:val="0009112E"/>
    <w:rsid w:val="00093A19"/>
    <w:rsid w:val="00097B17"/>
    <w:rsid w:val="000A180D"/>
    <w:rsid w:val="000A4576"/>
    <w:rsid w:val="000A688D"/>
    <w:rsid w:val="000A6B96"/>
    <w:rsid w:val="000B21F0"/>
    <w:rsid w:val="000B32C4"/>
    <w:rsid w:val="000B7075"/>
    <w:rsid w:val="000D02C0"/>
    <w:rsid w:val="000D2FED"/>
    <w:rsid w:val="000E3BBE"/>
    <w:rsid w:val="000E649C"/>
    <w:rsid w:val="000F077F"/>
    <w:rsid w:val="000F3ED2"/>
    <w:rsid w:val="000F5E24"/>
    <w:rsid w:val="001030B2"/>
    <w:rsid w:val="001204EA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4482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D6485"/>
    <w:rsid w:val="001E2320"/>
    <w:rsid w:val="001E610A"/>
    <w:rsid w:val="001E721F"/>
    <w:rsid w:val="001F7884"/>
    <w:rsid w:val="00205C55"/>
    <w:rsid w:val="00206C0B"/>
    <w:rsid w:val="00221840"/>
    <w:rsid w:val="00221A2A"/>
    <w:rsid w:val="002270E2"/>
    <w:rsid w:val="00230BB7"/>
    <w:rsid w:val="00242177"/>
    <w:rsid w:val="0024697E"/>
    <w:rsid w:val="00246A70"/>
    <w:rsid w:val="00255E53"/>
    <w:rsid w:val="0027472D"/>
    <w:rsid w:val="00275115"/>
    <w:rsid w:val="00280311"/>
    <w:rsid w:val="00281BE7"/>
    <w:rsid w:val="00286651"/>
    <w:rsid w:val="00287196"/>
    <w:rsid w:val="0029287B"/>
    <w:rsid w:val="0029403F"/>
    <w:rsid w:val="002C0340"/>
    <w:rsid w:val="002C19DE"/>
    <w:rsid w:val="002C3980"/>
    <w:rsid w:val="002D55B8"/>
    <w:rsid w:val="002D6ED9"/>
    <w:rsid w:val="002E46AC"/>
    <w:rsid w:val="002F0FB2"/>
    <w:rsid w:val="002F297B"/>
    <w:rsid w:val="002F61E3"/>
    <w:rsid w:val="003051DF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35E8"/>
    <w:rsid w:val="003975D4"/>
    <w:rsid w:val="003A0F16"/>
    <w:rsid w:val="003A5B7D"/>
    <w:rsid w:val="003A6433"/>
    <w:rsid w:val="003B46BF"/>
    <w:rsid w:val="003D2AE2"/>
    <w:rsid w:val="003D71C6"/>
    <w:rsid w:val="003F072E"/>
    <w:rsid w:val="00404F9B"/>
    <w:rsid w:val="00411C64"/>
    <w:rsid w:val="004156E6"/>
    <w:rsid w:val="00415707"/>
    <w:rsid w:val="00415C7E"/>
    <w:rsid w:val="00416F70"/>
    <w:rsid w:val="0041703B"/>
    <w:rsid w:val="004403B4"/>
    <w:rsid w:val="00446466"/>
    <w:rsid w:val="00447CE9"/>
    <w:rsid w:val="00453B55"/>
    <w:rsid w:val="00457779"/>
    <w:rsid w:val="00461B60"/>
    <w:rsid w:val="00466FE8"/>
    <w:rsid w:val="004744CD"/>
    <w:rsid w:val="00474802"/>
    <w:rsid w:val="0048011A"/>
    <w:rsid w:val="00483B24"/>
    <w:rsid w:val="004850DC"/>
    <w:rsid w:val="00490715"/>
    <w:rsid w:val="00491267"/>
    <w:rsid w:val="00491300"/>
    <w:rsid w:val="00492285"/>
    <w:rsid w:val="004A2F20"/>
    <w:rsid w:val="004A2F45"/>
    <w:rsid w:val="004A5135"/>
    <w:rsid w:val="004A6AA7"/>
    <w:rsid w:val="004B2F38"/>
    <w:rsid w:val="004C35E7"/>
    <w:rsid w:val="004D093B"/>
    <w:rsid w:val="004D0E20"/>
    <w:rsid w:val="004D2191"/>
    <w:rsid w:val="004D7DDC"/>
    <w:rsid w:val="004E4723"/>
    <w:rsid w:val="004F3FEF"/>
    <w:rsid w:val="005058F2"/>
    <w:rsid w:val="00512C38"/>
    <w:rsid w:val="00512C7C"/>
    <w:rsid w:val="005130EF"/>
    <w:rsid w:val="005143E4"/>
    <w:rsid w:val="0055182D"/>
    <w:rsid w:val="00553AE5"/>
    <w:rsid w:val="0056748F"/>
    <w:rsid w:val="00574D83"/>
    <w:rsid w:val="005871C9"/>
    <w:rsid w:val="005B06B3"/>
    <w:rsid w:val="005B598A"/>
    <w:rsid w:val="005C1959"/>
    <w:rsid w:val="005C499F"/>
    <w:rsid w:val="005C608D"/>
    <w:rsid w:val="005C6551"/>
    <w:rsid w:val="005D1267"/>
    <w:rsid w:val="005D12AE"/>
    <w:rsid w:val="005D269A"/>
    <w:rsid w:val="005D3140"/>
    <w:rsid w:val="005D5D31"/>
    <w:rsid w:val="005E4CF5"/>
    <w:rsid w:val="005E7898"/>
    <w:rsid w:val="005F70FE"/>
    <w:rsid w:val="006008CD"/>
    <w:rsid w:val="0061587B"/>
    <w:rsid w:val="00633806"/>
    <w:rsid w:val="00633883"/>
    <w:rsid w:val="00634434"/>
    <w:rsid w:val="0064109C"/>
    <w:rsid w:val="00641B25"/>
    <w:rsid w:val="0064487F"/>
    <w:rsid w:val="0064795D"/>
    <w:rsid w:val="006545DF"/>
    <w:rsid w:val="006648F3"/>
    <w:rsid w:val="00670C14"/>
    <w:rsid w:val="0068046C"/>
    <w:rsid w:val="00680B0E"/>
    <w:rsid w:val="00686F8F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46DE"/>
    <w:rsid w:val="006D7964"/>
    <w:rsid w:val="006F498A"/>
    <w:rsid w:val="006F5BEB"/>
    <w:rsid w:val="00701C4E"/>
    <w:rsid w:val="007106F0"/>
    <w:rsid w:val="007135A8"/>
    <w:rsid w:val="007156F6"/>
    <w:rsid w:val="00715B91"/>
    <w:rsid w:val="00731170"/>
    <w:rsid w:val="007321D8"/>
    <w:rsid w:val="00733AF9"/>
    <w:rsid w:val="00734115"/>
    <w:rsid w:val="00734732"/>
    <w:rsid w:val="00740ABA"/>
    <w:rsid w:val="0074295D"/>
    <w:rsid w:val="00755E27"/>
    <w:rsid w:val="0078723A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216C"/>
    <w:rsid w:val="007F016E"/>
    <w:rsid w:val="008008F6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7118E"/>
    <w:rsid w:val="008771C8"/>
    <w:rsid w:val="00882DCA"/>
    <w:rsid w:val="0088727A"/>
    <w:rsid w:val="00896D35"/>
    <w:rsid w:val="008B00C4"/>
    <w:rsid w:val="008B43B0"/>
    <w:rsid w:val="008C0493"/>
    <w:rsid w:val="008C0E92"/>
    <w:rsid w:val="008D45C3"/>
    <w:rsid w:val="008E18D7"/>
    <w:rsid w:val="008E33C7"/>
    <w:rsid w:val="008F1D35"/>
    <w:rsid w:val="009066C7"/>
    <w:rsid w:val="0092216D"/>
    <w:rsid w:val="00933339"/>
    <w:rsid w:val="00937CAF"/>
    <w:rsid w:val="00953B84"/>
    <w:rsid w:val="00982754"/>
    <w:rsid w:val="009943F4"/>
    <w:rsid w:val="00995FDD"/>
    <w:rsid w:val="00996389"/>
    <w:rsid w:val="009A2234"/>
    <w:rsid w:val="009A6D46"/>
    <w:rsid w:val="009B2F99"/>
    <w:rsid w:val="009B7A4D"/>
    <w:rsid w:val="009C1130"/>
    <w:rsid w:val="009C573D"/>
    <w:rsid w:val="009D10B8"/>
    <w:rsid w:val="009D185F"/>
    <w:rsid w:val="009D43CC"/>
    <w:rsid w:val="009E2331"/>
    <w:rsid w:val="009F413F"/>
    <w:rsid w:val="009F550A"/>
    <w:rsid w:val="009F7497"/>
    <w:rsid w:val="00A01F60"/>
    <w:rsid w:val="00A067E3"/>
    <w:rsid w:val="00A118F0"/>
    <w:rsid w:val="00A159DA"/>
    <w:rsid w:val="00A16ED3"/>
    <w:rsid w:val="00A22494"/>
    <w:rsid w:val="00A22A7B"/>
    <w:rsid w:val="00A242D8"/>
    <w:rsid w:val="00A434EB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C0511"/>
    <w:rsid w:val="00AD08C5"/>
    <w:rsid w:val="00AE069A"/>
    <w:rsid w:val="00AF1DA4"/>
    <w:rsid w:val="00AF1EBC"/>
    <w:rsid w:val="00AF34B2"/>
    <w:rsid w:val="00B1467F"/>
    <w:rsid w:val="00B31928"/>
    <w:rsid w:val="00B31A1E"/>
    <w:rsid w:val="00B326A9"/>
    <w:rsid w:val="00B45ED3"/>
    <w:rsid w:val="00B47BE3"/>
    <w:rsid w:val="00B543E9"/>
    <w:rsid w:val="00B57127"/>
    <w:rsid w:val="00B60139"/>
    <w:rsid w:val="00B76B2B"/>
    <w:rsid w:val="00B8251D"/>
    <w:rsid w:val="00B94288"/>
    <w:rsid w:val="00B9538B"/>
    <w:rsid w:val="00BA15A9"/>
    <w:rsid w:val="00BB30C0"/>
    <w:rsid w:val="00BC376D"/>
    <w:rsid w:val="00BD18E8"/>
    <w:rsid w:val="00BD20BC"/>
    <w:rsid w:val="00C153B4"/>
    <w:rsid w:val="00C15673"/>
    <w:rsid w:val="00C15E6F"/>
    <w:rsid w:val="00C210A9"/>
    <w:rsid w:val="00C21E1E"/>
    <w:rsid w:val="00C22821"/>
    <w:rsid w:val="00C243BF"/>
    <w:rsid w:val="00C24744"/>
    <w:rsid w:val="00C24B91"/>
    <w:rsid w:val="00C25F63"/>
    <w:rsid w:val="00C276AE"/>
    <w:rsid w:val="00C34F0F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8401C"/>
    <w:rsid w:val="00C846FB"/>
    <w:rsid w:val="00C97315"/>
    <w:rsid w:val="00CA1AD2"/>
    <w:rsid w:val="00CA2878"/>
    <w:rsid w:val="00CA7D06"/>
    <w:rsid w:val="00CB2E2B"/>
    <w:rsid w:val="00CB3D33"/>
    <w:rsid w:val="00CC0463"/>
    <w:rsid w:val="00CC6A57"/>
    <w:rsid w:val="00CC7F58"/>
    <w:rsid w:val="00CD47C3"/>
    <w:rsid w:val="00CE099F"/>
    <w:rsid w:val="00CE73E2"/>
    <w:rsid w:val="00CF402D"/>
    <w:rsid w:val="00CF5E4F"/>
    <w:rsid w:val="00CF7674"/>
    <w:rsid w:val="00D17D3E"/>
    <w:rsid w:val="00D27C56"/>
    <w:rsid w:val="00D44A5D"/>
    <w:rsid w:val="00D510E8"/>
    <w:rsid w:val="00D554A2"/>
    <w:rsid w:val="00D5628B"/>
    <w:rsid w:val="00D63F4F"/>
    <w:rsid w:val="00D6426A"/>
    <w:rsid w:val="00D66456"/>
    <w:rsid w:val="00D77CD0"/>
    <w:rsid w:val="00D9306F"/>
    <w:rsid w:val="00DA3B88"/>
    <w:rsid w:val="00DB0B88"/>
    <w:rsid w:val="00DD18C6"/>
    <w:rsid w:val="00DD6D00"/>
    <w:rsid w:val="00DE00F0"/>
    <w:rsid w:val="00DE1894"/>
    <w:rsid w:val="00DE5079"/>
    <w:rsid w:val="00DF6B3A"/>
    <w:rsid w:val="00E10271"/>
    <w:rsid w:val="00E34DF7"/>
    <w:rsid w:val="00E35DF6"/>
    <w:rsid w:val="00E5036C"/>
    <w:rsid w:val="00E50D44"/>
    <w:rsid w:val="00E52765"/>
    <w:rsid w:val="00E64133"/>
    <w:rsid w:val="00E66456"/>
    <w:rsid w:val="00E738D5"/>
    <w:rsid w:val="00E8288D"/>
    <w:rsid w:val="00E8348C"/>
    <w:rsid w:val="00E900DE"/>
    <w:rsid w:val="00E91E64"/>
    <w:rsid w:val="00EA326D"/>
    <w:rsid w:val="00EB0593"/>
    <w:rsid w:val="00EB1B3E"/>
    <w:rsid w:val="00EB5A68"/>
    <w:rsid w:val="00EB77EA"/>
    <w:rsid w:val="00EC0C4F"/>
    <w:rsid w:val="00EC2B8F"/>
    <w:rsid w:val="00EC74BA"/>
    <w:rsid w:val="00ED15F0"/>
    <w:rsid w:val="00EE4384"/>
    <w:rsid w:val="00EE4BD7"/>
    <w:rsid w:val="00EF3551"/>
    <w:rsid w:val="00EF7C44"/>
    <w:rsid w:val="00F017D6"/>
    <w:rsid w:val="00F12CF6"/>
    <w:rsid w:val="00F147FC"/>
    <w:rsid w:val="00F15BD4"/>
    <w:rsid w:val="00F31A79"/>
    <w:rsid w:val="00F42214"/>
    <w:rsid w:val="00F5061B"/>
    <w:rsid w:val="00F61A7D"/>
    <w:rsid w:val="00F63AA8"/>
    <w:rsid w:val="00F67336"/>
    <w:rsid w:val="00F67CA2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6EDA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1935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Wilk Justyna</cp:lastModifiedBy>
  <cp:revision>5</cp:revision>
  <dcterms:created xsi:type="dcterms:W3CDTF">2025-12-12T10:41:00Z</dcterms:created>
  <dcterms:modified xsi:type="dcterms:W3CDTF">2025-12-15T10:07:00Z</dcterms:modified>
</cp:coreProperties>
</file>