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48EEF" w14:textId="6B5B06C7" w:rsidR="005E582F" w:rsidRDefault="00000000">
      <w:pPr>
        <w:ind w:left="-5" w:right="252"/>
      </w:pPr>
      <w:r>
        <w:rPr>
          <w:b/>
        </w:rPr>
        <w:t xml:space="preserve">Informacja o zasadach umożliwiających przypisanie przedsiębiorców do właściwej dla nich kategorii ryzyka, w zakresie przeprowadzania kontroli w sprawach należących do zadań </w:t>
      </w:r>
      <w:r w:rsidR="00E45873">
        <w:rPr>
          <w:b/>
        </w:rPr>
        <w:br/>
      </w:r>
      <w:r>
        <w:rPr>
          <w:b/>
        </w:rPr>
        <w:t>i kompetencji Państwowej Inspekcji Sanitarnej, dla których organem właściwym jest państwowy wojewódzki inspektor sanitarny.</w:t>
      </w:r>
      <w:r>
        <w:t xml:space="preserve"> </w:t>
      </w:r>
    </w:p>
    <w:p w14:paraId="42A8ACDB" w14:textId="77777777" w:rsidR="005E582F" w:rsidRDefault="00000000">
      <w:pPr>
        <w:ind w:left="-5" w:right="0"/>
      </w:pPr>
      <w:r>
        <w:t xml:space="preserve">Analiza obejmuje identyfikację obszarów podmiotowych i przedmiotowych, w których ryzyko naruszenia przepisów jest największe. W oparciu o wyniki analizy określa się zasady umożliwiające przypisanie przedsiębiorców do jednej z następujących kategorii ryzyka: </w:t>
      </w:r>
      <w:r w:rsidRPr="00E45873">
        <w:rPr>
          <w:b/>
          <w:bCs/>
        </w:rPr>
        <w:t>niskie, średnie, wysokie.</w:t>
      </w:r>
      <w:r>
        <w:t xml:space="preserve"> </w:t>
      </w:r>
    </w:p>
    <w:p w14:paraId="5BFC297F" w14:textId="77777777" w:rsidR="005E582F" w:rsidRDefault="00000000">
      <w:pPr>
        <w:ind w:left="-5" w:right="0"/>
      </w:pPr>
      <w:r>
        <w:t xml:space="preserve">Od tego zaś, do której grupy kategorii ryzyka zalicza się dany przedsiębiorca, zależy dopuszczalna częstotliwość kontrolowania go, określona przez art. 55a ust. 1 ww. ustawy Prawo przedsiębiorców, zgodnie z którym organ kontroli może przeprowadzić kontrolę planową przedsiębiorcy, który został przypisany do jednej z kategorii ryzyka, o których mowa w art. 47 ust. 1, w przypadku: </w:t>
      </w:r>
    </w:p>
    <w:p w14:paraId="73D0CD91" w14:textId="77777777" w:rsidR="005E582F" w:rsidRDefault="00000000">
      <w:pPr>
        <w:numPr>
          <w:ilvl w:val="0"/>
          <w:numId w:val="1"/>
        </w:numPr>
        <w:ind w:right="0" w:hanging="244"/>
      </w:pPr>
      <w:r>
        <w:t xml:space="preserve">niskiego ryzyka - nie częściej niż raz w ciągu 5 lat; </w:t>
      </w:r>
    </w:p>
    <w:p w14:paraId="2C6B2B1D" w14:textId="77777777" w:rsidR="005E582F" w:rsidRDefault="00000000">
      <w:pPr>
        <w:numPr>
          <w:ilvl w:val="0"/>
          <w:numId w:val="1"/>
        </w:numPr>
        <w:ind w:right="0" w:hanging="244"/>
      </w:pPr>
      <w:r>
        <w:t xml:space="preserve">średniego ryzyka - nie częściej niż raz w ciągu 3 lat; </w:t>
      </w:r>
    </w:p>
    <w:p w14:paraId="2661BFB1" w14:textId="77777777" w:rsidR="005E582F" w:rsidRDefault="00000000">
      <w:pPr>
        <w:numPr>
          <w:ilvl w:val="0"/>
          <w:numId w:val="1"/>
        </w:numPr>
        <w:ind w:right="0" w:hanging="244"/>
      </w:pPr>
      <w:r>
        <w:t xml:space="preserve">wysokiego ryzyka - tak często, jak to jest konieczne dla zapewnienia skutecznego stosowania odpowiednich przepisów, z uwzględnieniem wysokiego ryzyka wystąpienia nieprawidłowości oraz środków niezbędnych do jego ograniczania. </w:t>
      </w:r>
    </w:p>
    <w:p w14:paraId="0F03C012" w14:textId="1D7CA372" w:rsidR="00E45873" w:rsidRDefault="00931F10" w:rsidP="00931F10">
      <w:pPr>
        <w:spacing w:after="158"/>
        <w:ind w:right="0"/>
      </w:pPr>
      <w:r w:rsidRPr="00931F10">
        <w:t xml:space="preserve">Niezależnie od powyższego w przypadku zgłoszenia nieprawidłowości Państwowy Powiatowy Inspektor Sanitarny ocenia ewentualne zagrożenie i może podjąć decyzję o przeprowadzeniu kontroli interwencyjnej.  </w:t>
      </w:r>
    </w:p>
    <w:p w14:paraId="510A1095" w14:textId="77777777" w:rsidR="00E45873" w:rsidRDefault="00E45873">
      <w:pPr>
        <w:spacing w:after="160" w:line="278" w:lineRule="auto"/>
        <w:ind w:left="0" w:right="0" w:firstLine="0"/>
      </w:pPr>
      <w:r>
        <w:br w:type="page"/>
      </w:r>
    </w:p>
    <w:p w14:paraId="1DEC330E" w14:textId="77777777" w:rsidR="005E582F" w:rsidRDefault="00000000" w:rsidP="00E45873">
      <w:pPr>
        <w:spacing w:after="0"/>
        <w:ind w:left="0" w:right="0" w:firstLine="0"/>
      </w:pPr>
      <w:r>
        <w:rPr>
          <w:b/>
        </w:rPr>
        <w:lastRenderedPageBreak/>
        <w:t xml:space="preserve">OBSZAR EPIDEMIOLOGII </w:t>
      </w:r>
    </w:p>
    <w:tbl>
      <w:tblPr>
        <w:tblStyle w:val="TableGrid"/>
        <w:tblW w:w="9060" w:type="dxa"/>
        <w:tblInd w:w="7" w:type="dxa"/>
        <w:tblCellMar>
          <w:right w:w="111" w:type="dxa"/>
        </w:tblCellMar>
        <w:tblLook w:val="04A0" w:firstRow="1" w:lastRow="0" w:firstColumn="1" w:lastColumn="0" w:noHBand="0" w:noVBand="1"/>
      </w:tblPr>
      <w:tblGrid>
        <w:gridCol w:w="2957"/>
        <w:gridCol w:w="828"/>
        <w:gridCol w:w="5275"/>
      </w:tblGrid>
      <w:tr w:rsidR="005E582F" w14:paraId="2CA79CF6" w14:textId="77777777">
        <w:trPr>
          <w:trHeight w:val="27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F62A0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t xml:space="preserve">Kategoria ryzyka </w:t>
            </w:r>
          </w:p>
        </w:tc>
        <w:tc>
          <w:tcPr>
            <w:tcW w:w="6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2752FE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t xml:space="preserve">Grupy obiektów lub obiekty kontrolowane </w:t>
            </w:r>
          </w:p>
        </w:tc>
      </w:tr>
      <w:tr w:rsidR="005E582F" w14:paraId="58B2105A" w14:textId="77777777">
        <w:trPr>
          <w:trHeight w:val="1064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D562B" w14:textId="77777777" w:rsidR="005E582F" w:rsidRDefault="00000000">
            <w:pPr>
              <w:spacing w:after="0"/>
              <w:ind w:left="0" w:right="0" w:firstLine="0"/>
            </w:pPr>
            <w:r>
              <w:t xml:space="preserve">Wysokiego ryzyka  </w:t>
            </w:r>
          </w:p>
        </w:tc>
        <w:tc>
          <w:tcPr>
            <w:tcW w:w="6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906F" w14:textId="77777777" w:rsidR="005E582F" w:rsidRDefault="00000000">
            <w:pPr>
              <w:numPr>
                <w:ilvl w:val="0"/>
                <w:numId w:val="5"/>
              </w:numPr>
              <w:spacing w:after="0" w:line="245" w:lineRule="auto"/>
              <w:ind w:right="0" w:hanging="360"/>
            </w:pPr>
            <w:r>
              <w:t xml:space="preserve">podmioty lecznicze w rodzaju szpitale (niezależnie od profilu), w tym szpitale jednodniowe; </w:t>
            </w:r>
          </w:p>
          <w:p w14:paraId="0EF49984" w14:textId="77777777" w:rsidR="005E582F" w:rsidRDefault="00000000">
            <w:pPr>
              <w:numPr>
                <w:ilvl w:val="0"/>
                <w:numId w:val="5"/>
              </w:numPr>
              <w:spacing w:after="0"/>
              <w:ind w:right="0" w:hanging="360"/>
            </w:pPr>
            <w:r>
              <w:t xml:space="preserve">zakłady opiekuńczo-lecznicze, </w:t>
            </w:r>
            <w:proofErr w:type="spellStart"/>
            <w:r>
              <w:t>opiekuńczopielęgnacyjne</w:t>
            </w:r>
            <w:proofErr w:type="spellEnd"/>
            <w:r>
              <w:t xml:space="preserve">; </w:t>
            </w:r>
          </w:p>
        </w:tc>
      </w:tr>
      <w:tr w:rsidR="005E582F" w14:paraId="3C6F2322" w14:textId="77777777">
        <w:trPr>
          <w:trHeight w:val="106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22A3DC3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9903F59" w14:textId="77777777" w:rsidR="005E582F" w:rsidRDefault="00000000">
            <w:pPr>
              <w:spacing w:after="0"/>
              <w:ind w:left="308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DDB2D8B" w14:textId="77777777" w:rsidR="005E582F" w:rsidRDefault="00000000">
            <w:pPr>
              <w:spacing w:after="0"/>
              <w:ind w:left="0" w:right="0" w:firstLine="0"/>
            </w:pPr>
            <w:r>
              <w:t xml:space="preserve">podmioty lecznicze ambulatoryjne – zabiegowe tj. punkty szczepień, przychodnie i praktyki lekarskie (np. chirurgiczne, stomatologiczne, ginekologiczne, laryngologiczne i wykonujące zabiegi endoskopowe); </w:t>
            </w:r>
          </w:p>
        </w:tc>
      </w:tr>
      <w:tr w:rsidR="005E582F" w14:paraId="63C503CE" w14:textId="77777777">
        <w:trPr>
          <w:trHeight w:val="264"/>
        </w:trPr>
        <w:tc>
          <w:tcPr>
            <w:tcW w:w="29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EA3AFF0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A142D6" w14:textId="77777777" w:rsidR="005E582F" w:rsidRDefault="00000000">
            <w:pPr>
              <w:spacing w:after="0"/>
              <w:ind w:left="308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8DCB82" w14:textId="77777777" w:rsidR="005E582F" w:rsidRDefault="00000000">
            <w:pPr>
              <w:spacing w:after="0"/>
              <w:ind w:left="0" w:right="0" w:firstLine="0"/>
            </w:pPr>
            <w:r>
              <w:t xml:space="preserve">stacje krwiodawstwa; </w:t>
            </w:r>
          </w:p>
        </w:tc>
      </w:tr>
      <w:tr w:rsidR="005E582F" w14:paraId="0B6E2DEB" w14:textId="77777777">
        <w:trPr>
          <w:trHeight w:val="534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2FDDEA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F6118F2" w14:textId="77777777" w:rsidR="005E582F" w:rsidRDefault="00000000">
            <w:pPr>
              <w:spacing w:after="0"/>
              <w:ind w:left="308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06EBEE" w14:textId="77777777" w:rsidR="005E582F" w:rsidRDefault="00000000">
            <w:pPr>
              <w:spacing w:after="0"/>
              <w:ind w:left="0" w:right="0" w:firstLine="0"/>
            </w:pPr>
            <w:r>
              <w:t xml:space="preserve">stacje dializ. </w:t>
            </w:r>
          </w:p>
          <w:p w14:paraId="6395F894" w14:textId="77777777" w:rsidR="005E582F" w:rsidRDefault="00000000">
            <w:pPr>
              <w:spacing w:after="0"/>
              <w:ind w:left="0" w:right="0" w:firstLine="0"/>
            </w:pPr>
            <w:r>
              <w:t xml:space="preserve"> </w:t>
            </w:r>
          </w:p>
        </w:tc>
      </w:tr>
      <w:tr w:rsidR="005E582F" w14:paraId="7ED428CA" w14:textId="77777777">
        <w:trPr>
          <w:trHeight w:val="531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CE45648" w14:textId="77777777" w:rsidR="005E582F" w:rsidRDefault="00000000">
            <w:pPr>
              <w:spacing w:after="0"/>
              <w:ind w:left="108" w:right="0" w:firstLine="0"/>
            </w:pPr>
            <w:r>
              <w:t xml:space="preserve">Średniego ryzyka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CECDB0" w14:textId="77777777" w:rsidR="005E582F" w:rsidRDefault="00000000">
            <w:pPr>
              <w:spacing w:after="0"/>
              <w:ind w:left="308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B5C85B" w14:textId="77777777" w:rsidR="005E582F" w:rsidRDefault="00000000">
            <w:pPr>
              <w:spacing w:after="0"/>
              <w:ind w:left="0" w:right="0" w:firstLine="0"/>
            </w:pPr>
            <w:r>
              <w:t xml:space="preserve">podmioty lecznicze w rodzaju sanatoria, ośrodki rehabilitacji; </w:t>
            </w:r>
          </w:p>
        </w:tc>
      </w:tr>
      <w:tr w:rsidR="005E582F" w14:paraId="5B578B97" w14:textId="77777777">
        <w:trPr>
          <w:trHeight w:val="270"/>
        </w:trPr>
        <w:tc>
          <w:tcPr>
            <w:tcW w:w="2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2DD681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8AD5EC" w14:textId="77777777" w:rsidR="005E582F" w:rsidRDefault="00000000">
            <w:pPr>
              <w:spacing w:after="0"/>
              <w:ind w:left="308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DAE60" w14:textId="77777777" w:rsidR="005E582F" w:rsidRDefault="00000000">
            <w:pPr>
              <w:spacing w:after="0"/>
              <w:ind w:left="0" w:right="0" w:firstLine="0"/>
            </w:pPr>
            <w:r>
              <w:t xml:space="preserve">punkty pobrań krwi. </w:t>
            </w:r>
          </w:p>
        </w:tc>
      </w:tr>
      <w:tr w:rsidR="005E582F" w14:paraId="54D7E59B" w14:textId="77777777">
        <w:trPr>
          <w:trHeight w:val="800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2FD37" w14:textId="77777777" w:rsidR="005E582F" w:rsidRDefault="00000000">
            <w:pPr>
              <w:spacing w:after="0"/>
              <w:ind w:left="108" w:right="0" w:firstLine="0"/>
            </w:pPr>
            <w:r>
              <w:t xml:space="preserve">Niskiego ryzyka 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90D42" w14:textId="77777777" w:rsidR="005E582F" w:rsidRDefault="00000000">
            <w:pPr>
              <w:spacing w:after="0"/>
              <w:ind w:left="308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E747E" w14:textId="77777777" w:rsidR="005E582F" w:rsidRDefault="00000000">
            <w:pPr>
              <w:spacing w:after="0"/>
              <w:ind w:left="0" w:right="0" w:firstLine="0"/>
            </w:pPr>
            <w:r>
              <w:t xml:space="preserve">podmioty lecznicze ambulatoryjne tj. przychodnie i praktyki lekarskie i pielęgniarskie (za wyjątkiem zabiegowych), fizjoterapia.  </w:t>
            </w:r>
          </w:p>
        </w:tc>
      </w:tr>
    </w:tbl>
    <w:p w14:paraId="7990515C" w14:textId="77777777" w:rsidR="005E582F" w:rsidRDefault="00000000">
      <w:pPr>
        <w:spacing w:after="158"/>
        <w:ind w:left="0" w:right="0" w:firstLine="0"/>
      </w:pPr>
      <w:r>
        <w:t xml:space="preserve"> </w:t>
      </w:r>
    </w:p>
    <w:p w14:paraId="308E1F66" w14:textId="77777777" w:rsidR="005E582F" w:rsidRDefault="00000000">
      <w:pPr>
        <w:spacing w:after="0"/>
        <w:ind w:left="-5" w:right="252"/>
      </w:pPr>
      <w:r>
        <w:rPr>
          <w:b/>
        </w:rPr>
        <w:t xml:space="preserve">OBSZAR HIGIENY DZIECI I MŁODZIEŻY I PROMOCJI ZDROWIA </w:t>
      </w:r>
    </w:p>
    <w:tbl>
      <w:tblPr>
        <w:tblStyle w:val="TableGrid"/>
        <w:tblW w:w="9024" w:type="dxa"/>
        <w:tblInd w:w="44" w:type="dxa"/>
        <w:tblCellMar>
          <w:top w:w="2" w:type="dxa"/>
          <w:left w:w="107" w:type="dxa"/>
          <w:right w:w="158" w:type="dxa"/>
        </w:tblCellMar>
        <w:tblLook w:val="04A0" w:firstRow="1" w:lastRow="0" w:firstColumn="1" w:lastColumn="0" w:noHBand="0" w:noVBand="1"/>
      </w:tblPr>
      <w:tblGrid>
        <w:gridCol w:w="1973"/>
        <w:gridCol w:w="2745"/>
        <w:gridCol w:w="4306"/>
      </w:tblGrid>
      <w:tr w:rsidR="005E582F" w14:paraId="1CF0CB24" w14:textId="77777777">
        <w:trPr>
          <w:trHeight w:val="159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751F6" w14:textId="77777777" w:rsidR="005E582F" w:rsidRDefault="00000000">
            <w:pPr>
              <w:spacing w:after="0"/>
              <w:ind w:left="0" w:right="0" w:firstLine="0"/>
            </w:pPr>
            <w:r>
              <w:t xml:space="preserve">Niskie ryzyko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3643" w14:textId="77777777" w:rsidR="005E582F" w:rsidRDefault="00000000">
            <w:pPr>
              <w:spacing w:after="0"/>
              <w:ind w:left="2" w:right="0" w:firstLine="0"/>
            </w:pPr>
            <w:r>
              <w:t xml:space="preserve">Działalność gospodarcza o małym prawdopodobieństwie wystąpienia zagrożenia zdrowia lub życia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97C2" w14:textId="77777777" w:rsidR="005E582F" w:rsidRDefault="00000000">
            <w:pPr>
              <w:spacing w:after="0"/>
              <w:ind w:left="4" w:right="0" w:firstLine="0"/>
            </w:pPr>
            <w:r>
              <w:t xml:space="preserve">szkoły muzyczne,  </w:t>
            </w:r>
          </w:p>
        </w:tc>
      </w:tr>
      <w:tr w:rsidR="005E582F" w14:paraId="3F7F9709" w14:textId="77777777">
        <w:trPr>
          <w:trHeight w:val="3624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ADD980" w14:textId="77777777" w:rsidR="005E582F" w:rsidRDefault="00000000">
            <w:pPr>
              <w:spacing w:after="0"/>
              <w:ind w:left="0" w:right="0" w:firstLine="0"/>
            </w:pPr>
            <w:r>
              <w:t xml:space="preserve">Średnie ryzyko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F0E6" w14:textId="77777777" w:rsidR="005E582F" w:rsidRDefault="00000000">
            <w:pPr>
              <w:spacing w:after="0"/>
              <w:ind w:left="2" w:right="0" w:firstLine="0"/>
            </w:pPr>
            <w:r>
              <w:t xml:space="preserve">Działalność gospodarcza o umiarkowanym prawdopodobieństwie wystąpienia zagrożenia zdrowia lub życia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6286" w14:textId="77777777" w:rsidR="005E582F" w:rsidRDefault="00000000">
            <w:pPr>
              <w:spacing w:after="1" w:line="258" w:lineRule="auto"/>
              <w:ind w:left="4" w:right="0" w:firstLine="0"/>
            </w:pPr>
            <w:r>
              <w:t xml:space="preserve">szkoły wszystkich typów, które nie posiadają szkodliwych substancji chemicznych, placówki opiekuńczo – wychowawcze, turnusy sezonowego wypoczynku dzieci i młodzieży </w:t>
            </w:r>
          </w:p>
          <w:p w14:paraId="1DC386A6" w14:textId="77777777" w:rsidR="005E582F" w:rsidRDefault="00000000">
            <w:pPr>
              <w:spacing w:after="79" w:line="331" w:lineRule="auto"/>
              <w:ind w:left="4" w:right="0" w:firstLine="0"/>
            </w:pPr>
            <w:r>
              <w:t xml:space="preserve">(wypoczynek w miejscu zamieszkania),  placówki opieki nad dziećmi w wieku do lat 3 (żłobki, kluby dziecięce),  </w:t>
            </w:r>
          </w:p>
          <w:p w14:paraId="71114B38" w14:textId="77777777" w:rsidR="005E582F" w:rsidRDefault="00000000">
            <w:pPr>
              <w:spacing w:after="0"/>
              <w:ind w:left="4" w:right="0" w:firstLine="0"/>
            </w:pPr>
            <w:r>
              <w:t xml:space="preserve">placówki wychowania przedszkolnego  (przedszkola, punkty przedszkolne, zespoły wychowania przedszkolnego) </w:t>
            </w:r>
          </w:p>
        </w:tc>
      </w:tr>
      <w:tr w:rsidR="005E582F" w14:paraId="5D13883D" w14:textId="77777777">
        <w:trPr>
          <w:trHeight w:val="2039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D1F922" w14:textId="77777777" w:rsidR="005E582F" w:rsidRDefault="00000000">
            <w:pPr>
              <w:spacing w:after="0"/>
              <w:ind w:left="0" w:right="0" w:firstLine="0"/>
            </w:pPr>
            <w:r>
              <w:t xml:space="preserve">Wysokie ryzyko 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3E0E" w14:textId="77777777" w:rsidR="005E582F" w:rsidRDefault="00000000">
            <w:pPr>
              <w:spacing w:after="0"/>
              <w:ind w:left="2" w:right="0" w:firstLine="0"/>
            </w:pPr>
            <w:r>
              <w:t xml:space="preserve">Działalność gospodarcza o wysokim prawdopodobieństwie wystąpienia zagrożenia zdrowia lub życia 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B7A" w14:textId="77777777" w:rsidR="005E582F" w:rsidRDefault="00000000">
            <w:pPr>
              <w:spacing w:after="158"/>
              <w:ind w:left="4" w:right="0" w:firstLine="0"/>
            </w:pPr>
            <w:r>
              <w:t xml:space="preserve">szkoły wszystkich typów, w których obecne są szkodliwe substancje chemiczne,  </w:t>
            </w:r>
          </w:p>
          <w:p w14:paraId="56E9A95F" w14:textId="77777777" w:rsidR="005E582F" w:rsidRDefault="00000000">
            <w:pPr>
              <w:spacing w:after="0"/>
              <w:ind w:left="4" w:right="54" w:firstLine="0"/>
              <w:jc w:val="both"/>
            </w:pPr>
            <w:r>
              <w:t xml:space="preserve">turnusy sezonowego wypoczynku dzieci i młodzieży (wypoczynek w formie wyjazdowej),  </w:t>
            </w:r>
          </w:p>
        </w:tc>
      </w:tr>
    </w:tbl>
    <w:p w14:paraId="2F5EC9F2" w14:textId="0A2B0FF4" w:rsidR="005E582F" w:rsidRDefault="00000000" w:rsidP="00E45873">
      <w:pPr>
        <w:spacing w:after="158"/>
        <w:ind w:left="0" w:right="0" w:firstLine="0"/>
      </w:pPr>
      <w:r>
        <w:lastRenderedPageBreak/>
        <w:t xml:space="preserve"> </w:t>
      </w:r>
      <w:r>
        <w:rPr>
          <w:b/>
        </w:rPr>
        <w:t xml:space="preserve">OBSZAR HIGIENY KOMUNALNEJ, W TYM BEZPIECZEŃSTWA ZDROWOTNEGO WODY </w:t>
      </w:r>
    </w:p>
    <w:tbl>
      <w:tblPr>
        <w:tblStyle w:val="TableGrid"/>
        <w:tblW w:w="9060" w:type="dxa"/>
        <w:tblInd w:w="7" w:type="dxa"/>
        <w:tblCellMar>
          <w:top w:w="2" w:type="dxa"/>
          <w:right w:w="85" w:type="dxa"/>
        </w:tblCellMar>
        <w:tblLook w:val="04A0" w:firstRow="1" w:lastRow="0" w:firstColumn="1" w:lastColumn="0" w:noHBand="0" w:noVBand="1"/>
      </w:tblPr>
      <w:tblGrid>
        <w:gridCol w:w="2795"/>
        <w:gridCol w:w="829"/>
        <w:gridCol w:w="5436"/>
      </w:tblGrid>
      <w:tr w:rsidR="005E582F" w14:paraId="22FCEAB1" w14:textId="77777777" w:rsidTr="007D75B1">
        <w:trPr>
          <w:trHeight w:val="454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762081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t xml:space="preserve">Kategoria ryzyka </w:t>
            </w:r>
          </w:p>
        </w:tc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C9DBAA" w14:textId="77777777" w:rsidR="005E582F" w:rsidRDefault="00000000">
            <w:pPr>
              <w:spacing w:after="0"/>
              <w:ind w:left="1" w:right="0" w:firstLine="0"/>
            </w:pPr>
            <w:r>
              <w:rPr>
                <w:b/>
              </w:rPr>
              <w:t xml:space="preserve">Grupy obiektów lub obiekty kontrolowane </w:t>
            </w:r>
          </w:p>
        </w:tc>
      </w:tr>
      <w:tr w:rsidR="005E582F" w14:paraId="6A72067C" w14:textId="77777777" w:rsidTr="007D75B1">
        <w:trPr>
          <w:trHeight w:val="864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44B49" w14:textId="77777777" w:rsidR="005E582F" w:rsidRDefault="00000000">
            <w:pPr>
              <w:spacing w:after="0"/>
              <w:ind w:left="0" w:right="0" w:firstLine="0"/>
            </w:pPr>
            <w:r>
              <w:t xml:space="preserve">Wysokiego ryzyka  </w:t>
            </w:r>
          </w:p>
        </w:tc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21BC" w14:textId="77777777" w:rsidR="005E582F" w:rsidRDefault="00000000" w:rsidP="007D75B1">
            <w:pPr>
              <w:spacing w:after="0"/>
              <w:ind w:left="357" w:right="0" w:hanging="357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podmioty lecznicze. tj.: szpital, zakład </w:t>
            </w:r>
            <w:proofErr w:type="spellStart"/>
            <w:r>
              <w:t>opiekuńczoleczniczy</w:t>
            </w:r>
            <w:proofErr w:type="spellEnd"/>
            <w:r>
              <w:t xml:space="preserve">, zakład </w:t>
            </w:r>
            <w:proofErr w:type="spellStart"/>
            <w:r>
              <w:t>pielęgnacyjno</w:t>
            </w:r>
            <w:proofErr w:type="spellEnd"/>
            <w:r>
              <w:t xml:space="preserve"> – opiekuńczy, zakład rehabilitacji leczniczej, hospicjum, zakład lecznictwa </w:t>
            </w:r>
            <w:r w:rsidR="007D75B1">
              <w:t>uzdrowiskowego , zakład patomorfologii</w:t>
            </w:r>
          </w:p>
          <w:p w14:paraId="14891833" w14:textId="242CC35C" w:rsidR="007D75B1" w:rsidRDefault="007D75B1" w:rsidP="007D75B1">
            <w:pPr>
              <w:spacing w:after="0"/>
              <w:ind w:left="357" w:right="0" w:hanging="357"/>
            </w:pPr>
            <w:r>
              <w:t>- wodociągi -system zaopatrzenia w wodę</w:t>
            </w:r>
          </w:p>
        </w:tc>
      </w:tr>
      <w:tr w:rsidR="005E582F" w14:paraId="43CA196A" w14:textId="77777777" w:rsidTr="007D75B1">
        <w:trPr>
          <w:trHeight w:val="854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1114CCB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BBA678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EE0F34" w14:textId="77777777" w:rsidR="005E582F" w:rsidRDefault="00000000" w:rsidP="00CF4390">
            <w:pPr>
              <w:spacing w:after="0"/>
              <w:ind w:left="0" w:right="0" w:firstLine="0"/>
            </w:pPr>
            <w:r>
              <w:t xml:space="preserve">zakład/salon wykonujący zabiegi z naruszeniem ciągłości tkanek, m.in. </w:t>
            </w:r>
            <w:proofErr w:type="spellStart"/>
            <w:r>
              <w:t>tj</w:t>
            </w:r>
            <w:proofErr w:type="spellEnd"/>
            <w:r>
              <w:t xml:space="preserve">: kosmetyczny, tatuażu, </w:t>
            </w:r>
            <w:proofErr w:type="spellStart"/>
            <w:r>
              <w:t>piercingu</w:t>
            </w:r>
            <w:proofErr w:type="spellEnd"/>
            <w:r>
              <w:t xml:space="preserve">; </w:t>
            </w:r>
          </w:p>
        </w:tc>
      </w:tr>
      <w:tr w:rsidR="005E582F" w14:paraId="71040E1C" w14:textId="77777777" w:rsidTr="007D75B1">
        <w:trPr>
          <w:trHeight w:val="1140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B3DDFB2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FBB8C46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146BF" w14:textId="77777777" w:rsidR="005E582F" w:rsidRDefault="00000000" w:rsidP="00CF4390">
            <w:pPr>
              <w:spacing w:after="0"/>
              <w:ind w:left="0" w:right="0" w:firstLine="0"/>
            </w:pPr>
            <w:r>
              <w:t xml:space="preserve">domy przedpogrzebowe/zakłady świadczące inwazyjne usługi związane z przygotowaniem zwłok do pochowania, m.in.: </w:t>
            </w:r>
            <w:proofErr w:type="spellStart"/>
            <w:r>
              <w:t>balsamacja</w:t>
            </w:r>
            <w:proofErr w:type="spellEnd"/>
            <w:r>
              <w:t xml:space="preserve">, konserwacja, usuwanie elektrod/rozruszników; </w:t>
            </w:r>
          </w:p>
        </w:tc>
      </w:tr>
      <w:tr w:rsidR="005E582F" w14:paraId="49277573" w14:textId="77777777" w:rsidTr="007D75B1">
        <w:trPr>
          <w:trHeight w:val="569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39E4A9F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AA198BE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6D88D8" w14:textId="77777777" w:rsidR="005E582F" w:rsidRDefault="00000000" w:rsidP="00CF4390">
            <w:pPr>
              <w:spacing w:after="0"/>
              <w:ind w:left="0" w:right="0" w:firstLine="0"/>
            </w:pPr>
            <w:r>
              <w:t xml:space="preserve">pralnie świadczące usługi dla podmiotów wykonujących działalność leczniczą; </w:t>
            </w:r>
          </w:p>
        </w:tc>
      </w:tr>
      <w:tr w:rsidR="005E582F" w14:paraId="70F9E3A8" w14:textId="77777777" w:rsidTr="007D75B1">
        <w:trPr>
          <w:trHeight w:val="856"/>
        </w:trPr>
        <w:tc>
          <w:tcPr>
            <w:tcW w:w="2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D19259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CAE129" w14:textId="4521525A" w:rsidR="005E582F" w:rsidRDefault="00000000" w:rsidP="00E45873">
            <w:pPr>
              <w:spacing w:after="569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CC122" w14:textId="77777777" w:rsidR="005E582F" w:rsidRDefault="00000000" w:rsidP="00CF4390">
            <w:pPr>
              <w:spacing w:after="0"/>
              <w:ind w:left="0" w:right="0" w:firstLine="0"/>
            </w:pPr>
            <w:r>
              <w:t xml:space="preserve">domy pomocy społecznej, placówki zapewniające całodobową opiekę, ogrzewalnie, schroniska dla bezdomnych z usługami opiekuńczymi. </w:t>
            </w:r>
          </w:p>
        </w:tc>
      </w:tr>
      <w:tr w:rsidR="005E582F" w14:paraId="72750D34" w14:textId="77777777" w:rsidTr="007D75B1">
        <w:trPr>
          <w:trHeight w:val="278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D9F879D" w14:textId="77777777" w:rsidR="005E582F" w:rsidRDefault="00000000">
            <w:pPr>
              <w:spacing w:after="0"/>
              <w:ind w:left="108" w:right="0" w:firstLine="0"/>
            </w:pPr>
            <w:r>
              <w:t xml:space="preserve">Średniego ryzyka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2254F3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C21A99F" w14:textId="77777777" w:rsidR="005E582F" w:rsidRDefault="00000000">
            <w:pPr>
              <w:spacing w:after="0"/>
              <w:ind w:left="0" w:right="0" w:firstLine="0"/>
            </w:pPr>
            <w:r>
              <w:t xml:space="preserve">noclegownie, schroniska dla bezdomnych; </w:t>
            </w:r>
          </w:p>
        </w:tc>
      </w:tr>
      <w:tr w:rsidR="005E582F" w14:paraId="3BF4B5A4" w14:textId="77777777" w:rsidTr="007D75B1">
        <w:trPr>
          <w:trHeight w:val="569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F8878EF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9411D0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87C19C0" w14:textId="77777777" w:rsidR="005E582F" w:rsidRDefault="00000000">
            <w:pPr>
              <w:spacing w:after="0"/>
              <w:ind w:left="0" w:right="0" w:firstLine="0"/>
            </w:pPr>
            <w:r>
              <w:t xml:space="preserve">pralnie świadczące usługi podmiotom innym niż wykonujące działalność leczniczą; </w:t>
            </w:r>
          </w:p>
        </w:tc>
      </w:tr>
      <w:tr w:rsidR="005E582F" w14:paraId="6E0F2851" w14:textId="77777777" w:rsidTr="007D75B1">
        <w:trPr>
          <w:trHeight w:val="856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5E92038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85D903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E32BAB" w14:textId="77777777" w:rsidR="005E582F" w:rsidRDefault="00000000">
            <w:pPr>
              <w:spacing w:after="0"/>
              <w:ind w:left="0" w:right="0" w:firstLine="0"/>
            </w:pPr>
            <w:r>
              <w:t xml:space="preserve">hotele, motele, pensjonaty, kempingi, domy wycieczkowe, schroniska młodzieżowe, schroniska, pola biwakowe, agroturystyka; </w:t>
            </w:r>
          </w:p>
        </w:tc>
      </w:tr>
      <w:tr w:rsidR="005E582F" w14:paraId="74858A11" w14:textId="77777777" w:rsidTr="007D75B1">
        <w:trPr>
          <w:trHeight w:val="570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68AAC87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1098FAF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DA01D9" w14:textId="77777777" w:rsidR="005E582F" w:rsidRDefault="00000000">
            <w:pPr>
              <w:spacing w:after="0"/>
              <w:ind w:left="0" w:right="0" w:firstLine="0"/>
            </w:pPr>
            <w:r>
              <w:t xml:space="preserve">kąpieliska i miejsca okazjonalnie wykorzystywane do kąpieli; </w:t>
            </w:r>
          </w:p>
        </w:tc>
      </w:tr>
      <w:tr w:rsidR="005E582F" w14:paraId="5797CBD8" w14:textId="77777777" w:rsidTr="007D75B1">
        <w:trPr>
          <w:trHeight w:val="284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20E9CC5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5A10F4D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D4DFBA" w14:textId="77777777" w:rsidR="005E582F" w:rsidRDefault="00000000">
            <w:pPr>
              <w:spacing w:after="0"/>
              <w:ind w:left="0" w:right="0" w:firstLine="0"/>
            </w:pPr>
            <w:r>
              <w:t xml:space="preserve">pływalnie; </w:t>
            </w:r>
          </w:p>
        </w:tc>
      </w:tr>
      <w:tr w:rsidR="005E582F" w14:paraId="4C239EC6" w14:textId="77777777" w:rsidTr="007D75B1">
        <w:trPr>
          <w:trHeight w:val="873"/>
        </w:trPr>
        <w:tc>
          <w:tcPr>
            <w:tcW w:w="2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73FF2C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1135CA" w14:textId="77777777" w:rsidR="005E582F" w:rsidRDefault="00000000">
            <w:pPr>
              <w:spacing w:after="286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5497B7E" w14:textId="77777777" w:rsidR="005E582F" w:rsidRDefault="00000000">
            <w:pPr>
              <w:spacing w:after="0"/>
              <w:ind w:left="112" w:right="0" w:firstLine="0"/>
            </w:pPr>
            <w: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138D62" w14:textId="77777777" w:rsidR="005E582F" w:rsidRDefault="00000000">
            <w:pPr>
              <w:spacing w:after="0"/>
              <w:ind w:left="0" w:right="0" w:firstLine="0"/>
            </w:pPr>
            <w:r>
              <w:t xml:space="preserve">strzeżone ośrodki i areszty dla cudzoziemców, izby wytrzeźwień. </w:t>
            </w:r>
          </w:p>
        </w:tc>
      </w:tr>
      <w:tr w:rsidR="005E582F" w14:paraId="7851104F" w14:textId="77777777" w:rsidTr="007D75B1">
        <w:trPr>
          <w:trHeight w:val="847"/>
        </w:trPr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D8EF849" w14:textId="77777777" w:rsidR="005E582F" w:rsidRDefault="00000000">
            <w:pPr>
              <w:spacing w:after="0"/>
              <w:ind w:left="108" w:right="0" w:firstLine="0"/>
            </w:pPr>
            <w:r>
              <w:t xml:space="preserve">Niskiego ryzyka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D7C0A4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0062F4B" w14:textId="77777777" w:rsidR="005E582F" w:rsidRDefault="00000000">
            <w:pPr>
              <w:spacing w:after="0"/>
              <w:ind w:left="0" w:right="438" w:firstLine="0"/>
              <w:jc w:val="both"/>
            </w:pPr>
            <w:r>
              <w:t xml:space="preserve">domy przedpogrzebowe świadczące usługi inne niż wskazane w grupie wysokiego ryzyka (przewóz, przechowywanie zwłok, itp.); </w:t>
            </w:r>
          </w:p>
        </w:tc>
      </w:tr>
      <w:tr w:rsidR="005E582F" w14:paraId="54B1F181" w14:textId="77777777" w:rsidTr="007D75B1">
        <w:trPr>
          <w:trHeight w:val="286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8EB8C27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6C8BE8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403805" w14:textId="77777777" w:rsidR="005E582F" w:rsidRDefault="00000000">
            <w:pPr>
              <w:spacing w:after="0"/>
              <w:ind w:left="0" w:right="0" w:firstLine="0"/>
            </w:pPr>
            <w:r>
              <w:t xml:space="preserve">cmentarze; </w:t>
            </w:r>
          </w:p>
        </w:tc>
      </w:tr>
      <w:tr w:rsidR="005E582F" w14:paraId="19938245" w14:textId="77777777" w:rsidTr="007D75B1">
        <w:trPr>
          <w:trHeight w:val="854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98ACBF6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BF7DFF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951937B" w14:textId="77777777" w:rsidR="005E582F" w:rsidRDefault="00000000">
            <w:pPr>
              <w:spacing w:after="0"/>
              <w:ind w:left="0" w:right="0" w:firstLine="0"/>
            </w:pPr>
            <w:r>
              <w:t xml:space="preserve">zakłady fryzjerskie, zakłady kosmetyczne bez przerywania ciągłości tkanek, solaria, zakłady odnowy biologicznej bez przerywania ciągłości tkanek; </w:t>
            </w:r>
          </w:p>
        </w:tc>
      </w:tr>
      <w:tr w:rsidR="005E582F" w14:paraId="0DC9623A" w14:textId="77777777" w:rsidTr="007D75B1">
        <w:trPr>
          <w:trHeight w:val="854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AF94777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377520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951EBF" w14:textId="77777777" w:rsidR="005E582F" w:rsidRDefault="00000000">
            <w:pPr>
              <w:spacing w:after="0"/>
              <w:ind w:left="0" w:right="0" w:firstLine="0"/>
            </w:pPr>
            <w:r>
              <w:t xml:space="preserve">dworce autobusowe, dworce kolejowe, porty lotnicze, porty morskie, przejście graniczne, ustępy publiczne i ogólnodostępne; </w:t>
            </w:r>
          </w:p>
        </w:tc>
      </w:tr>
      <w:tr w:rsidR="005E582F" w14:paraId="646D20CF" w14:textId="77777777" w:rsidTr="007D75B1">
        <w:trPr>
          <w:trHeight w:val="570"/>
        </w:trPr>
        <w:tc>
          <w:tcPr>
            <w:tcW w:w="2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1CA0093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84AF0A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3BEFD9" w14:textId="77777777" w:rsidR="005E582F" w:rsidRDefault="00000000">
            <w:pPr>
              <w:spacing w:after="0"/>
              <w:ind w:left="0" w:right="0" w:firstLine="0"/>
            </w:pPr>
            <w:r>
              <w:t xml:space="preserve">obiekty sportowe, tereny rekreacyjne (tereny zieleni), plaże przy kąpieliskach; </w:t>
            </w:r>
          </w:p>
        </w:tc>
      </w:tr>
      <w:tr w:rsidR="005E582F" w14:paraId="6498C618" w14:textId="77777777" w:rsidTr="007D75B1">
        <w:trPr>
          <w:trHeight w:val="301"/>
        </w:trPr>
        <w:tc>
          <w:tcPr>
            <w:tcW w:w="2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90A241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AD7785" w14:textId="77777777" w:rsidR="005E582F" w:rsidRDefault="00000000">
            <w:pPr>
              <w:spacing w:after="0"/>
              <w:ind w:left="279" w:right="0" w:firstLine="0"/>
              <w:jc w:val="center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F1657" w14:textId="77777777" w:rsidR="005E582F" w:rsidRDefault="00000000">
            <w:pPr>
              <w:spacing w:after="0"/>
              <w:ind w:left="0" w:right="0" w:firstLine="0"/>
            </w:pPr>
            <w:r>
              <w:t xml:space="preserve">zakłady karne, areszty śledcze. </w:t>
            </w:r>
          </w:p>
        </w:tc>
      </w:tr>
    </w:tbl>
    <w:p w14:paraId="67C62915" w14:textId="7A6A945D" w:rsidR="005E582F" w:rsidRDefault="005E582F" w:rsidP="00CF4390">
      <w:pPr>
        <w:spacing w:after="158"/>
        <w:ind w:left="0" w:right="0" w:firstLine="0"/>
        <w:jc w:val="both"/>
      </w:pPr>
    </w:p>
    <w:p w14:paraId="3822FEB2" w14:textId="77777777" w:rsidR="005E582F" w:rsidRDefault="00000000">
      <w:pPr>
        <w:spacing w:after="0"/>
        <w:ind w:left="0" w:right="0" w:firstLine="0"/>
        <w:jc w:val="both"/>
      </w:pPr>
      <w:r>
        <w:lastRenderedPageBreak/>
        <w:t xml:space="preserve"> </w:t>
      </w:r>
    </w:p>
    <w:tbl>
      <w:tblPr>
        <w:tblStyle w:val="TableGrid"/>
        <w:tblW w:w="9022" w:type="dxa"/>
        <w:tblInd w:w="13" w:type="dxa"/>
        <w:tblCellMar>
          <w:top w:w="3" w:type="dxa"/>
          <w:left w:w="68" w:type="dxa"/>
          <w:right w:w="51" w:type="dxa"/>
        </w:tblCellMar>
        <w:tblLook w:val="04A0" w:firstRow="1" w:lastRow="0" w:firstColumn="1" w:lastColumn="0" w:noHBand="0" w:noVBand="1"/>
      </w:tblPr>
      <w:tblGrid>
        <w:gridCol w:w="1921"/>
        <w:gridCol w:w="7101"/>
      </w:tblGrid>
      <w:tr w:rsidR="005E582F" w14:paraId="3DB34CD3" w14:textId="77777777">
        <w:trPr>
          <w:trHeight w:val="462"/>
        </w:trPr>
        <w:tc>
          <w:tcPr>
            <w:tcW w:w="90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91B401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t xml:space="preserve">OBSZAR PRODUKTÓW BIOBÓJCZYCH </w:t>
            </w:r>
          </w:p>
        </w:tc>
      </w:tr>
      <w:tr w:rsidR="005E582F" w14:paraId="32D1115B" w14:textId="77777777">
        <w:trPr>
          <w:trHeight w:val="2455"/>
        </w:trPr>
        <w:tc>
          <w:tcPr>
            <w:tcW w:w="19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718EA" w14:textId="77777777" w:rsidR="005E582F" w:rsidRDefault="00000000">
            <w:pPr>
              <w:spacing w:after="0"/>
              <w:ind w:left="0" w:right="0" w:firstLine="0"/>
            </w:pPr>
            <w:r>
              <w:t xml:space="preserve">WYSOKIE RYZYKO </w:t>
            </w:r>
          </w:p>
        </w:tc>
        <w:tc>
          <w:tcPr>
            <w:tcW w:w="71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38FD1" w14:textId="77777777" w:rsidR="005E582F" w:rsidRDefault="00000000">
            <w:pPr>
              <w:spacing w:after="0"/>
              <w:ind w:left="4" w:right="0" w:firstLine="0"/>
            </w:pPr>
            <w:r>
              <w:t xml:space="preserve">stwierdzone wcześniej poważne uchybienia w zakresie przepisów dotyczących produktów biobójczych; udostępnianie na rynku produktu biobójczego bez pozwolenia lub zawierającego substancję czynną nieznajdującą się w wykazie, o którym mowa w art. 95 rozporządzenia BPR; nieterminowe realizowanie zaleceń z poprzednich kontroli; unikanie i celowe utrudnianie kontroli; liczne interwencje konsumenckie lub informacje od innych organów w zakresie naruszania przepisów prawa dotyczących produktów biobójczych </w:t>
            </w:r>
          </w:p>
        </w:tc>
      </w:tr>
      <w:tr w:rsidR="005E582F" w14:paraId="717BE121" w14:textId="77777777">
        <w:trPr>
          <w:trHeight w:val="8432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38E07" w14:textId="77777777" w:rsidR="005E582F" w:rsidRDefault="00000000">
            <w:pPr>
              <w:spacing w:after="0"/>
              <w:ind w:left="0" w:right="0" w:firstLine="0"/>
            </w:pPr>
            <w:r>
              <w:t xml:space="preserve">ŚREDNIE RYZYKO 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5E56" w14:textId="77777777" w:rsidR="005E582F" w:rsidRDefault="00000000">
            <w:pPr>
              <w:spacing w:after="0"/>
              <w:ind w:left="4" w:right="12" w:firstLine="0"/>
            </w:pPr>
            <w:r>
              <w:t xml:space="preserve">stwierdzone wcześniej uchybienia w zakresie przepisów ustawy o produktach biobójczych opisanych w art. 46 ust. 1 pkt 1-7 oraz ust. 2; wprowadzanie do obrotu produktu biobójczego nieopakowanego lub nieoznakowanego zgodnie z rozporządzeniem BPR lub ustawą o produktach biobójczych; reklamowanie produktu biobójczego niezgodnie z przepisami rozporządzenia BPR; nieprzechowywanie w odniesieniu do procesu produkcji odpowiedniej dokumentacji lub nieprzechowywanie próbek serii produkcyjnych produktu biobójczego zgodnie z rozporządzeniem BPR; udostępnianie na rynku produkt biobójczego zawierającego informacje niezgodne z zatwierdzonym oznakowaniem wprowadzanego do obrotu produktu biobójczego; nieprzekazywanie w terminie określonym w ustawie o produktach biobójczych informacji o zmianie dostawcy substancji czynnej; nieprzekazywanie konsumentowi (na jego wniosek) przez dostawcę wyrobu poddanego działaniu produktu biobójczego, informacji na temat produktu biobójczego, którego działaniu poddany został ten wyrób; brak współpracy w czasie poprzednich kontroli; pojedyncze interwencje konsumenckie lub informacje od innych organów nadzoru w zakresie naruszenia przepisów o produktach biobójczych opisanych w art. 46 ust. 1 pkt 1-7 oraz ust. 2; brak zapewnienia zgodności z przepisami rozporządzenia REACH i CLP m. in. brak atestowanego zamknięcia zabezpieczającego przed otwarciem przez dzieci w przypadku gdy jest to wymagane, brak wyczuwalnego dotykiem ostrzeżenia o niebezpieczeństwie gdy jest wymagane, brak zgłoszeń PCN/UFI dla mieszanin stwarzających zagrożenie, nieprawidłowości w zakresie kart charakterystyki; w przypadku konfekcjonerów produktów biobójczych - wystąpienie przypadku braku zgody właściciela pozwolenia na konfekcjonowanie produktu biobójczego; braki naruszeń kwalifikujących do wysokiego ryzyka </w:t>
            </w:r>
          </w:p>
        </w:tc>
      </w:tr>
      <w:tr w:rsidR="005E582F" w14:paraId="278FEDBD" w14:textId="77777777">
        <w:trPr>
          <w:trHeight w:val="2164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8B1AA" w14:textId="77777777" w:rsidR="005E582F" w:rsidRDefault="00000000">
            <w:pPr>
              <w:spacing w:after="0"/>
              <w:ind w:left="0" w:right="0" w:firstLine="0"/>
            </w:pPr>
            <w:r>
              <w:t xml:space="preserve">NISKIE RYZYKO </w:t>
            </w:r>
          </w:p>
        </w:tc>
        <w:tc>
          <w:tcPr>
            <w:tcW w:w="7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9835" w14:textId="77777777" w:rsidR="005E582F" w:rsidRDefault="00000000">
            <w:pPr>
              <w:spacing w:after="0"/>
              <w:ind w:left="4" w:right="0" w:firstLine="0"/>
            </w:pPr>
            <w:r>
              <w:t xml:space="preserve">nieliczne, drobne uchybienia w zakresie przepisów dotyczących produktów biobójczych; interwencje lub pojedyncze skargi konsumenckie w zakresie naruszenia innych niż wskazanych dla wyższych poziomów ryzyka przepisów dotyczących produktów biobójczych; braki naruszeń kwalifikujące do wysokiego i średniego ryzyka; brak innych przesłanek do kwalifikacji do wysokiego lub średniego ryzyka </w:t>
            </w:r>
          </w:p>
        </w:tc>
      </w:tr>
    </w:tbl>
    <w:p w14:paraId="57A0463F" w14:textId="77777777" w:rsidR="005E582F" w:rsidRDefault="00000000">
      <w:pPr>
        <w:spacing w:after="0"/>
        <w:ind w:left="0" w:right="0" w:firstLine="0"/>
        <w:jc w:val="both"/>
      </w:pPr>
      <w:r>
        <w:lastRenderedPageBreak/>
        <w:t xml:space="preserve"> </w:t>
      </w:r>
    </w:p>
    <w:tbl>
      <w:tblPr>
        <w:tblStyle w:val="TableGrid"/>
        <w:tblW w:w="8938" w:type="dxa"/>
        <w:tblInd w:w="13" w:type="dxa"/>
        <w:tblCellMar>
          <w:top w:w="3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1934"/>
        <w:gridCol w:w="7004"/>
      </w:tblGrid>
      <w:tr w:rsidR="005E582F" w14:paraId="1F3AC148" w14:textId="77777777">
        <w:trPr>
          <w:trHeight w:val="463"/>
        </w:trPr>
        <w:tc>
          <w:tcPr>
            <w:tcW w:w="8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B3CFE1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t xml:space="preserve">OBSZAR PRODUKTÓW KOSMETYCZNYCH - osoby odpowiedzialne </w:t>
            </w:r>
          </w:p>
        </w:tc>
      </w:tr>
      <w:tr w:rsidR="005E582F" w14:paraId="5D41534A" w14:textId="77777777">
        <w:trPr>
          <w:trHeight w:val="3879"/>
        </w:trPr>
        <w:tc>
          <w:tcPr>
            <w:tcW w:w="19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15B921" w14:textId="77777777" w:rsidR="005E582F" w:rsidRDefault="00000000">
            <w:pPr>
              <w:spacing w:after="0"/>
              <w:ind w:left="0" w:right="0" w:firstLine="0"/>
            </w:pPr>
            <w:r>
              <w:t xml:space="preserve">WYSOKIE RYZYKO </w:t>
            </w:r>
          </w:p>
        </w:tc>
        <w:tc>
          <w:tcPr>
            <w:tcW w:w="70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F5E3" w14:textId="77777777" w:rsidR="005E582F" w:rsidRDefault="00000000">
            <w:pPr>
              <w:spacing w:after="0"/>
              <w:ind w:left="2" w:right="0" w:firstLine="0"/>
            </w:pPr>
            <w:r>
              <w:t xml:space="preserve">stwierdzone wcześniej poważne uchybienia w zakresie przepisów dotyczących art. 10, 11 (dokumentacja i raport bezpieczeństwa) np. </w:t>
            </w:r>
          </w:p>
          <w:p w14:paraId="40C4E992" w14:textId="77777777" w:rsidR="005E582F" w:rsidRDefault="00000000">
            <w:pPr>
              <w:spacing w:after="0"/>
              <w:ind w:left="2" w:right="0" w:firstLine="0"/>
            </w:pPr>
            <w:r>
              <w:t xml:space="preserve">brak dokumentacji, brak raportu zgodnego z załącznikiem I, art. 14 i 15 (ograniczenia odnoszące się do substancji) rozporządzenia 1223/2009, poważne uchybienia w zakresie oznakowania (art. 19) - brak wskazania osoby odpowiedzialnej, brak wymaganych ostrzeżeń; nieterminowe realizowanie zaleceń z poprzednich kontroli; unikanie i celowe utrudnianie kontroli; liczne interwencje konsumenckie dotyczące podejrzeń niewłaściwej jakości zdrowotnej lub informacje od innych organów w zakresie przepisów dotyczących w szczególności art. 10, 11 (dokumentacja i raport bezpieczeństwa) np. brak dokumentacji, brak raportu lub brak w raporcie istotnych danych (załącznik I), 14 i 15 (ograniczenia odnoszące się do substancji) rozporządzenia 1223/2009 </w:t>
            </w:r>
          </w:p>
        </w:tc>
      </w:tr>
      <w:tr w:rsidR="005E582F" w14:paraId="3B59C666" w14:textId="77777777">
        <w:trPr>
          <w:trHeight w:val="3875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52223" w14:textId="77777777" w:rsidR="005E582F" w:rsidRDefault="00000000">
            <w:pPr>
              <w:spacing w:after="0"/>
              <w:ind w:left="0" w:right="14" w:firstLine="0"/>
            </w:pPr>
            <w:r>
              <w:t xml:space="preserve">ŚREDNIE RYZYKO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73E7" w14:textId="77777777" w:rsidR="005E582F" w:rsidRDefault="00000000">
            <w:pPr>
              <w:spacing w:after="0"/>
              <w:ind w:left="2" w:right="0" w:firstLine="0"/>
            </w:pPr>
            <w:r>
              <w:t xml:space="preserve">stwierdzone wcześniej uchybienia w zakresie przepisów dotyczących art. 10, 11 (dokumentacja i raport bezpieczeństwa) np. pojedyncze braki w dokumentacji, niepełny raport bezpieczeństwa (załącznik I), art. </w:t>
            </w:r>
          </w:p>
          <w:p w14:paraId="23BA40EF" w14:textId="77777777" w:rsidR="005E582F" w:rsidRDefault="00000000">
            <w:pPr>
              <w:spacing w:after="0"/>
              <w:ind w:left="2" w:right="0" w:firstLine="0"/>
            </w:pPr>
            <w:r>
              <w:t xml:space="preserve">14 i 15 (ograniczenia odnoszące się do substancji) rozporządzenia 1223/2009; uchybienia w zakresie oznakowania produktów kosmetycznych (art. 19 i 20 rozporządzenia 1223/2009); uchybienia w zakresie art. 13 rozporządzenia 1223/2009 (zgłaszanie) np. brak zgłoszenia; brak współpracy w czasie poprzednich kontroli; pojedyncze interwencje konsumenckie lub informacje od innych organów nadzoru w zakresie przepisów dotyczących produktów kosmetycznych dot. szczególności składu lub oznakowania produktów kosmetycznych (art. 19 i 20 rozporządzenia 1223/2009); braki naruszeń kwalifikujące do dużego ryzyka </w:t>
            </w:r>
          </w:p>
        </w:tc>
      </w:tr>
      <w:tr w:rsidR="005E582F" w14:paraId="5452FAC3" w14:textId="77777777">
        <w:trPr>
          <w:trHeight w:val="3302"/>
        </w:trPr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D0C05" w14:textId="77777777" w:rsidR="005E582F" w:rsidRDefault="00000000">
            <w:pPr>
              <w:spacing w:after="0"/>
              <w:ind w:left="0" w:right="0" w:firstLine="0"/>
            </w:pPr>
            <w:r>
              <w:t xml:space="preserve">NISKIE RYZYKO 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1B45" w14:textId="77777777" w:rsidR="005E582F" w:rsidRDefault="00000000">
            <w:pPr>
              <w:spacing w:after="2" w:line="257" w:lineRule="auto"/>
              <w:ind w:left="2" w:right="0" w:firstLine="0"/>
            </w:pPr>
            <w:r>
              <w:t xml:space="preserve">nieliczne, drobne uchybienia w zakresie przepisów dotyczących produktów kosmetycznych niewskazanych w poprzednich pkt dot. </w:t>
            </w:r>
          </w:p>
          <w:p w14:paraId="6419FEDB" w14:textId="77777777" w:rsidR="005E582F" w:rsidRDefault="00000000">
            <w:pPr>
              <w:spacing w:after="0"/>
              <w:ind w:left="2" w:right="0" w:firstLine="0"/>
            </w:pPr>
            <w:r>
              <w:t xml:space="preserve">dużego i średniego ryzyka; nieścisłości lub brak aktualizacji zgłoszenia produktu (art. 13 rozporządzenia 1223/2009); pojedyncze interwencje konsumenckie w zakresie przepisów dotyczących produktów kosmetycznych np. uchybienia w zakresie oznakowania produktów kosmetycznych (art. 19 i 20 rozporządzenia 1223/2009); uchybienia w zakresie art. 13 rozporządzenia 1223/2009 (zgłaszanie np. brak zgłoszenia); braki naruszeń kwalifikujących do dużego i średniego ryzyka; brak innych przesłanek do kwalifikacji dużego lub średniego ryzyka </w:t>
            </w:r>
          </w:p>
        </w:tc>
      </w:tr>
    </w:tbl>
    <w:p w14:paraId="0E6AF790" w14:textId="77777777" w:rsidR="005E582F" w:rsidRDefault="00000000">
      <w:pPr>
        <w:spacing w:after="160"/>
        <w:ind w:left="0" w:right="0" w:firstLine="0"/>
        <w:jc w:val="both"/>
      </w:pPr>
      <w:r>
        <w:t xml:space="preserve"> </w:t>
      </w:r>
    </w:p>
    <w:p w14:paraId="38A8184B" w14:textId="77777777" w:rsidR="005E582F" w:rsidRDefault="00000000">
      <w:pPr>
        <w:spacing w:after="158"/>
        <w:ind w:left="0" w:right="0" w:firstLine="0"/>
        <w:jc w:val="both"/>
      </w:pPr>
      <w:r>
        <w:t xml:space="preserve"> </w:t>
      </w:r>
    </w:p>
    <w:p w14:paraId="23B8CBF1" w14:textId="77777777" w:rsidR="005E582F" w:rsidRDefault="00000000">
      <w:pPr>
        <w:spacing w:after="158"/>
        <w:ind w:left="0" w:right="0" w:firstLine="0"/>
        <w:jc w:val="both"/>
      </w:pPr>
      <w:r>
        <w:t xml:space="preserve"> </w:t>
      </w:r>
    </w:p>
    <w:p w14:paraId="0374961A" w14:textId="77777777" w:rsidR="005E582F" w:rsidRDefault="00000000">
      <w:pPr>
        <w:spacing w:after="0"/>
        <w:ind w:left="0" w:right="0" w:firstLine="0"/>
        <w:jc w:val="both"/>
      </w:pPr>
      <w:r>
        <w:t xml:space="preserve"> </w:t>
      </w:r>
    </w:p>
    <w:tbl>
      <w:tblPr>
        <w:tblStyle w:val="TableGrid"/>
        <w:tblW w:w="8938" w:type="dxa"/>
        <w:tblInd w:w="13" w:type="dxa"/>
        <w:tblCellMar>
          <w:top w:w="3" w:type="dxa"/>
          <w:left w:w="68" w:type="dxa"/>
          <w:right w:w="16" w:type="dxa"/>
        </w:tblCellMar>
        <w:tblLook w:val="04A0" w:firstRow="1" w:lastRow="0" w:firstColumn="1" w:lastColumn="0" w:noHBand="0" w:noVBand="1"/>
      </w:tblPr>
      <w:tblGrid>
        <w:gridCol w:w="1906"/>
        <w:gridCol w:w="7032"/>
      </w:tblGrid>
      <w:tr w:rsidR="005E582F" w14:paraId="172F4E84" w14:textId="77777777">
        <w:trPr>
          <w:trHeight w:val="748"/>
        </w:trPr>
        <w:tc>
          <w:tcPr>
            <w:tcW w:w="8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AF03BE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lastRenderedPageBreak/>
              <w:t xml:space="preserve">OBSZAR PRODUKTÓW KOSMETYCZNYCH - wytwórcy - art. 8 rozporządzenia 1223/2009 </w:t>
            </w:r>
          </w:p>
        </w:tc>
      </w:tr>
      <w:tr w:rsidR="005E582F" w14:paraId="3E279AE8" w14:textId="77777777">
        <w:trPr>
          <w:trHeight w:val="2738"/>
        </w:trPr>
        <w:tc>
          <w:tcPr>
            <w:tcW w:w="19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E3E42A" w14:textId="77777777" w:rsidR="005E582F" w:rsidRDefault="00000000">
            <w:pPr>
              <w:spacing w:after="0"/>
              <w:ind w:left="0" w:right="0" w:firstLine="0"/>
            </w:pPr>
            <w:r>
              <w:t xml:space="preserve">WYSOKIE RYZYKO </w:t>
            </w:r>
          </w:p>
        </w:tc>
        <w:tc>
          <w:tcPr>
            <w:tcW w:w="70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DA4E" w14:textId="77777777" w:rsidR="005E582F" w:rsidRDefault="00000000">
            <w:pPr>
              <w:spacing w:after="0"/>
              <w:ind w:left="5" w:right="0" w:firstLine="0"/>
            </w:pPr>
            <w:r>
              <w:t xml:space="preserve">niewdrożony system GMP; poważne uchybienia w systemie GMP mogące wpływać na bezpieczeństwo produktu kosmetycznego np. niewłaściwe warunki sanitarne, brak procedur odnoszących się do mycia i dezynfekcji; liczne interwencje np. od podmiotów zlecających wytworzenie produktu, informacje od innych organów; rodzaj produktów kosmetycznych - produkty podatne na zanieczyszczenia mikrobiologiczne, produkty przeznaczone dla małych dzieci lub specjalnych grup konsumentów; nieterminowe realizowanie zaleceń z poprzednich kontroli; unikanie i celowe utrudnienie kontroli </w:t>
            </w:r>
          </w:p>
        </w:tc>
      </w:tr>
      <w:tr w:rsidR="005E582F" w14:paraId="30A5829A" w14:textId="77777777">
        <w:trPr>
          <w:trHeight w:val="216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6E9572" w14:textId="77777777" w:rsidR="005E582F" w:rsidRDefault="00000000">
            <w:pPr>
              <w:spacing w:after="0"/>
              <w:ind w:left="0" w:right="0" w:firstLine="0"/>
            </w:pPr>
            <w:r>
              <w:t xml:space="preserve">ŚREDNIE RYZYKO 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DDBF" w14:textId="77777777" w:rsidR="005E582F" w:rsidRDefault="00000000">
            <w:pPr>
              <w:spacing w:after="1" w:line="258" w:lineRule="auto"/>
              <w:ind w:left="5" w:right="15" w:firstLine="0"/>
            </w:pPr>
            <w:r>
              <w:t xml:space="preserve">stwierdzone uchybienia w systemie GMP niewpływające w sposób znaczący na bezpieczeństwo produktów kosmetycznych; interwencje od podmiotów zlecających wytworzenie produktu, informacje od innych organów; rodzaj produktów kosmetycznych - inne niż w pkt. </w:t>
            </w:r>
          </w:p>
          <w:p w14:paraId="14B2F674" w14:textId="77777777" w:rsidR="005E582F" w:rsidRDefault="00000000">
            <w:pPr>
              <w:spacing w:after="0"/>
              <w:ind w:left="5" w:right="0" w:firstLine="0"/>
            </w:pPr>
            <w:r>
              <w:t xml:space="preserve">duże i małe ryzyko z uwagi na ryzyko mikrobiologiczne; brak współpracy w czasie kontroli; brak naruszeń kwalifikujących do dużego ryzyka </w:t>
            </w:r>
          </w:p>
        </w:tc>
      </w:tr>
      <w:tr w:rsidR="005E582F" w14:paraId="5294963D" w14:textId="77777777">
        <w:trPr>
          <w:trHeight w:val="187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02C34" w14:textId="77777777" w:rsidR="005E582F" w:rsidRDefault="00000000">
            <w:pPr>
              <w:spacing w:after="0"/>
              <w:ind w:left="0" w:right="0" w:firstLine="0"/>
            </w:pPr>
            <w:r>
              <w:t xml:space="preserve">NISKIE RYZYKO </w:t>
            </w:r>
          </w:p>
        </w:tc>
        <w:tc>
          <w:tcPr>
            <w:tcW w:w="7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B410" w14:textId="77777777" w:rsidR="005E582F" w:rsidRDefault="00000000">
            <w:pPr>
              <w:spacing w:after="0"/>
              <w:ind w:left="5" w:right="0" w:firstLine="0"/>
            </w:pPr>
            <w:r>
              <w:t xml:space="preserve">wyniki poprzednich kontroli: nieliczne uchybienia w systemie GMP, brak zgłoszenia - zgodnie z art. 6 ustawy o produktach kosmetycznych; pojedyncze interwencje od podmiotów zlecających wytworzenie produktu lub informacje od innych organów nadzoru; rodzaj produktów kosmetycznych: perfumy, produkty z dużą zawartością alkoholu lub niskiego ryzyka mikrobiologicznego </w:t>
            </w:r>
          </w:p>
        </w:tc>
      </w:tr>
    </w:tbl>
    <w:p w14:paraId="19C70EED" w14:textId="0AE0F46D" w:rsidR="00CF4390" w:rsidRDefault="00000000">
      <w:pPr>
        <w:spacing w:after="0"/>
        <w:ind w:left="0" w:right="0" w:firstLine="0"/>
        <w:jc w:val="both"/>
      </w:pPr>
      <w:r>
        <w:t xml:space="preserve"> </w:t>
      </w:r>
    </w:p>
    <w:tbl>
      <w:tblPr>
        <w:tblStyle w:val="TableGrid"/>
        <w:tblW w:w="8986" w:type="dxa"/>
        <w:tblInd w:w="13" w:type="dxa"/>
        <w:tblCellMar>
          <w:left w:w="68" w:type="dxa"/>
          <w:right w:w="103" w:type="dxa"/>
        </w:tblCellMar>
        <w:tblLook w:val="04A0" w:firstRow="1" w:lastRow="0" w:firstColumn="1" w:lastColumn="0" w:noHBand="0" w:noVBand="1"/>
      </w:tblPr>
      <w:tblGrid>
        <w:gridCol w:w="6"/>
        <w:gridCol w:w="1827"/>
        <w:gridCol w:w="6"/>
        <w:gridCol w:w="7141"/>
        <w:gridCol w:w="6"/>
      </w:tblGrid>
      <w:tr w:rsidR="005E582F" w14:paraId="7B37D190" w14:textId="77777777">
        <w:trPr>
          <w:gridBefore w:val="1"/>
          <w:wBefore w:w="6" w:type="dxa"/>
          <w:trHeight w:val="521"/>
        </w:trPr>
        <w:tc>
          <w:tcPr>
            <w:tcW w:w="89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AB84B91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t xml:space="preserve">OBSZAR PRODUKTÓW KOSMETYCZNYCH - dystrybutorzy </w:t>
            </w:r>
          </w:p>
        </w:tc>
      </w:tr>
      <w:tr w:rsidR="005E582F" w14:paraId="0B8F57E9" w14:textId="77777777">
        <w:trPr>
          <w:gridBefore w:val="1"/>
          <w:wBefore w:w="6" w:type="dxa"/>
          <w:trHeight w:val="4449"/>
        </w:trPr>
        <w:tc>
          <w:tcPr>
            <w:tcW w:w="18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6F83FD" w14:textId="77777777" w:rsidR="005E582F" w:rsidRDefault="00000000">
            <w:pPr>
              <w:spacing w:after="0"/>
              <w:ind w:left="0" w:right="0" w:firstLine="0"/>
            </w:pPr>
            <w:r>
              <w:t xml:space="preserve">WYSOKIE RYZYKO </w:t>
            </w:r>
          </w:p>
        </w:tc>
        <w:tc>
          <w:tcPr>
            <w:tcW w:w="715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525B" w14:textId="77777777" w:rsidR="005E582F" w:rsidRDefault="00000000">
            <w:pPr>
              <w:spacing w:after="0"/>
              <w:ind w:left="5" w:right="0" w:firstLine="0"/>
            </w:pPr>
            <w:r>
              <w:t xml:space="preserve">stwierdzone poważne uchybienia w zakresie przepisów dotyczących produktów kosmetycznych; brak realizacji art. 7 rozporządzenia 1223/2009 (identyfikacji w łańcuchu dostaw); sprzedaż produktów o nieidentyfikowalnym pochodzeniu; brak realizacji przepisów dotyczących art. 4 dot. odpowiedzialności za produkt - w przypadku importu oraz zmian w produkcie, które może wprowadzić dystrybutor - powyższe może prowadzić do konieczności zmiany kwalifikacjami podmiotu z dystrybutora na osobę odpowiedzialną; niespełnianie realizacji obowiązków określonych w art. 6 rozporządzenia 1223/2009, częsta sprzedaż produktów po upływie terminu ważności, zły stan pomieszczeń, złe warunki sprzedaży/przechowywania produktów; brak realizacji obowiązków art. 23 (dot. ciężkich działań niepożądanych); liczne interwencje konsumenckie, informacje od innych organów; nieterminowe realizowanie zaleceń z poprzednich kontroli; unikanie i celowe utrudnianie kontroli </w:t>
            </w:r>
          </w:p>
        </w:tc>
      </w:tr>
      <w:tr w:rsidR="005E582F" w14:paraId="00273FE8" w14:textId="77777777">
        <w:trPr>
          <w:gridAfter w:val="1"/>
          <w:wAfter w:w="6" w:type="dxa"/>
          <w:trHeight w:val="1592"/>
        </w:trPr>
        <w:tc>
          <w:tcPr>
            <w:tcW w:w="18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C3A06" w14:textId="77777777" w:rsidR="005E582F" w:rsidRDefault="00000000">
            <w:pPr>
              <w:spacing w:after="0"/>
              <w:ind w:left="0" w:right="0" w:firstLine="0"/>
            </w:pPr>
            <w:r>
              <w:lastRenderedPageBreak/>
              <w:t xml:space="preserve">ŚREDNIE RYZYKO </w:t>
            </w:r>
          </w:p>
        </w:tc>
        <w:tc>
          <w:tcPr>
            <w:tcW w:w="71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AA61" w14:textId="77777777" w:rsidR="005E582F" w:rsidRDefault="00000000">
            <w:pPr>
              <w:spacing w:after="0"/>
              <w:ind w:left="4" w:right="0" w:firstLine="0"/>
            </w:pPr>
            <w:r>
              <w:t xml:space="preserve">nieliczne uchybienia w zakresie przepisów dotyczących produktów kosmetycznych np. art. 6 i 7 rozporządzenia 1223/2009; sporadyczne przypadki sprzedaży produktów po upływie terminu ważności; pojedyncze interwencje konsumenckie lub informacje od innych organów nadzoru; brak współpracy w czasie kontroli </w:t>
            </w:r>
          </w:p>
        </w:tc>
      </w:tr>
      <w:tr w:rsidR="005E582F" w14:paraId="081CCC0C" w14:textId="77777777">
        <w:trPr>
          <w:gridAfter w:val="1"/>
          <w:wAfter w:w="6" w:type="dxa"/>
          <w:trHeight w:val="738"/>
        </w:trPr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CB53A3" w14:textId="77777777" w:rsidR="005E582F" w:rsidRDefault="00000000">
            <w:pPr>
              <w:spacing w:after="0"/>
              <w:ind w:left="0" w:right="0" w:firstLine="0"/>
              <w:jc w:val="both"/>
            </w:pPr>
            <w:r>
              <w:t xml:space="preserve">NISKIE RYZYKO </w:t>
            </w:r>
          </w:p>
        </w:tc>
        <w:tc>
          <w:tcPr>
            <w:tcW w:w="7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8270" w14:textId="77777777" w:rsidR="005E582F" w:rsidRDefault="00000000">
            <w:pPr>
              <w:spacing w:after="0"/>
              <w:ind w:left="4" w:right="0" w:firstLine="0"/>
            </w:pPr>
            <w:r>
              <w:t xml:space="preserve">brak uchybień, brak interwencji, brak naruszeń kwalifikujących do dużego i średniego ryzyka </w:t>
            </w:r>
          </w:p>
        </w:tc>
      </w:tr>
    </w:tbl>
    <w:p w14:paraId="53CC952A" w14:textId="77777777" w:rsidR="005E582F" w:rsidRDefault="00000000">
      <w:pPr>
        <w:spacing w:after="0"/>
        <w:ind w:left="0" w:right="0" w:firstLine="0"/>
        <w:jc w:val="both"/>
      </w:pPr>
      <w:r>
        <w:t xml:space="preserve"> </w:t>
      </w:r>
    </w:p>
    <w:tbl>
      <w:tblPr>
        <w:tblStyle w:val="TableGrid"/>
        <w:tblW w:w="8962" w:type="dxa"/>
        <w:tblInd w:w="13" w:type="dxa"/>
        <w:tblCellMar>
          <w:top w:w="3" w:type="dxa"/>
          <w:left w:w="68" w:type="dxa"/>
          <w:right w:w="24" w:type="dxa"/>
        </w:tblCellMar>
        <w:tblLook w:val="04A0" w:firstRow="1" w:lastRow="0" w:firstColumn="1" w:lastColumn="0" w:noHBand="0" w:noVBand="1"/>
      </w:tblPr>
      <w:tblGrid>
        <w:gridCol w:w="1921"/>
        <w:gridCol w:w="7041"/>
      </w:tblGrid>
      <w:tr w:rsidR="005E582F" w14:paraId="4CB715A1" w14:textId="77777777">
        <w:trPr>
          <w:trHeight w:val="470"/>
        </w:trPr>
        <w:tc>
          <w:tcPr>
            <w:tcW w:w="8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835DEC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t xml:space="preserve">OBSZAR SUBSTANCJI CHEMICZNYCH I ICH MIESZANIN </w:t>
            </w:r>
          </w:p>
        </w:tc>
      </w:tr>
      <w:tr w:rsidR="005E582F" w14:paraId="4A201F73" w14:textId="77777777">
        <w:trPr>
          <w:trHeight w:val="4735"/>
        </w:trPr>
        <w:tc>
          <w:tcPr>
            <w:tcW w:w="19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594BC" w14:textId="77777777" w:rsidR="005E582F" w:rsidRDefault="00000000">
            <w:pPr>
              <w:spacing w:after="0"/>
              <w:ind w:left="0" w:right="0" w:firstLine="0"/>
            </w:pPr>
            <w:r>
              <w:t xml:space="preserve">WYSOKIE RYZYKO </w:t>
            </w:r>
          </w:p>
        </w:tc>
        <w:tc>
          <w:tcPr>
            <w:tcW w:w="70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C292" w14:textId="77777777" w:rsidR="005E582F" w:rsidRDefault="00000000">
            <w:pPr>
              <w:spacing w:after="0"/>
              <w:ind w:left="4" w:right="39" w:firstLine="0"/>
            </w:pPr>
            <w:r>
              <w:t xml:space="preserve">stwierdzone w poprzednich kontrolach poważne uchybienia, liczne interwencje (10 lub więcej w okresie 5 lat) i/lub informacje od innych organów dotyczące poniższych obowiązków w zakresie substancji chemicznych i ich mieszanin; wprowadzanie do obrotu lub stosowanie substancji, mieszanin bez wymaganej rejestracji; brak raportu bezpieczeństwa chemicznego zgodnie z REACH; niespełnianie przepisów prawa w zakresie zał. XIV (zezwolenia) i zał. XVII (ograniczenia) REACH; niespełnianie przepisów prawa w zakresie badań na zwierzętach kręgowych (REACH) oraz na ludziach i zwierzętach (CLP); wprowadzanie bez wymaganej zgody na odstępstwo (wg. rozporządzenia w sprawie detergentów) środka powierzchniowo czynnego; nieterminowe realizowanie zaleceń z poprzednich kontroli; unikanie i celowe utrudnienia kontroli; w przypadku producentów i wprowadzających do obrotu brak atestowanego zamknięcia zabezpieczającego przed otwarciem przez dzieci w przypadku, gdy jest to wymagane </w:t>
            </w:r>
          </w:p>
        </w:tc>
      </w:tr>
      <w:tr w:rsidR="005E582F" w14:paraId="644F7200" w14:textId="77777777">
        <w:trPr>
          <w:trHeight w:val="3019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635266" w14:textId="77777777" w:rsidR="005E582F" w:rsidRDefault="00000000">
            <w:pPr>
              <w:spacing w:after="0"/>
              <w:ind w:left="0" w:right="0" w:firstLine="0"/>
            </w:pPr>
            <w:r>
              <w:t xml:space="preserve">ŚREDNIE RYZYKO 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E1CD" w14:textId="77777777" w:rsidR="005E582F" w:rsidRDefault="00000000">
            <w:pPr>
              <w:spacing w:after="0"/>
              <w:ind w:left="4" w:right="0" w:firstLine="0"/>
            </w:pPr>
            <w:r>
              <w:t xml:space="preserve">stwierdzone w poprzednich kontrolach uchybienia, interwencje (powyżej 3 w okresie 3 lat) i/lub informacje od innych organów w zakresie przepisów dotyczących substancji chemicznych i ich mieszanin oraz detergentów nieopisane w punkcie dotyczącym wysokiego ryzyka; brak dokumentacji w łańcuchu dostaw m.in. zakresie informacji o substancjach zawartych w wyrobach (SVHC), bazy SCIP, zgłoszeń PCN/UFI; brak współpracy w czasie poprzednich kontroli; w przypadku importerów niezgodności dotyczące zgłoszeń do C&amp;L Inventory, niezgodności dotyczące zgłoszeń oraz identyfikacji substancji SVHC; brak naruszeń kwalifikujących do wysokiego ryzyka </w:t>
            </w:r>
          </w:p>
        </w:tc>
      </w:tr>
      <w:tr w:rsidR="005E582F" w14:paraId="343229D3" w14:textId="77777777">
        <w:trPr>
          <w:trHeight w:val="1593"/>
        </w:trPr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56601" w14:textId="77777777" w:rsidR="005E582F" w:rsidRDefault="00000000">
            <w:pPr>
              <w:spacing w:after="0"/>
              <w:ind w:left="0" w:right="0" w:firstLine="0"/>
            </w:pPr>
            <w:r>
              <w:t xml:space="preserve">NISKIE RYZYKO </w:t>
            </w:r>
          </w:p>
        </w:tc>
        <w:tc>
          <w:tcPr>
            <w:tcW w:w="7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25CE" w14:textId="77777777" w:rsidR="005E582F" w:rsidRDefault="00000000">
            <w:pPr>
              <w:spacing w:after="0"/>
              <w:ind w:left="4" w:right="0" w:firstLine="0"/>
            </w:pPr>
            <w:r>
              <w:t xml:space="preserve">stwierdzone w poprzednich kontrolach pojedyncze, drobne uchybienia lub interwencje (1-3 w okresie 5 lat) w zakresie przepisów dotyczących substancji chemicznych i ich mieszanin oraz detergentów nieopisane w punktach dotyczących wysokie i średniego ryzyka; brak naruszeń kwalifikujących do wysokiego i średniego ryzyka </w:t>
            </w:r>
          </w:p>
        </w:tc>
      </w:tr>
    </w:tbl>
    <w:p w14:paraId="037B6344" w14:textId="77777777" w:rsidR="005E582F" w:rsidRDefault="00000000">
      <w:pPr>
        <w:spacing w:after="160"/>
        <w:ind w:left="0" w:right="0" w:firstLine="0"/>
        <w:jc w:val="both"/>
      </w:pPr>
      <w:r>
        <w:t xml:space="preserve"> </w:t>
      </w:r>
    </w:p>
    <w:p w14:paraId="6F33FDE2" w14:textId="77777777" w:rsidR="00931F10" w:rsidRDefault="00931F10">
      <w:pPr>
        <w:spacing w:after="160"/>
        <w:ind w:left="0" w:right="0" w:firstLine="0"/>
        <w:jc w:val="both"/>
      </w:pPr>
    </w:p>
    <w:p w14:paraId="2F9BD27D" w14:textId="77777777" w:rsidR="005E582F" w:rsidRDefault="00000000">
      <w:pPr>
        <w:spacing w:after="0"/>
        <w:ind w:left="0" w:right="0" w:firstLine="0"/>
        <w:jc w:val="both"/>
      </w:pPr>
      <w:r>
        <w:t xml:space="preserve"> </w:t>
      </w:r>
    </w:p>
    <w:tbl>
      <w:tblPr>
        <w:tblStyle w:val="TableGrid"/>
        <w:tblW w:w="9034" w:type="dxa"/>
        <w:tblInd w:w="13" w:type="dxa"/>
        <w:tblCellMar>
          <w:top w:w="4" w:type="dxa"/>
          <w:left w:w="68" w:type="dxa"/>
          <w:right w:w="76" w:type="dxa"/>
        </w:tblCellMar>
        <w:tblLook w:val="04A0" w:firstRow="1" w:lastRow="0" w:firstColumn="1" w:lastColumn="0" w:noHBand="0" w:noVBand="1"/>
      </w:tblPr>
      <w:tblGrid>
        <w:gridCol w:w="1916"/>
        <w:gridCol w:w="7118"/>
      </w:tblGrid>
      <w:tr w:rsidR="005E582F" w14:paraId="3D6E9EAD" w14:textId="77777777">
        <w:trPr>
          <w:trHeight w:val="570"/>
        </w:trPr>
        <w:tc>
          <w:tcPr>
            <w:tcW w:w="90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7E6D463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lastRenderedPageBreak/>
              <w:t xml:space="preserve">OBSZAR HIGIENY RADIACYJNEJ W ZAKRESIE PÓL ELEKTROMAGNETYCZNYCH </w:t>
            </w:r>
          </w:p>
        </w:tc>
      </w:tr>
      <w:tr w:rsidR="005E582F" w14:paraId="3E895572" w14:textId="77777777">
        <w:trPr>
          <w:trHeight w:val="1086"/>
        </w:trPr>
        <w:tc>
          <w:tcPr>
            <w:tcW w:w="19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A1BFA" w14:textId="77777777" w:rsidR="005E582F" w:rsidRDefault="00000000">
            <w:pPr>
              <w:spacing w:after="0"/>
              <w:ind w:left="0" w:right="0" w:firstLine="0"/>
            </w:pPr>
            <w:r>
              <w:t xml:space="preserve">WYSOKIE RYZYKO </w:t>
            </w:r>
          </w:p>
        </w:tc>
        <w:tc>
          <w:tcPr>
            <w:tcW w:w="71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2A72" w14:textId="77777777" w:rsidR="005E582F" w:rsidRDefault="00000000">
            <w:pPr>
              <w:spacing w:after="0"/>
              <w:ind w:left="4" w:right="0" w:firstLine="0"/>
            </w:pPr>
            <w:r>
              <w:t xml:space="preserve">podmioty lecznicze wykonujące świadczenia szpitalne w których są stosowane rezonanse magnetyczne oraz inne urządzenia wykorzystujące pola elektromagnetyczne </w:t>
            </w:r>
          </w:p>
        </w:tc>
      </w:tr>
      <w:tr w:rsidR="005E582F" w14:paraId="77711F96" w14:textId="77777777">
        <w:trPr>
          <w:trHeight w:val="74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FBDF9" w14:textId="77777777" w:rsidR="005E582F" w:rsidRDefault="00000000">
            <w:pPr>
              <w:spacing w:after="0"/>
              <w:ind w:left="0" w:right="0" w:firstLine="0"/>
            </w:pPr>
            <w:r>
              <w:t xml:space="preserve">ŚREDNIE RYZYKO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BED7" w14:textId="77777777" w:rsidR="005E582F" w:rsidRDefault="00000000">
            <w:pPr>
              <w:spacing w:after="0"/>
              <w:ind w:left="4" w:right="0" w:firstLine="0"/>
            </w:pPr>
            <w:r>
              <w:t xml:space="preserve">pozostałe podmioty lecznicze oraz inne podmioty wykorzystujące pola elektromagnetyczne do celów medycznych </w:t>
            </w:r>
          </w:p>
        </w:tc>
      </w:tr>
      <w:tr w:rsidR="005E582F" w14:paraId="6AF5B802" w14:textId="77777777">
        <w:trPr>
          <w:trHeight w:val="1079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D5A365" w14:textId="77777777" w:rsidR="005E582F" w:rsidRDefault="00000000">
            <w:pPr>
              <w:spacing w:after="0"/>
              <w:ind w:left="0" w:right="0" w:firstLine="0"/>
            </w:pPr>
            <w:r>
              <w:t xml:space="preserve">NISKIE RYZYKO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34BB" w14:textId="77777777" w:rsidR="005E582F" w:rsidRDefault="00000000">
            <w:pPr>
              <w:spacing w:after="0"/>
              <w:ind w:left="4" w:right="0" w:firstLine="0"/>
            </w:pPr>
            <w:r>
              <w:t xml:space="preserve">podmioty wykorzystujące pola elektromagnetyczne do celów innych niż medyczne (energetyka, przemysł, radiokomunikacja i łączność, nauka i inne) </w:t>
            </w:r>
          </w:p>
        </w:tc>
      </w:tr>
    </w:tbl>
    <w:p w14:paraId="6FA108E7" w14:textId="77777777" w:rsidR="005E582F" w:rsidRDefault="00000000">
      <w:pPr>
        <w:spacing w:after="0"/>
        <w:ind w:left="0" w:right="0" w:firstLine="0"/>
        <w:jc w:val="both"/>
      </w:pPr>
      <w:r>
        <w:t xml:space="preserve"> </w:t>
      </w:r>
    </w:p>
    <w:tbl>
      <w:tblPr>
        <w:tblStyle w:val="TableGrid"/>
        <w:tblW w:w="9070" w:type="dxa"/>
        <w:tblInd w:w="13" w:type="dxa"/>
        <w:tblCellMar>
          <w:top w:w="3" w:type="dxa"/>
          <w:left w:w="68" w:type="dxa"/>
          <w:right w:w="14" w:type="dxa"/>
        </w:tblCellMar>
        <w:tblLook w:val="04A0" w:firstRow="1" w:lastRow="0" w:firstColumn="1" w:lastColumn="0" w:noHBand="0" w:noVBand="1"/>
      </w:tblPr>
      <w:tblGrid>
        <w:gridCol w:w="1970"/>
        <w:gridCol w:w="7100"/>
      </w:tblGrid>
      <w:tr w:rsidR="005E582F" w14:paraId="0C546E95" w14:textId="77777777">
        <w:trPr>
          <w:trHeight w:val="620"/>
        </w:trPr>
        <w:tc>
          <w:tcPr>
            <w:tcW w:w="9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DF8094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t xml:space="preserve">OBSZAR HIGIENY RADIACYJNEJ W ZAKRESIE PROMIENIOWANIA JONIZUJĄCEGO </w:t>
            </w:r>
          </w:p>
        </w:tc>
      </w:tr>
      <w:tr w:rsidR="005E582F" w14:paraId="58F555E7" w14:textId="77777777">
        <w:trPr>
          <w:trHeight w:val="746"/>
        </w:trPr>
        <w:tc>
          <w:tcPr>
            <w:tcW w:w="19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3022D" w14:textId="77777777" w:rsidR="005E582F" w:rsidRDefault="00000000">
            <w:pPr>
              <w:spacing w:after="0"/>
              <w:ind w:left="0" w:right="0" w:firstLine="0"/>
            </w:pPr>
            <w:r>
              <w:t xml:space="preserve">WYSOKIE RYZYKO </w:t>
            </w:r>
          </w:p>
        </w:tc>
        <w:tc>
          <w:tcPr>
            <w:tcW w:w="70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74D18" w14:textId="77777777" w:rsidR="005E582F" w:rsidRDefault="00000000">
            <w:pPr>
              <w:spacing w:after="0"/>
              <w:ind w:left="5" w:right="0" w:firstLine="0"/>
            </w:pPr>
            <w:r>
              <w:t xml:space="preserve">jednostki ochrony zdrowia wykonujące świadczenia szpitalne </w:t>
            </w:r>
          </w:p>
        </w:tc>
      </w:tr>
      <w:tr w:rsidR="005E582F" w14:paraId="70B682CA" w14:textId="77777777">
        <w:trPr>
          <w:trHeight w:val="738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D63FF" w14:textId="77777777" w:rsidR="005E582F" w:rsidRDefault="00000000">
            <w:pPr>
              <w:spacing w:after="0"/>
              <w:ind w:left="0" w:right="0" w:firstLine="0"/>
              <w:jc w:val="both"/>
            </w:pPr>
            <w:r>
              <w:t xml:space="preserve">ŚREDNIE RYZYKO </w:t>
            </w:r>
          </w:p>
        </w:tc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08BF" w14:textId="77777777" w:rsidR="005E582F" w:rsidRDefault="00000000">
            <w:pPr>
              <w:spacing w:after="0"/>
              <w:ind w:left="5" w:right="0" w:firstLine="0"/>
            </w:pPr>
            <w:r>
              <w:t xml:space="preserve">pozostałe jednostki organizacyjne wykonujące działalność związaną z narażeniem na promieniowanie jonizujące </w:t>
            </w:r>
          </w:p>
        </w:tc>
      </w:tr>
    </w:tbl>
    <w:p w14:paraId="497891A4" w14:textId="389FAB22" w:rsidR="00CF4390" w:rsidRDefault="00000000">
      <w:pPr>
        <w:spacing w:after="0"/>
        <w:ind w:left="0" w:right="0" w:firstLine="0"/>
        <w:jc w:val="both"/>
      </w:pPr>
      <w:r>
        <w:t xml:space="preserve"> </w:t>
      </w:r>
    </w:p>
    <w:tbl>
      <w:tblPr>
        <w:tblStyle w:val="TableGrid"/>
        <w:tblW w:w="9010" w:type="dxa"/>
        <w:tblInd w:w="13" w:type="dxa"/>
        <w:tblCellMar>
          <w:left w:w="68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1124"/>
        <w:gridCol w:w="6"/>
        <w:gridCol w:w="7867"/>
        <w:gridCol w:w="7"/>
      </w:tblGrid>
      <w:tr w:rsidR="005E582F" w14:paraId="14561656" w14:textId="77777777">
        <w:trPr>
          <w:gridBefore w:val="1"/>
          <w:wBefore w:w="6" w:type="dxa"/>
          <w:trHeight w:val="462"/>
        </w:trPr>
        <w:tc>
          <w:tcPr>
            <w:tcW w:w="9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50E461" w14:textId="77777777" w:rsidR="005E582F" w:rsidRDefault="00000000">
            <w:pPr>
              <w:spacing w:after="0"/>
              <w:ind w:left="0" w:right="0" w:firstLine="0"/>
            </w:pPr>
            <w:r>
              <w:rPr>
                <w:b/>
              </w:rPr>
              <w:t xml:space="preserve">OBSZAR HIGIENY PRACY </w:t>
            </w:r>
          </w:p>
        </w:tc>
      </w:tr>
      <w:tr w:rsidR="005E582F" w14:paraId="4B1B0662" w14:textId="77777777">
        <w:trPr>
          <w:gridBefore w:val="1"/>
          <w:wBefore w:w="6" w:type="dxa"/>
          <w:trHeight w:val="5018"/>
        </w:trPr>
        <w:tc>
          <w:tcPr>
            <w:tcW w:w="113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A3A474" w14:textId="77777777" w:rsidR="005E582F" w:rsidRDefault="00000000">
            <w:pPr>
              <w:spacing w:after="0"/>
              <w:ind w:left="0" w:right="0" w:firstLine="0"/>
              <w:jc w:val="both"/>
            </w:pPr>
            <w:r>
              <w:t xml:space="preserve">WYSOKIE </w:t>
            </w:r>
          </w:p>
        </w:tc>
        <w:tc>
          <w:tcPr>
            <w:tcW w:w="787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D5C" w14:textId="77777777" w:rsidR="005E582F" w:rsidRDefault="00000000">
            <w:pPr>
              <w:spacing w:after="0"/>
              <w:ind w:left="5" w:right="22" w:firstLine="0"/>
            </w:pPr>
            <w:r>
              <w:t xml:space="preserve">zakłady, w których występują przekroczenia dopuszczalnych poziomów czynników szkodliwych dla zdrowia lub były stwierdzone przekroczenia NDS/NDN, </w:t>
            </w:r>
            <w:proofErr w:type="spellStart"/>
            <w:r>
              <w:t>NDSCh</w:t>
            </w:r>
            <w:proofErr w:type="spellEnd"/>
            <w:r>
              <w:t xml:space="preserve">, NDSP w minionym roku (z wyjątkiem zakładów (dot. stanowisk pracy) z przekroczeniami NDN hałasu i drgań mechanicznych, w których wdrożono program działań organizacyjno-technicznych); zakłady w których występuje narażenie inhalacyjne na czynniki rakotwórcze, mutagenne lub </w:t>
            </w:r>
            <w:proofErr w:type="spellStart"/>
            <w:r>
              <w:t>reprotoksyczne</w:t>
            </w:r>
            <w:proofErr w:type="spellEnd"/>
            <w:r>
              <w:t xml:space="preserve"> (CMR) w stężeniach &gt; 0,5 NDS; zakłady w których dochodzi do zamierzonego użycia szkodliwego czynnika biologicznego z grupy 4 oraz podmioty lecznicze wyznaczone do opieki nad pacjentami ze zdiagnozowaną chorobą zakaźna wywołaną szkodliwym czynnikiem biologicznym z grupy 4; zakłady w których występuje narażenie na szkodliwe czynniki biologiczne grupy 3 o podwyższonym ryzyku narażenia względem ryzyka populacyjnego - praca w zakładach gospodarki odpadami oraz przy oczyszczaniu ścieków; zakłady w których w ostatnich latach występuje wzmożone występowanie chorób zawodowych mających bezpośredni związek z obecnie prowadzoną działalnością zakładu; zakłady które dotychczas nie były objęte nadzorem (planowana pierwsza kontrola celem oceny zagrożeń środowiska pracy) </w:t>
            </w:r>
          </w:p>
        </w:tc>
      </w:tr>
      <w:tr w:rsidR="005E582F" w14:paraId="27F6A5B4" w14:textId="77777777">
        <w:trPr>
          <w:gridAfter w:val="1"/>
          <w:wAfter w:w="6" w:type="dxa"/>
          <w:trHeight w:val="3015"/>
        </w:trPr>
        <w:tc>
          <w:tcPr>
            <w:tcW w:w="11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D0ADC6" w14:textId="77777777" w:rsidR="005E582F" w:rsidRDefault="00000000">
            <w:pPr>
              <w:spacing w:after="0"/>
              <w:ind w:left="0" w:right="0" w:firstLine="0"/>
              <w:jc w:val="both"/>
            </w:pPr>
            <w:r>
              <w:lastRenderedPageBreak/>
              <w:t xml:space="preserve">ŚREDNIE </w:t>
            </w:r>
          </w:p>
        </w:tc>
        <w:tc>
          <w:tcPr>
            <w:tcW w:w="787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6C67" w14:textId="77777777" w:rsidR="005E582F" w:rsidRDefault="00000000">
            <w:pPr>
              <w:spacing w:after="0"/>
              <w:ind w:left="4" w:right="0" w:firstLine="0"/>
            </w:pPr>
            <w:r>
              <w:t xml:space="preserve">zakłady, w których występują czynniki szkodliwe, ale ich stężenia i natężenia wynoszą 0,5 &lt; x ≤  1 NDS/NDN oraz zakłady (dot. stanowisk pracy) z przekroczeniami NDN hałasu i drgań mechanicznych, w których wdrożono program działań organizacyjno-technicznych; zakłady, w których występuje narażenie na czynniki rakotwórcze, mutagenne lub </w:t>
            </w:r>
            <w:proofErr w:type="spellStart"/>
            <w:r>
              <w:t>reprotoksyczne</w:t>
            </w:r>
            <w:proofErr w:type="spellEnd"/>
            <w:r>
              <w:t xml:space="preserve"> (CMR) dla których nie określono wartości NDS lub nie przeprowadzono badań i pomiarów tych czynników w środowisku pracy; zakłady, w których występuje narażenie na szkodliwe czynniki biologiczne grupy 3 o podwyższonym ryzyku narażenia względem ryzyka populacyjnego (z wyjątkiem przychodni lekarskich i stomatologicznych oraz zakładów wymienionych w grupie wysokiego ryzyka) </w:t>
            </w:r>
          </w:p>
        </w:tc>
      </w:tr>
      <w:tr w:rsidR="005E582F" w14:paraId="1F80EE6F" w14:textId="77777777">
        <w:trPr>
          <w:gridAfter w:val="1"/>
          <w:wAfter w:w="6" w:type="dxa"/>
          <w:trHeight w:val="2450"/>
        </w:trPr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FAEA7" w14:textId="77777777" w:rsidR="005E582F" w:rsidRDefault="00000000">
            <w:pPr>
              <w:spacing w:after="0"/>
              <w:ind w:left="0" w:right="0" w:firstLine="0"/>
            </w:pPr>
            <w:r>
              <w:t xml:space="preserve">NISKIE </w:t>
            </w:r>
          </w:p>
        </w:tc>
        <w:tc>
          <w:tcPr>
            <w:tcW w:w="7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0259" w14:textId="77777777" w:rsidR="005E582F" w:rsidRDefault="00000000">
            <w:pPr>
              <w:spacing w:after="0"/>
              <w:ind w:left="4" w:right="0" w:firstLine="0"/>
            </w:pPr>
            <w:r>
              <w:t xml:space="preserve">pozostałe zakłady, w których czynniki szkodliwe dla zdrowia występują w stężeniach lub natężeniach mniejszych/równych 0,5 NDS/NDN; pozostałe zakłady, w których występują czynniki rakotwórcze, mutagenne lub </w:t>
            </w:r>
          </w:p>
          <w:p w14:paraId="37930DB0" w14:textId="77777777" w:rsidR="005E582F" w:rsidRDefault="00000000">
            <w:pPr>
              <w:spacing w:after="0"/>
              <w:ind w:left="4" w:right="0" w:firstLine="0"/>
            </w:pPr>
            <w:proofErr w:type="spellStart"/>
            <w:r>
              <w:t>reprotoksyczne</w:t>
            </w:r>
            <w:proofErr w:type="spellEnd"/>
            <w:r>
              <w:t xml:space="preserve"> (CMR) (niewymienione w grupie wysokiego i średniego ryzyka); pozostałe zakłady, w których występuje narażenie na szkodliwe czynniki biologiczne grupy 3 (niewymienione w grupie wysokiego i średniego ryzyka) lub w których występuje wyłącznie narażenie na czynniki biologiczne grupy 2; pozostałe zakłady niespełniające kryteriów średniego i wysokiego ryzyka </w:t>
            </w:r>
          </w:p>
        </w:tc>
      </w:tr>
    </w:tbl>
    <w:p w14:paraId="3047D578" w14:textId="77777777" w:rsidR="005E582F" w:rsidRDefault="00000000">
      <w:pPr>
        <w:spacing w:after="158"/>
        <w:ind w:left="0" w:right="0" w:firstLine="0"/>
      </w:pPr>
      <w:r>
        <w:t xml:space="preserve"> </w:t>
      </w:r>
    </w:p>
    <w:p w14:paraId="4ED51876" w14:textId="77777777" w:rsidR="005E582F" w:rsidRDefault="00000000">
      <w:pPr>
        <w:ind w:left="-5" w:right="252"/>
      </w:pPr>
      <w:r>
        <w:rPr>
          <w:b/>
        </w:rPr>
        <w:t xml:space="preserve">OBSZAR HIGIENY ŻYWNOŚCI I ŻYWIENIA  </w:t>
      </w:r>
    </w:p>
    <w:p w14:paraId="601845BA" w14:textId="77777777" w:rsidR="005E582F" w:rsidRDefault="00000000">
      <w:pPr>
        <w:spacing w:after="0"/>
        <w:ind w:left="-5" w:right="0"/>
      </w:pPr>
      <w:r>
        <w:t xml:space="preserve">Kategoryzacja zakładów produkcyjnych, zakładów obrotu żywnością oraz zakładów żywienia zbiorowego na podstawie oceny ryzyka z uwzględnieniem mikrobiologicznych i chemicznych kryteriów żywności. </w:t>
      </w:r>
    </w:p>
    <w:p w14:paraId="1E37C8C3" w14:textId="77777777" w:rsidR="005E582F" w:rsidRDefault="00000000">
      <w:pPr>
        <w:spacing w:after="0"/>
        <w:ind w:left="-5" w:right="0"/>
      </w:pPr>
      <w:r>
        <w:t xml:space="preserve">Proponowana częstotliwość kontroli według kategorii ryzyka: </w:t>
      </w:r>
    </w:p>
    <w:p w14:paraId="5D1DB2A9" w14:textId="77777777" w:rsidR="005E582F" w:rsidRDefault="00000000">
      <w:pPr>
        <w:spacing w:after="0"/>
        <w:ind w:left="0" w:right="0" w:firstLine="0"/>
      </w:pPr>
      <w:r>
        <w:t>1)</w:t>
      </w:r>
      <w:r>
        <w:rPr>
          <w:rFonts w:ascii="Arial" w:eastAsia="Arial" w:hAnsi="Arial" w:cs="Arial"/>
        </w:rPr>
        <w:t xml:space="preserve"> </w:t>
      </w:r>
      <w:r>
        <w:t xml:space="preserve">wysokie ryzyko: </w:t>
      </w:r>
    </w:p>
    <w:p w14:paraId="575BE4B8" w14:textId="77777777" w:rsidR="005E582F" w:rsidRDefault="00000000">
      <w:pPr>
        <w:numPr>
          <w:ilvl w:val="0"/>
          <w:numId w:val="2"/>
        </w:numPr>
        <w:spacing w:after="0"/>
        <w:ind w:right="684" w:firstLine="720"/>
      </w:pPr>
      <w:r>
        <w:t xml:space="preserve">kontrola nie rzadziej niż co 12 miesięcy dla zakładów produkcyjnych, </w:t>
      </w:r>
    </w:p>
    <w:p w14:paraId="7B625330" w14:textId="77777777" w:rsidR="005E582F" w:rsidRDefault="00000000">
      <w:pPr>
        <w:numPr>
          <w:ilvl w:val="0"/>
          <w:numId w:val="2"/>
        </w:numPr>
        <w:spacing w:after="1"/>
        <w:ind w:right="684" w:firstLine="720"/>
      </w:pPr>
      <w:r>
        <w:t>kontrola nie rzadziej niż 1 raz na 18 miesięcy dla zakładów obrotu; 2)</w:t>
      </w:r>
      <w:r>
        <w:rPr>
          <w:rFonts w:ascii="Arial" w:eastAsia="Arial" w:hAnsi="Arial" w:cs="Arial"/>
        </w:rPr>
        <w:t xml:space="preserve"> </w:t>
      </w:r>
      <w:r>
        <w:t xml:space="preserve">średnie ryzyko: </w:t>
      </w:r>
    </w:p>
    <w:p w14:paraId="061E4B4E" w14:textId="77777777" w:rsidR="005E582F" w:rsidRDefault="00000000">
      <w:pPr>
        <w:numPr>
          <w:ilvl w:val="0"/>
          <w:numId w:val="4"/>
        </w:numPr>
        <w:spacing w:after="0"/>
        <w:ind w:right="687" w:firstLine="720"/>
      </w:pPr>
      <w:r>
        <w:t xml:space="preserve">kontrola nie rzadziej niż 1 raz na 18 miesięcy zakładów produkcyjnych, </w:t>
      </w:r>
    </w:p>
    <w:p w14:paraId="533BB458" w14:textId="77777777" w:rsidR="005E582F" w:rsidRDefault="00000000">
      <w:pPr>
        <w:numPr>
          <w:ilvl w:val="0"/>
          <w:numId w:val="4"/>
        </w:numPr>
        <w:spacing w:after="1"/>
        <w:ind w:right="687" w:firstLine="720"/>
      </w:pPr>
      <w:r>
        <w:t>kontrola nie rzadziej niż 1 raz na 24 miesiące dla zakładów obrotu; 3)</w:t>
      </w:r>
      <w:r>
        <w:rPr>
          <w:rFonts w:ascii="Arial" w:eastAsia="Arial" w:hAnsi="Arial" w:cs="Arial"/>
        </w:rPr>
        <w:t xml:space="preserve"> </w:t>
      </w:r>
      <w:r>
        <w:t xml:space="preserve">niskie ryzyko:  </w:t>
      </w:r>
    </w:p>
    <w:p w14:paraId="348278F9" w14:textId="77777777" w:rsidR="005E582F" w:rsidRDefault="00000000">
      <w:pPr>
        <w:numPr>
          <w:ilvl w:val="0"/>
          <w:numId w:val="3"/>
        </w:numPr>
        <w:spacing w:after="0"/>
        <w:ind w:right="71" w:hanging="360"/>
      </w:pPr>
      <w:r>
        <w:t xml:space="preserve">kontrola nie rzadziej niż 1 raz na 24 miesiące dla zakładów produkcyjnych, </w:t>
      </w:r>
    </w:p>
    <w:p w14:paraId="0C67BC9B" w14:textId="77777777" w:rsidR="005E582F" w:rsidRDefault="00000000">
      <w:pPr>
        <w:numPr>
          <w:ilvl w:val="0"/>
          <w:numId w:val="3"/>
        </w:numPr>
        <w:spacing w:after="0"/>
        <w:ind w:right="71" w:hanging="360"/>
      </w:pPr>
      <w:r>
        <w:t xml:space="preserve">kontrola nie rzadziej niż 1 raz na 36 miesięcy dla zakładów obrotu.  </w:t>
      </w:r>
    </w:p>
    <w:p w14:paraId="02BB391D" w14:textId="77777777" w:rsidR="005E582F" w:rsidRDefault="00000000">
      <w:pPr>
        <w:spacing w:after="0"/>
        <w:ind w:left="1080" w:right="0" w:firstLine="0"/>
      </w:pPr>
      <w:r>
        <w:t xml:space="preserve"> </w:t>
      </w:r>
    </w:p>
    <w:p w14:paraId="638AC6DA" w14:textId="77777777" w:rsidR="005E582F" w:rsidRDefault="00000000">
      <w:pPr>
        <w:spacing w:after="0"/>
        <w:ind w:left="1080" w:right="0" w:firstLine="0"/>
      </w:pPr>
      <w:r>
        <w:t xml:space="preserve"> </w:t>
      </w:r>
    </w:p>
    <w:p w14:paraId="56D03C7F" w14:textId="77777777" w:rsidR="007D75B1" w:rsidRDefault="007D75B1">
      <w:pPr>
        <w:spacing w:after="0"/>
        <w:ind w:left="1080" w:right="0" w:firstLine="0"/>
      </w:pPr>
    </w:p>
    <w:p w14:paraId="5B14E033" w14:textId="77777777" w:rsidR="007D75B1" w:rsidRDefault="007D75B1">
      <w:pPr>
        <w:spacing w:after="0"/>
        <w:ind w:left="1080" w:right="0" w:firstLine="0"/>
      </w:pPr>
    </w:p>
    <w:p w14:paraId="08861384" w14:textId="77777777" w:rsidR="007D75B1" w:rsidRDefault="007D75B1">
      <w:pPr>
        <w:spacing w:after="0"/>
        <w:ind w:left="1080" w:right="0" w:firstLine="0"/>
      </w:pPr>
    </w:p>
    <w:p w14:paraId="20D43A84" w14:textId="77777777" w:rsidR="007D75B1" w:rsidRDefault="007D75B1">
      <w:pPr>
        <w:spacing w:after="0"/>
        <w:ind w:left="1080" w:right="0" w:firstLine="0"/>
      </w:pPr>
    </w:p>
    <w:p w14:paraId="077C5A26" w14:textId="77777777" w:rsidR="007D75B1" w:rsidRDefault="007D75B1">
      <w:pPr>
        <w:spacing w:after="0"/>
        <w:ind w:left="1080" w:right="0" w:firstLine="0"/>
      </w:pPr>
    </w:p>
    <w:p w14:paraId="010CB481" w14:textId="77777777" w:rsidR="007D75B1" w:rsidRDefault="007D75B1">
      <w:pPr>
        <w:spacing w:after="0"/>
        <w:ind w:left="1080" w:right="0" w:firstLine="0"/>
      </w:pPr>
    </w:p>
    <w:p w14:paraId="371A93A9" w14:textId="77777777" w:rsidR="007D75B1" w:rsidRDefault="007D75B1">
      <w:pPr>
        <w:spacing w:after="0"/>
        <w:ind w:left="1080" w:right="0" w:firstLine="0"/>
      </w:pPr>
    </w:p>
    <w:p w14:paraId="2DE1E331" w14:textId="77777777" w:rsidR="007D75B1" w:rsidRDefault="007D75B1">
      <w:pPr>
        <w:spacing w:after="0"/>
        <w:ind w:left="1080" w:right="0" w:firstLine="0"/>
      </w:pPr>
    </w:p>
    <w:p w14:paraId="168E65F4" w14:textId="77777777" w:rsidR="007D75B1" w:rsidRDefault="007D75B1">
      <w:pPr>
        <w:spacing w:after="0"/>
        <w:ind w:left="1080" w:right="0" w:firstLine="0"/>
      </w:pPr>
    </w:p>
    <w:p w14:paraId="5DFB97AD" w14:textId="77777777" w:rsidR="005E582F" w:rsidRDefault="00000000">
      <w:pPr>
        <w:spacing w:after="0"/>
        <w:ind w:left="1080" w:right="0" w:firstLine="0"/>
      </w:pPr>
      <w:r>
        <w:t xml:space="preserve"> </w:t>
      </w:r>
    </w:p>
    <w:tbl>
      <w:tblPr>
        <w:tblStyle w:val="TableGrid"/>
        <w:tblW w:w="9060" w:type="dxa"/>
        <w:tblInd w:w="7" w:type="dxa"/>
        <w:tblCellMar>
          <w:top w:w="2" w:type="dxa"/>
          <w:left w:w="107" w:type="dxa"/>
          <w:right w:w="91" w:type="dxa"/>
        </w:tblCellMar>
        <w:tblLook w:val="04A0" w:firstRow="1" w:lastRow="0" w:firstColumn="1" w:lastColumn="0" w:noHBand="0" w:noVBand="1"/>
      </w:tblPr>
      <w:tblGrid>
        <w:gridCol w:w="1890"/>
        <w:gridCol w:w="7170"/>
      </w:tblGrid>
      <w:tr w:rsidR="005E582F" w14:paraId="6596B25C" w14:textId="77777777">
        <w:trPr>
          <w:trHeight w:val="454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6A9B5" w14:textId="77777777" w:rsidR="005E582F" w:rsidRDefault="00000000">
            <w:pPr>
              <w:spacing w:after="0"/>
              <w:ind w:left="1" w:right="0" w:firstLine="0"/>
            </w:pPr>
            <w:r>
              <w:lastRenderedPageBreak/>
              <w:t xml:space="preserve">Kategoria ryzyka 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940C5" w14:textId="77777777" w:rsidR="005E582F" w:rsidRDefault="00000000">
            <w:pPr>
              <w:spacing w:after="0"/>
              <w:ind w:left="0" w:right="0" w:firstLine="0"/>
            </w:pPr>
            <w:r>
              <w:t xml:space="preserve">Grupy zakładów/obiektów  </w:t>
            </w:r>
          </w:p>
        </w:tc>
      </w:tr>
      <w:tr w:rsidR="005E582F" w14:paraId="7F3BDFAD" w14:textId="77777777">
        <w:trPr>
          <w:trHeight w:val="2573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569BB" w14:textId="77777777" w:rsidR="005E582F" w:rsidRDefault="00000000">
            <w:pPr>
              <w:spacing w:after="0"/>
              <w:ind w:left="1" w:right="0" w:firstLine="0"/>
            </w:pPr>
            <w:r>
              <w:t xml:space="preserve">Wysokie ryzyko  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23DE" w14:textId="77777777" w:rsidR="005E582F" w:rsidRDefault="00000000">
            <w:pPr>
              <w:numPr>
                <w:ilvl w:val="0"/>
                <w:numId w:val="6"/>
              </w:numPr>
              <w:spacing w:after="5"/>
              <w:ind w:right="0" w:hanging="360"/>
            </w:pPr>
            <w:r>
              <w:t xml:space="preserve">Wytwórnie lodów z udziałem mleka lub jaj (tradycyjne),  </w:t>
            </w:r>
          </w:p>
          <w:p w14:paraId="03CADBEF" w14:textId="77777777" w:rsidR="005E582F" w:rsidRDefault="00000000">
            <w:pPr>
              <w:numPr>
                <w:ilvl w:val="0"/>
                <w:numId w:val="6"/>
              </w:numPr>
              <w:spacing w:after="6"/>
              <w:ind w:right="0" w:hanging="360"/>
            </w:pPr>
            <w:r>
              <w:t xml:space="preserve">Ciastkarnie produkujące wyroby z kremem niepoddanym obróbce </w:t>
            </w:r>
          </w:p>
          <w:p w14:paraId="186422F6" w14:textId="77777777" w:rsidR="005E582F" w:rsidRDefault="00000000">
            <w:pPr>
              <w:spacing w:after="0"/>
              <w:ind w:left="360" w:right="0" w:firstLine="0"/>
            </w:pPr>
            <w:r>
              <w:t xml:space="preserve">cieplnej  </w:t>
            </w:r>
          </w:p>
          <w:p w14:paraId="549E079D" w14:textId="77777777" w:rsidR="005E582F" w:rsidRDefault="00000000">
            <w:pPr>
              <w:numPr>
                <w:ilvl w:val="0"/>
                <w:numId w:val="6"/>
              </w:numPr>
              <w:spacing w:after="0" w:line="261" w:lineRule="auto"/>
              <w:ind w:right="0" w:hanging="360"/>
            </w:pPr>
            <w:r>
              <w:t xml:space="preserve">Przetwórnie owocowo-warzywne i grzybowe produkujące warzywa i owoce świeże gotowe do spożycia (krojone, obierane), Soki nieutrwalane do bezpośredniego spożycia, grzyby świeże, kiełki </w:t>
            </w:r>
          </w:p>
          <w:p w14:paraId="4D97007B" w14:textId="77777777" w:rsidR="005E582F" w:rsidRDefault="00000000">
            <w:pPr>
              <w:numPr>
                <w:ilvl w:val="0"/>
                <w:numId w:val="6"/>
              </w:numPr>
              <w:spacing w:after="0" w:line="265" w:lineRule="auto"/>
              <w:ind w:right="0" w:hanging="360"/>
            </w:pPr>
            <w:r>
              <w:t xml:space="preserve">Zakłady garmażeryjne produkujące wyroby garmażeryjne i kulinarne - schłodzone </w:t>
            </w:r>
          </w:p>
          <w:p w14:paraId="34FA3E7C" w14:textId="77777777" w:rsidR="005E582F" w:rsidRDefault="00000000">
            <w:pPr>
              <w:numPr>
                <w:ilvl w:val="0"/>
                <w:numId w:val="6"/>
              </w:numPr>
              <w:spacing w:after="0"/>
              <w:ind w:right="0" w:hanging="360"/>
            </w:pPr>
            <w:r>
              <w:t xml:space="preserve">Wytwórnie makaronów z udziałem jaj  </w:t>
            </w:r>
          </w:p>
        </w:tc>
      </w:tr>
    </w:tbl>
    <w:p w14:paraId="3700FEBD" w14:textId="77777777" w:rsidR="005E582F" w:rsidRDefault="005E582F">
      <w:pPr>
        <w:spacing w:after="0"/>
        <w:ind w:left="-1416" w:right="1" w:firstLine="0"/>
      </w:pPr>
    </w:p>
    <w:tbl>
      <w:tblPr>
        <w:tblStyle w:val="TableGrid"/>
        <w:tblW w:w="9062" w:type="dxa"/>
        <w:tblInd w:w="7" w:type="dxa"/>
        <w:tblCellMar>
          <w:top w:w="3" w:type="dxa"/>
          <w:right w:w="68" w:type="dxa"/>
        </w:tblCellMar>
        <w:tblLook w:val="04A0" w:firstRow="1" w:lastRow="0" w:firstColumn="1" w:lastColumn="0" w:noHBand="0" w:noVBand="1"/>
      </w:tblPr>
      <w:tblGrid>
        <w:gridCol w:w="1888"/>
        <w:gridCol w:w="469"/>
        <w:gridCol w:w="6705"/>
      </w:tblGrid>
      <w:tr w:rsidR="005E582F" w14:paraId="3F3EB8EA" w14:textId="77777777">
        <w:trPr>
          <w:trHeight w:val="562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C395B1F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F699285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026E57D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środków spożywczych specjalnego przeznaczenia żywieniowego  </w:t>
            </w:r>
          </w:p>
        </w:tc>
      </w:tr>
      <w:tr w:rsidR="005E582F" w14:paraId="50822944" w14:textId="77777777">
        <w:trPr>
          <w:trHeight w:val="2280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448ADF1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45D496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F956C2" w14:textId="77777777" w:rsidR="005E582F" w:rsidRDefault="00000000">
            <w:pPr>
              <w:spacing w:after="0"/>
              <w:ind w:left="0" w:right="18" w:firstLine="0"/>
            </w:pPr>
            <w:r>
              <w:t xml:space="preserve">Zakłady obrotu żywnością: sklepy spożywcze (w tym: super, hipermarkety), magazyny hurtowe, kioski i inne wprowadzające do obrotu: Mięso, podroby i przetwory mięsne – nietrwałe mikrobiologicznie; Drób, podroby i produkty drobiarskie, jaja i ich przetwory – nietrwałe mikrobiologicznie; Ryby, owoce morza i ich przetwory – nietrwałe mikrobiologicznie; Mleko i przetwory mleczne – nietrwałe mikrobiologicznie; Wyroby ciastkarskie – z kremem niepoddanym obróbce cieplnej </w:t>
            </w:r>
          </w:p>
        </w:tc>
      </w:tr>
      <w:tr w:rsidR="005E582F" w14:paraId="6773AAA9" w14:textId="77777777">
        <w:trPr>
          <w:trHeight w:val="85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C75F8E9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DAC901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5DF459" w14:textId="77777777" w:rsidR="005E582F" w:rsidRDefault="00000000">
            <w:pPr>
              <w:spacing w:after="0"/>
              <w:ind w:left="0" w:right="0" w:firstLine="0"/>
            </w:pPr>
            <w:r>
              <w:t xml:space="preserve">Zakłady żywienia zbiorowego zamkniętego przygotowujące posiłki przeznaczone dla wrażliwych grup konsumentów (np. dzieci, alergicy, osoby starsze); </w:t>
            </w:r>
          </w:p>
        </w:tc>
      </w:tr>
      <w:tr w:rsidR="005E582F" w14:paraId="13B02833" w14:textId="77777777">
        <w:trPr>
          <w:trHeight w:val="115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66F54D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DD77FF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13021" w14:textId="77777777" w:rsidR="005E582F" w:rsidRDefault="00000000">
            <w:pPr>
              <w:spacing w:after="0"/>
              <w:ind w:left="0" w:right="8" w:firstLine="0"/>
            </w:pPr>
            <w:r>
              <w:t xml:space="preserve">Zakłady żywienia zbiorowego otwartego, Zakłady usług cateringowych produkujące posiłki od surowca do wyrobu gotowego, wyrobów garmażeryjnych, potraw niepoddanych obróbce termicznej </w:t>
            </w:r>
          </w:p>
        </w:tc>
      </w:tr>
      <w:tr w:rsidR="005E582F" w14:paraId="172B081A" w14:textId="77777777">
        <w:trPr>
          <w:trHeight w:val="277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802E792" w14:textId="77777777" w:rsidR="005E582F" w:rsidRDefault="00000000">
            <w:pPr>
              <w:spacing w:after="0"/>
              <w:ind w:left="108" w:right="0" w:firstLine="0"/>
            </w:pPr>
            <w:r>
              <w:t xml:space="preserve">Średnie ryzyko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27AAAF9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6FDF19E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lodów bez udziału mleka i jaj (tradycyjne) </w:t>
            </w:r>
          </w:p>
        </w:tc>
      </w:tr>
      <w:tr w:rsidR="005E582F" w14:paraId="0BFC15BA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8E28EC8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68C777B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5D087F1" w14:textId="77777777" w:rsidR="005E582F" w:rsidRDefault="00000000">
            <w:pPr>
              <w:spacing w:after="0"/>
              <w:ind w:left="0" w:right="0" w:firstLine="0"/>
            </w:pPr>
            <w:r>
              <w:t xml:space="preserve">Lody z automatu </w:t>
            </w:r>
          </w:p>
        </w:tc>
      </w:tr>
      <w:tr w:rsidR="005E582F" w14:paraId="5AA18B8A" w14:textId="77777777">
        <w:trPr>
          <w:trHeight w:val="571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0DA26A2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08F92F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4C3BDD" w14:textId="77777777" w:rsidR="005E582F" w:rsidRDefault="00000000">
            <w:pPr>
              <w:spacing w:after="0"/>
              <w:ind w:left="0" w:right="0" w:firstLine="0"/>
            </w:pPr>
            <w:r>
              <w:t xml:space="preserve">Piekarnie, ciastkarnie i piekarnio – ciastkarnie produkujące wyroby ciastkarskie – z kremem poddanym obróbce cieplnej  </w:t>
            </w:r>
          </w:p>
        </w:tc>
      </w:tr>
      <w:tr w:rsidR="005E582F" w14:paraId="1B3CA45D" w14:textId="77777777">
        <w:trPr>
          <w:trHeight w:val="569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2730986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410BBC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6BEBA9" w14:textId="77777777" w:rsidR="005E582F" w:rsidRDefault="00000000">
            <w:pPr>
              <w:spacing w:after="0"/>
              <w:ind w:left="0" w:right="6" w:firstLine="0"/>
            </w:pPr>
            <w:r>
              <w:t xml:space="preserve">Przetwórnie owocowo-warzywne i grzybowe produkujące warzywa i owoce świeże do dalszego przetwórstwa </w:t>
            </w:r>
          </w:p>
        </w:tc>
      </w:tr>
      <w:tr w:rsidR="005E582F" w14:paraId="54FDE009" w14:textId="77777777">
        <w:trPr>
          <w:trHeight w:val="570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07A41D4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D3C24C6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5BBA11" w14:textId="77777777" w:rsidR="005E582F" w:rsidRDefault="00000000">
            <w:pPr>
              <w:spacing w:after="0"/>
              <w:ind w:left="0" w:right="0" w:firstLine="0"/>
            </w:pPr>
            <w:r>
              <w:t xml:space="preserve">Browary i rozlewnie piwa, słodownie produkujące Piwo nieutrwalane </w:t>
            </w:r>
          </w:p>
        </w:tc>
      </w:tr>
      <w:tr w:rsidR="005E582F" w14:paraId="4BE82FE2" w14:textId="77777777">
        <w:trPr>
          <w:trHeight w:val="85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A88AC83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4EDF00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DF2CB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naturalnych wód mineralnych, naturalnych wód źródlanych i stołowych produkujące naturalne wody mineralne, wody źródlane, wody stołowe –niegazowane </w:t>
            </w:r>
          </w:p>
        </w:tc>
      </w:tr>
      <w:tr w:rsidR="005E582F" w14:paraId="6C4BDFA2" w14:textId="77777777">
        <w:trPr>
          <w:trHeight w:val="569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581DEA6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2474F37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4B69A58" w14:textId="77777777" w:rsidR="005E582F" w:rsidRDefault="00000000">
            <w:pPr>
              <w:spacing w:after="0"/>
              <w:ind w:left="0" w:right="0" w:firstLine="0"/>
            </w:pPr>
            <w:r>
              <w:t xml:space="preserve">Zakłady garmażeryjne produkujące wyroby garmażeryjne i kulinarne – mrożone  </w:t>
            </w:r>
          </w:p>
        </w:tc>
      </w:tr>
      <w:tr w:rsidR="005E582F" w14:paraId="12D77F5C" w14:textId="77777777">
        <w:trPr>
          <w:trHeight w:val="570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5CF4D7E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CDCAADF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940D84" w14:textId="77777777" w:rsidR="005E582F" w:rsidRDefault="00000000">
            <w:pPr>
              <w:spacing w:after="0"/>
              <w:ind w:left="0" w:right="39" w:firstLine="0"/>
            </w:pPr>
            <w:r>
              <w:t xml:space="preserve">Wytwórnie wyrobów cukierniczych produkujące wyroby cukiernicze czekoladowe </w:t>
            </w:r>
          </w:p>
        </w:tc>
      </w:tr>
      <w:tr w:rsidR="005E582F" w14:paraId="112A875F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03DB04E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9A18FE8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1A7C98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suplementów diety </w:t>
            </w:r>
          </w:p>
        </w:tc>
      </w:tr>
      <w:tr w:rsidR="005E582F" w14:paraId="5B257656" w14:textId="77777777">
        <w:trPr>
          <w:trHeight w:val="85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7980B2C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F171A7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A1BEE6" w14:textId="77777777" w:rsidR="005E582F" w:rsidRDefault="00000000">
            <w:pPr>
              <w:spacing w:after="0"/>
              <w:ind w:left="0" w:right="0" w:firstLine="0"/>
            </w:pPr>
            <w:r>
              <w:t xml:space="preserve">Podmioty produkcji pierwotnej, w tym realizujące dostawy bezpośrednie warzyw i owoców przeznaczonych do bezpośredniego spożycia, w szczególności owoce miękkie </w:t>
            </w:r>
          </w:p>
        </w:tc>
      </w:tr>
      <w:tr w:rsidR="005E582F" w14:paraId="5895BE8D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739B9F4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9F9106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8B3C50" w14:textId="77777777" w:rsidR="005E582F" w:rsidRDefault="00000000">
            <w:pPr>
              <w:spacing w:after="0"/>
              <w:ind w:left="0" w:right="0" w:firstLine="0"/>
            </w:pPr>
            <w:r>
              <w:t xml:space="preserve">Produkcja żywności w warunkach domowych </w:t>
            </w:r>
          </w:p>
        </w:tc>
      </w:tr>
      <w:tr w:rsidR="005E582F" w14:paraId="2D3FAD73" w14:textId="77777777">
        <w:trPr>
          <w:trHeight w:val="28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3BBF9DF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6DA0E6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C27CEF" w14:textId="77777777" w:rsidR="005E582F" w:rsidRDefault="00000000">
            <w:pPr>
              <w:spacing w:after="0"/>
              <w:ind w:left="0" w:right="0" w:firstLine="0"/>
            </w:pPr>
            <w:r>
              <w:t xml:space="preserve">Rolniczy handel detaliczny </w:t>
            </w:r>
          </w:p>
        </w:tc>
      </w:tr>
      <w:tr w:rsidR="005E582F" w14:paraId="1ED51AD8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EEDD955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B799CD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941421" w14:textId="77777777" w:rsidR="005E582F" w:rsidRDefault="00000000">
            <w:pPr>
              <w:spacing w:after="0"/>
              <w:ind w:left="0" w:right="0" w:firstLine="0"/>
            </w:pPr>
            <w:r>
              <w:t xml:space="preserve">Zakłady produkujące zioła i przyprawy </w:t>
            </w:r>
          </w:p>
        </w:tc>
      </w:tr>
      <w:tr w:rsidR="005E582F" w14:paraId="1F1E922B" w14:textId="77777777">
        <w:trPr>
          <w:trHeight w:val="1139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07396D3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6E0C00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CF0C7B" w14:textId="77777777" w:rsidR="005E582F" w:rsidRDefault="00000000">
            <w:pPr>
              <w:spacing w:after="0"/>
              <w:ind w:left="0" w:right="4" w:firstLine="0"/>
            </w:pPr>
            <w:r>
              <w:t xml:space="preserve">Zakłady obrotu żywnością: sklepy spożywcze (w tym: super, hipermarkety), magazyny hurtowe, kioski i inne wprowadzające do obrotu: wyroby ciastkarskie – z kremem poddanym obróbce cieplnej, wyroby cukiernicze czekoladowe i pozostałe </w:t>
            </w:r>
          </w:p>
        </w:tc>
      </w:tr>
      <w:tr w:rsidR="005E582F" w14:paraId="685C6CB1" w14:textId="77777777">
        <w:trPr>
          <w:trHeight w:val="28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2DA3A09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F150E0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B8608B" w14:textId="77777777" w:rsidR="005E582F" w:rsidRDefault="00000000">
            <w:pPr>
              <w:spacing w:after="0"/>
              <w:ind w:left="0" w:right="0" w:firstLine="0"/>
            </w:pPr>
            <w:r>
              <w:t xml:space="preserve">Zakłady żywienia zbiorowego zamkniętego </w:t>
            </w:r>
          </w:p>
        </w:tc>
      </w:tr>
      <w:tr w:rsidR="005E582F" w14:paraId="76CF603A" w14:textId="77777777">
        <w:trPr>
          <w:trHeight w:val="570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CC2A4FB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240137E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38883D" w14:textId="77777777" w:rsidR="005E582F" w:rsidRDefault="00000000">
            <w:pPr>
              <w:spacing w:after="0"/>
              <w:ind w:left="0" w:right="0" w:firstLine="0"/>
            </w:pPr>
            <w:r>
              <w:t xml:space="preserve">Zakłady żywienia zbiorowego otwartego, zakłady usług cateringowych, zakłady małej gastronomii  </w:t>
            </w:r>
          </w:p>
        </w:tc>
      </w:tr>
      <w:tr w:rsidR="005E582F" w14:paraId="4196372D" w14:textId="77777777">
        <w:trPr>
          <w:trHeight w:val="586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AB89A2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CBC95F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F8F9DC" w14:textId="77777777" w:rsidR="005E582F" w:rsidRDefault="00000000">
            <w:pPr>
              <w:spacing w:after="0"/>
              <w:ind w:left="0" w:right="0" w:firstLine="0"/>
              <w:jc w:val="both"/>
            </w:pPr>
            <w:r>
              <w:t xml:space="preserve">Środki transportu do przewożenia produktów wymagających zachowania łańcucha chłodniczego </w:t>
            </w:r>
          </w:p>
        </w:tc>
      </w:tr>
      <w:tr w:rsidR="005E582F" w14:paraId="41AD8C25" w14:textId="77777777">
        <w:trPr>
          <w:trHeight w:val="562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ACF9369" w14:textId="77777777" w:rsidR="005E582F" w:rsidRDefault="00000000">
            <w:pPr>
              <w:spacing w:after="0"/>
              <w:ind w:left="108" w:right="0" w:firstLine="0"/>
            </w:pPr>
            <w:r>
              <w:t xml:space="preserve">Niskie ryzyko  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85709B9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E1CCB3C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tłuszczów roślinnych i mieszanin tłuszczów zwierzęcych z roślinnymi </w:t>
            </w:r>
          </w:p>
        </w:tc>
      </w:tr>
      <w:tr w:rsidR="005E582F" w14:paraId="6492171C" w14:textId="77777777">
        <w:trPr>
          <w:trHeight w:val="85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9E64EFE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714129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DDA866" w14:textId="77777777" w:rsidR="005E582F" w:rsidRDefault="00000000">
            <w:pPr>
              <w:spacing w:after="0"/>
              <w:ind w:left="0" w:right="0" w:firstLine="0"/>
            </w:pPr>
            <w:r>
              <w:t xml:space="preserve">Piekarnie, piekarnio-ciastkarnie, Ciastkarnie produkujące: produkty i wyroby przemysłu piekarskiego, pieczywo cukiernicze, galanterię ciastkarską </w:t>
            </w:r>
          </w:p>
        </w:tc>
      </w:tr>
      <w:tr w:rsidR="005E582F" w14:paraId="7C2D5D3D" w14:textId="77777777">
        <w:trPr>
          <w:trHeight w:val="142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38D8701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811889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97448B" w14:textId="77777777" w:rsidR="005E582F" w:rsidRDefault="00000000">
            <w:pPr>
              <w:spacing w:after="0"/>
              <w:ind w:left="0" w:right="0" w:firstLine="0"/>
            </w:pPr>
            <w:r>
              <w:t xml:space="preserve">Przetwórnie owocowo-warzywne i grzybowe produkujące: suszone warzywa, owoce i orzechy; mrożone warzywa i owoce; przetwory i produkty warzywne i owocowe; konserwy warzywne i owocowe; konserwy </w:t>
            </w:r>
            <w:proofErr w:type="spellStart"/>
            <w:r>
              <w:t>warzywno</w:t>
            </w:r>
            <w:proofErr w:type="spellEnd"/>
            <w:r>
              <w:t xml:space="preserve"> – mięsne; suszone grzyby; mrożone grzyby; przetwory i produkty grzybowe; konserwy grzybowe </w:t>
            </w:r>
          </w:p>
        </w:tc>
      </w:tr>
      <w:tr w:rsidR="005E582F" w14:paraId="6388AF78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35ED7B5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861FFC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85C94E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napojów alkoholowych </w:t>
            </w:r>
          </w:p>
        </w:tc>
      </w:tr>
      <w:tr w:rsidR="005E582F" w14:paraId="37EF85E1" w14:textId="77777777">
        <w:trPr>
          <w:trHeight w:val="570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DC06B6F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E636D3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FD20AA6" w14:textId="77777777" w:rsidR="005E582F" w:rsidRDefault="00000000">
            <w:pPr>
              <w:spacing w:after="0"/>
              <w:ind w:left="0" w:right="0" w:firstLine="0"/>
            </w:pPr>
            <w:r>
              <w:t xml:space="preserve">Browary i rozlewnie piwa, słodownie produkujące produkty przemysłu piwowarskiego i słodowni </w:t>
            </w:r>
          </w:p>
        </w:tc>
      </w:tr>
      <w:tr w:rsidR="005E582F" w14:paraId="13EBC42E" w14:textId="77777777">
        <w:trPr>
          <w:trHeight w:val="569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AEFE113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F9A9C06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60716A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napojów bezalkoholowych gazowanych i niegazowanych </w:t>
            </w:r>
          </w:p>
        </w:tc>
      </w:tr>
      <w:tr w:rsidR="005E582F" w14:paraId="281C72E6" w14:textId="77777777">
        <w:trPr>
          <w:trHeight w:val="85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6D1D5ED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B08CE4C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DF1459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naturalnych wód mineralnych, naturalnych wód źródlanych i stołowych produkujące naturalne wody mineralne, wody źródlane, wody stołowe – gazowane </w:t>
            </w:r>
          </w:p>
        </w:tc>
      </w:tr>
      <w:tr w:rsidR="005E582F" w14:paraId="1D1E8D59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670AFDA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C173748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B08D03" w14:textId="77777777" w:rsidR="005E582F" w:rsidRDefault="00000000">
            <w:pPr>
              <w:spacing w:after="0"/>
              <w:ind w:left="0" w:right="0" w:firstLine="0"/>
            </w:pPr>
            <w:r>
              <w:t xml:space="preserve">Zakłady przemysłu zbożowo-młynarskiego </w:t>
            </w:r>
          </w:p>
        </w:tc>
      </w:tr>
      <w:tr w:rsidR="005E582F" w14:paraId="49AE5203" w14:textId="77777777">
        <w:trPr>
          <w:trHeight w:val="28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821607B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37F1DA8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A1A11A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makaronów bez udziału jaj </w:t>
            </w:r>
          </w:p>
        </w:tc>
      </w:tr>
      <w:tr w:rsidR="005E582F" w14:paraId="6CF52E81" w14:textId="77777777">
        <w:trPr>
          <w:trHeight w:val="569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F8D28C3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619B5B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91B5B8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wyrobów cukierniczych produkujące cukierni i galanterię cukierniczą </w:t>
            </w:r>
          </w:p>
        </w:tc>
      </w:tr>
      <w:tr w:rsidR="005E582F" w14:paraId="666FAE84" w14:textId="77777777">
        <w:trPr>
          <w:trHeight w:val="28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50602D4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A72B27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22F2A20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koncentratów spożywczych </w:t>
            </w:r>
          </w:p>
        </w:tc>
      </w:tr>
      <w:tr w:rsidR="005E582F" w14:paraId="2B22C3D9" w14:textId="77777777">
        <w:trPr>
          <w:trHeight w:val="28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586F431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52DE69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B171E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octu, majonezu i musztardy </w:t>
            </w:r>
          </w:p>
        </w:tc>
      </w:tr>
      <w:tr w:rsidR="005E582F" w14:paraId="6D2EF755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FC02F86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AEC23C3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24C1E4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chrupek, chipsów i prażynek </w:t>
            </w:r>
          </w:p>
        </w:tc>
      </w:tr>
      <w:tr w:rsidR="005E582F" w14:paraId="1A85AEB7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DD357DD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DE86FC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6ED593F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substancji dodatkowych, aromatów, enzymów itp. </w:t>
            </w:r>
          </w:p>
        </w:tc>
      </w:tr>
      <w:tr w:rsidR="005E582F" w14:paraId="7C97CD58" w14:textId="77777777">
        <w:trPr>
          <w:trHeight w:val="28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58C5A61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74020C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7F52CA" w14:textId="77777777" w:rsidR="005E582F" w:rsidRDefault="00000000">
            <w:pPr>
              <w:spacing w:after="0"/>
              <w:ind w:left="0" w:right="0" w:firstLine="0"/>
            </w:pPr>
            <w:r>
              <w:t xml:space="preserve">Cukrownie </w:t>
            </w:r>
          </w:p>
        </w:tc>
      </w:tr>
      <w:tr w:rsidR="005E582F" w14:paraId="4DA383BF" w14:textId="77777777">
        <w:trPr>
          <w:trHeight w:val="285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6ADB17C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07EE074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E758607" w14:textId="77777777" w:rsidR="005E582F" w:rsidRDefault="00000000">
            <w:pPr>
              <w:spacing w:after="0"/>
              <w:ind w:left="0" w:right="0" w:firstLine="0"/>
            </w:pPr>
            <w:r>
              <w:t xml:space="preserve">Zakłady paczkujące </w:t>
            </w:r>
          </w:p>
        </w:tc>
      </w:tr>
      <w:tr w:rsidR="005E582F" w14:paraId="01591CCB" w14:textId="77777777">
        <w:trPr>
          <w:trHeight w:val="856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50221FD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DE9418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E42480" w14:textId="77777777" w:rsidR="005E582F" w:rsidRDefault="00000000">
            <w:pPr>
              <w:spacing w:after="0"/>
              <w:ind w:left="0" w:right="0" w:firstLine="0"/>
            </w:pPr>
            <w:r>
              <w:t xml:space="preserve">Podmioty produkcji pierwotnej, w tym realizujące dostawy bezpośrednie pozostałych produktów produkcji pierwotnej np. zboża, warzywa korzeniowe </w:t>
            </w:r>
          </w:p>
        </w:tc>
      </w:tr>
      <w:tr w:rsidR="005E582F" w14:paraId="1C584B28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2B24680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478388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E8DADFA" w14:textId="77777777" w:rsidR="005E582F" w:rsidRDefault="00000000">
            <w:pPr>
              <w:spacing w:after="0"/>
              <w:ind w:left="0" w:right="0" w:firstLine="0"/>
            </w:pPr>
            <w:r>
              <w:t xml:space="preserve">Zakłady produkujące kawę i herbatę  </w:t>
            </w:r>
          </w:p>
        </w:tc>
      </w:tr>
      <w:tr w:rsidR="005E582F" w14:paraId="38221605" w14:textId="77777777">
        <w:trPr>
          <w:trHeight w:val="570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247F069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CDEAC6F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589F253" w14:textId="77777777" w:rsidR="005E582F" w:rsidRDefault="00000000">
            <w:pPr>
              <w:spacing w:after="0"/>
              <w:ind w:left="0" w:right="0" w:firstLine="0"/>
            </w:pPr>
            <w:r>
              <w:t xml:space="preserve">Wytwórnie materiałów i wyrobów przeznaczonych do kontaktu z żywnością </w:t>
            </w:r>
          </w:p>
        </w:tc>
      </w:tr>
      <w:tr w:rsidR="005E582F" w14:paraId="2A9B6F78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EB39CAE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B8E710A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935E74" w14:textId="77777777" w:rsidR="005E582F" w:rsidRDefault="00000000">
            <w:pPr>
              <w:spacing w:after="0"/>
              <w:ind w:left="0" w:right="0" w:firstLine="0"/>
            </w:pPr>
            <w:r>
              <w:t xml:space="preserve">Zakłady obrotu żywnością:  </w:t>
            </w:r>
          </w:p>
        </w:tc>
      </w:tr>
      <w:tr w:rsidR="005E582F" w14:paraId="5B92B809" w14:textId="77777777">
        <w:trPr>
          <w:trHeight w:val="85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8101494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BF23E45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4BA200" w14:textId="77777777" w:rsidR="005E582F" w:rsidRDefault="00000000">
            <w:pPr>
              <w:spacing w:after="0"/>
              <w:ind w:left="0" w:right="0" w:firstLine="0"/>
            </w:pPr>
            <w:r>
              <w:t xml:space="preserve">Sklepy spożywcze (w tym: super, hipermarkety), magazyny hurtowe, kioski i inne wprowadzające do obrotu produkty trwałe mikrobiologicznie </w:t>
            </w:r>
          </w:p>
        </w:tc>
      </w:tr>
      <w:tr w:rsidR="005E582F" w14:paraId="6B03BEE3" w14:textId="77777777">
        <w:trPr>
          <w:trHeight w:val="284"/>
        </w:trPr>
        <w:tc>
          <w:tcPr>
            <w:tcW w:w="18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6AB0989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99A590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714228" w14:textId="77777777" w:rsidR="005E582F" w:rsidRDefault="00000000">
            <w:pPr>
              <w:spacing w:after="0"/>
              <w:ind w:left="0" w:right="0" w:firstLine="0"/>
            </w:pPr>
            <w:r>
              <w:t xml:space="preserve">Środki transportu do przewożenia produktów w temp otoczenia </w:t>
            </w:r>
          </w:p>
        </w:tc>
      </w:tr>
      <w:tr w:rsidR="005E582F" w14:paraId="0CA95F41" w14:textId="77777777">
        <w:trPr>
          <w:trHeight w:val="588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EF9D0" w14:textId="77777777" w:rsidR="005E582F" w:rsidRDefault="005E582F">
            <w:pPr>
              <w:spacing w:after="160"/>
              <w:ind w:left="0" w:right="0" w:firstLine="0"/>
            </w:pPr>
          </w:p>
        </w:tc>
        <w:tc>
          <w:tcPr>
            <w:tcW w:w="4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82510A" w14:textId="77777777" w:rsidR="005E582F" w:rsidRDefault="00000000">
            <w:pPr>
              <w:spacing w:after="0"/>
              <w:ind w:left="109" w:right="0" w:firstLine="0"/>
            </w:pPr>
            <w: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BDA7A" w14:textId="77777777" w:rsidR="005E582F" w:rsidRDefault="00000000">
            <w:pPr>
              <w:spacing w:after="0"/>
              <w:ind w:left="0" w:right="0" w:firstLine="0"/>
            </w:pPr>
            <w:r>
              <w:t xml:space="preserve">Zakłady obrotu materiałami i wyrobami przeznaczonymi do kontaktu z żywnością w tym hurtownie i sklepy </w:t>
            </w:r>
          </w:p>
        </w:tc>
      </w:tr>
    </w:tbl>
    <w:p w14:paraId="58B7E76D" w14:textId="77777777" w:rsidR="005E582F" w:rsidRDefault="00000000">
      <w:pPr>
        <w:spacing w:after="158"/>
        <w:ind w:left="0" w:right="0" w:firstLine="0"/>
      </w:pPr>
      <w:r>
        <w:t xml:space="preserve"> </w:t>
      </w:r>
    </w:p>
    <w:p w14:paraId="1125466A" w14:textId="151769C5" w:rsidR="005E582F" w:rsidRDefault="005E582F">
      <w:pPr>
        <w:spacing w:after="0"/>
        <w:ind w:left="0" w:right="0" w:firstLine="0"/>
      </w:pPr>
    </w:p>
    <w:sectPr w:rsidR="005E582F">
      <w:pgSz w:w="11906" w:h="16838"/>
      <w:pgMar w:top="1414" w:right="1421" w:bottom="147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43AB0"/>
    <w:multiLevelType w:val="hybridMultilevel"/>
    <w:tmpl w:val="70CA6912"/>
    <w:lvl w:ilvl="0" w:tplc="3B185650">
      <w:start w:val="1"/>
      <w:numFmt w:val="bullet"/>
      <w:lvlText w:val="-"/>
      <w:lvlJc w:val="left"/>
      <w:pPr>
        <w:ind w:left="7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41A76">
      <w:start w:val="1"/>
      <w:numFmt w:val="bullet"/>
      <w:lvlText w:val="o"/>
      <w:lvlJc w:val="left"/>
      <w:pPr>
        <w:ind w:left="15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9EA562">
      <w:start w:val="1"/>
      <w:numFmt w:val="bullet"/>
      <w:lvlText w:val="▪"/>
      <w:lvlJc w:val="left"/>
      <w:pPr>
        <w:ind w:left="22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C0B410">
      <w:start w:val="1"/>
      <w:numFmt w:val="bullet"/>
      <w:lvlText w:val="•"/>
      <w:lvlJc w:val="left"/>
      <w:pPr>
        <w:ind w:left="29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CC1A78">
      <w:start w:val="1"/>
      <w:numFmt w:val="bullet"/>
      <w:lvlText w:val="o"/>
      <w:lvlJc w:val="left"/>
      <w:pPr>
        <w:ind w:left="370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8CCF2A">
      <w:start w:val="1"/>
      <w:numFmt w:val="bullet"/>
      <w:lvlText w:val="▪"/>
      <w:lvlJc w:val="left"/>
      <w:pPr>
        <w:ind w:left="442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848CB4">
      <w:start w:val="1"/>
      <w:numFmt w:val="bullet"/>
      <w:lvlText w:val="•"/>
      <w:lvlJc w:val="left"/>
      <w:pPr>
        <w:ind w:left="514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0FF00">
      <w:start w:val="1"/>
      <w:numFmt w:val="bullet"/>
      <w:lvlText w:val="o"/>
      <w:lvlJc w:val="left"/>
      <w:pPr>
        <w:ind w:left="586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6C484">
      <w:start w:val="1"/>
      <w:numFmt w:val="bullet"/>
      <w:lvlText w:val="▪"/>
      <w:lvlJc w:val="left"/>
      <w:pPr>
        <w:ind w:left="6588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6F520A"/>
    <w:multiLevelType w:val="hybridMultilevel"/>
    <w:tmpl w:val="45AA0B6A"/>
    <w:lvl w:ilvl="0" w:tplc="4F3E6868">
      <w:start w:val="1"/>
      <w:numFmt w:val="lowerLetter"/>
      <w:lvlText w:val="%1."/>
      <w:lvlJc w:val="left"/>
      <w:pPr>
        <w:ind w:left="7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A21DA">
      <w:start w:val="1"/>
      <w:numFmt w:val="lowerLetter"/>
      <w:lvlText w:val="%2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B2307E">
      <w:start w:val="1"/>
      <w:numFmt w:val="lowerRoman"/>
      <w:lvlText w:val="%3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98BBBC">
      <w:start w:val="1"/>
      <w:numFmt w:val="decimal"/>
      <w:lvlText w:val="%4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B62588">
      <w:start w:val="1"/>
      <w:numFmt w:val="lowerLetter"/>
      <w:lvlText w:val="%5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4AA746">
      <w:start w:val="1"/>
      <w:numFmt w:val="lowerRoman"/>
      <w:lvlText w:val="%6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ED484">
      <w:start w:val="1"/>
      <w:numFmt w:val="decimal"/>
      <w:lvlText w:val="%7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96DC5E">
      <w:start w:val="1"/>
      <w:numFmt w:val="lowerLetter"/>
      <w:lvlText w:val="%8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78E5AE">
      <w:start w:val="1"/>
      <w:numFmt w:val="lowerRoman"/>
      <w:lvlText w:val="%9"/>
      <w:lvlJc w:val="left"/>
      <w:pPr>
        <w:ind w:left="68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F848FE"/>
    <w:multiLevelType w:val="hybridMultilevel"/>
    <w:tmpl w:val="D304DE20"/>
    <w:lvl w:ilvl="0" w:tplc="F2F2BC4C">
      <w:start w:val="1"/>
      <w:numFmt w:val="bullet"/>
      <w:lvlText w:val="-"/>
      <w:lvlJc w:val="left"/>
      <w:pPr>
        <w:ind w:left="3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8E0E0E">
      <w:start w:val="1"/>
      <w:numFmt w:val="bullet"/>
      <w:lvlText w:val="o"/>
      <w:lvlJc w:val="left"/>
      <w:pPr>
        <w:ind w:left="118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2EA9AE">
      <w:start w:val="1"/>
      <w:numFmt w:val="bullet"/>
      <w:lvlText w:val="▪"/>
      <w:lvlJc w:val="left"/>
      <w:pPr>
        <w:ind w:left="190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DC07C4">
      <w:start w:val="1"/>
      <w:numFmt w:val="bullet"/>
      <w:lvlText w:val="•"/>
      <w:lvlJc w:val="left"/>
      <w:pPr>
        <w:ind w:left="262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678B8">
      <w:start w:val="1"/>
      <w:numFmt w:val="bullet"/>
      <w:lvlText w:val="o"/>
      <w:lvlJc w:val="left"/>
      <w:pPr>
        <w:ind w:left="334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61700">
      <w:start w:val="1"/>
      <w:numFmt w:val="bullet"/>
      <w:lvlText w:val="▪"/>
      <w:lvlJc w:val="left"/>
      <w:pPr>
        <w:ind w:left="406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C810A">
      <w:start w:val="1"/>
      <w:numFmt w:val="bullet"/>
      <w:lvlText w:val="•"/>
      <w:lvlJc w:val="left"/>
      <w:pPr>
        <w:ind w:left="478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C684E">
      <w:start w:val="1"/>
      <w:numFmt w:val="bullet"/>
      <w:lvlText w:val="o"/>
      <w:lvlJc w:val="left"/>
      <w:pPr>
        <w:ind w:left="550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8D372">
      <w:start w:val="1"/>
      <w:numFmt w:val="bullet"/>
      <w:lvlText w:val="▪"/>
      <w:lvlJc w:val="left"/>
      <w:pPr>
        <w:ind w:left="6227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425BC8"/>
    <w:multiLevelType w:val="hybridMultilevel"/>
    <w:tmpl w:val="8C283F9E"/>
    <w:lvl w:ilvl="0" w:tplc="0CF210E0">
      <w:start w:val="1"/>
      <w:numFmt w:val="lowerLetter"/>
      <w:lvlText w:val="%1."/>
      <w:lvlJc w:val="left"/>
      <w:pPr>
        <w:ind w:left="35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5620C4">
      <w:start w:val="1"/>
      <w:numFmt w:val="lowerLetter"/>
      <w:lvlText w:val="%2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6E496">
      <w:start w:val="1"/>
      <w:numFmt w:val="lowerRoman"/>
      <w:lvlText w:val="%3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E8676">
      <w:start w:val="1"/>
      <w:numFmt w:val="decimal"/>
      <w:lvlText w:val="%4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22448">
      <w:start w:val="1"/>
      <w:numFmt w:val="lowerLetter"/>
      <w:lvlText w:val="%5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DE2856">
      <w:start w:val="1"/>
      <w:numFmt w:val="lowerRoman"/>
      <w:lvlText w:val="%6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0CE9BE">
      <w:start w:val="1"/>
      <w:numFmt w:val="decimal"/>
      <w:lvlText w:val="%7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2F280">
      <w:start w:val="1"/>
      <w:numFmt w:val="lowerLetter"/>
      <w:lvlText w:val="%8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889824">
      <w:start w:val="1"/>
      <w:numFmt w:val="lowerRoman"/>
      <w:lvlText w:val="%9"/>
      <w:lvlJc w:val="left"/>
      <w:pPr>
        <w:ind w:left="68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814049"/>
    <w:multiLevelType w:val="hybridMultilevel"/>
    <w:tmpl w:val="C5A01686"/>
    <w:lvl w:ilvl="0" w:tplc="972CFA34">
      <w:start w:val="1"/>
      <w:numFmt w:val="decimal"/>
      <w:lvlText w:val="%1)"/>
      <w:lvlJc w:val="left"/>
      <w:pPr>
        <w:ind w:left="24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484A6">
      <w:start w:val="1"/>
      <w:numFmt w:val="lowerLetter"/>
      <w:lvlText w:val="%2"/>
      <w:lvlJc w:val="left"/>
      <w:pPr>
        <w:ind w:left="10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46A438">
      <w:start w:val="1"/>
      <w:numFmt w:val="lowerRoman"/>
      <w:lvlText w:val="%3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C8E6FA">
      <w:start w:val="1"/>
      <w:numFmt w:val="decimal"/>
      <w:lvlText w:val="%4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8148C">
      <w:start w:val="1"/>
      <w:numFmt w:val="lowerLetter"/>
      <w:lvlText w:val="%5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16D8C8">
      <w:start w:val="1"/>
      <w:numFmt w:val="lowerRoman"/>
      <w:lvlText w:val="%6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DCDC26">
      <w:start w:val="1"/>
      <w:numFmt w:val="decimal"/>
      <w:lvlText w:val="%7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183014">
      <w:start w:val="1"/>
      <w:numFmt w:val="lowerLetter"/>
      <w:lvlText w:val="%8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DE5E8C">
      <w:start w:val="1"/>
      <w:numFmt w:val="lowerRoman"/>
      <w:lvlText w:val="%9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6C6F73"/>
    <w:multiLevelType w:val="hybridMultilevel"/>
    <w:tmpl w:val="9A38C640"/>
    <w:lvl w:ilvl="0" w:tplc="FE52499C">
      <w:start w:val="1"/>
      <w:numFmt w:val="lowerLetter"/>
      <w:lvlText w:val="%1."/>
      <w:lvlJc w:val="left"/>
      <w:pPr>
        <w:ind w:left="35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3EEA08">
      <w:start w:val="1"/>
      <w:numFmt w:val="lowerLetter"/>
      <w:lvlText w:val="%2"/>
      <w:lvlJc w:val="left"/>
      <w:pPr>
        <w:ind w:left="18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4019F2">
      <w:start w:val="1"/>
      <w:numFmt w:val="lowerRoman"/>
      <w:lvlText w:val="%3"/>
      <w:lvlJc w:val="left"/>
      <w:pPr>
        <w:ind w:left="25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E9144">
      <w:start w:val="1"/>
      <w:numFmt w:val="decimal"/>
      <w:lvlText w:val="%4"/>
      <w:lvlJc w:val="left"/>
      <w:pPr>
        <w:ind w:left="32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8922A">
      <w:start w:val="1"/>
      <w:numFmt w:val="lowerLetter"/>
      <w:lvlText w:val="%5"/>
      <w:lvlJc w:val="left"/>
      <w:pPr>
        <w:ind w:left="396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4ED256">
      <w:start w:val="1"/>
      <w:numFmt w:val="lowerRoman"/>
      <w:lvlText w:val="%6"/>
      <w:lvlJc w:val="left"/>
      <w:pPr>
        <w:ind w:left="468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B04934">
      <w:start w:val="1"/>
      <w:numFmt w:val="decimal"/>
      <w:lvlText w:val="%7"/>
      <w:lvlJc w:val="left"/>
      <w:pPr>
        <w:ind w:left="540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2691E">
      <w:start w:val="1"/>
      <w:numFmt w:val="lowerLetter"/>
      <w:lvlText w:val="%8"/>
      <w:lvlJc w:val="left"/>
      <w:pPr>
        <w:ind w:left="612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A8A98">
      <w:start w:val="1"/>
      <w:numFmt w:val="lowerRoman"/>
      <w:lvlText w:val="%9"/>
      <w:lvlJc w:val="left"/>
      <w:pPr>
        <w:ind w:left="6840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87244643">
    <w:abstractNumId w:val="4"/>
  </w:num>
  <w:num w:numId="2" w16cid:durableId="1711686942">
    <w:abstractNumId w:val="5"/>
  </w:num>
  <w:num w:numId="3" w16cid:durableId="1174493791">
    <w:abstractNumId w:val="1"/>
  </w:num>
  <w:num w:numId="4" w16cid:durableId="2058551576">
    <w:abstractNumId w:val="3"/>
  </w:num>
  <w:num w:numId="5" w16cid:durableId="305864902">
    <w:abstractNumId w:val="0"/>
  </w:num>
  <w:num w:numId="6" w16cid:durableId="760952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2F"/>
    <w:rsid w:val="004B6ED7"/>
    <w:rsid w:val="005E582F"/>
    <w:rsid w:val="007D75B1"/>
    <w:rsid w:val="00931F10"/>
    <w:rsid w:val="009E68EB"/>
    <w:rsid w:val="00B45F83"/>
    <w:rsid w:val="00CF4390"/>
    <w:rsid w:val="00D02797"/>
    <w:rsid w:val="00E4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B464"/>
  <w15:docId w15:val="{161C2133-D0ED-47CF-B1FD-31AF097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9" w:line="259" w:lineRule="auto"/>
      <w:ind w:left="10" w:right="156" w:hanging="10"/>
    </w:pPr>
    <w:rPr>
      <w:rFonts w:ascii="Lato" w:eastAsia="Lato" w:hAnsi="Lato" w:cs="Lato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3469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Środa Wlkp. - Anida Krajewska</dc:creator>
  <cp:keywords/>
  <cp:lastModifiedBy>PSSE Gniezno - Sylwia Pawlak</cp:lastModifiedBy>
  <cp:revision>2</cp:revision>
  <cp:lastPrinted>2026-01-12T09:28:00Z</cp:lastPrinted>
  <dcterms:created xsi:type="dcterms:W3CDTF">2026-01-12T10:11:00Z</dcterms:created>
  <dcterms:modified xsi:type="dcterms:W3CDTF">2026-01-12T10:11:00Z</dcterms:modified>
</cp:coreProperties>
</file>