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C67589">
      <w:pPr>
        <w:tabs>
          <w:tab w:val="center" w:pos="1418"/>
        </w:tabs>
        <w:snapToGrid w:val="0"/>
        <w:ind w:right="15"/>
        <w:jc w:val="right"/>
        <w:rPr>
          <w:sz w:val="24"/>
          <w:szCs w:val="24"/>
        </w:rPr>
      </w:pPr>
      <w:r>
        <w:rPr>
          <w:sz w:val="24"/>
          <w:szCs w:val="24"/>
        </w:rPr>
        <w:t xml:space="preserve">Łódź, </w:t>
      </w:r>
      <w:bookmarkStart w:id="0" w:name="ezdDataPodpisu"/>
      <w:r>
        <w:rPr>
          <w:sz w:val="24"/>
          <w:szCs w:val="24"/>
        </w:rPr>
        <w:t>17 czerwca 2024</w:t>
      </w:r>
      <w:bookmarkEnd w:id="0"/>
      <w:r>
        <w:rPr>
          <w:sz w:val="24"/>
          <w:szCs w:val="24"/>
        </w:rPr>
        <w:t xml:space="preserve"> r.</w:t>
      </w:r>
    </w:p>
    <w:p w:rsidR="00C67589">
      <w:pPr>
        <w:tabs>
          <w:tab w:val="center" w:pos="1985"/>
        </w:tabs>
      </w:pPr>
      <w:r>
        <w:rPr>
          <w:sz w:val="24"/>
          <w:szCs w:val="24"/>
        </w:rPr>
        <w:tab/>
      </w:r>
      <w:bookmarkStart w:id="1" w:name="ezdSprawaZnak"/>
      <w:r>
        <w:rPr>
          <w:sz w:val="24"/>
          <w:szCs w:val="24"/>
        </w:rPr>
        <w:t>GPB-II.747.25.2023</w:t>
      </w:r>
      <w:bookmarkEnd w:id="1"/>
    </w:p>
    <w:p w:rsidR="00C67589">
      <w:pPr>
        <w:tabs>
          <w:tab w:val="center" w:pos="1985"/>
        </w:tabs>
      </w:pPr>
      <w:r>
        <w:rPr>
          <w:sz w:val="24"/>
          <w:szCs w:val="24"/>
        </w:rPr>
        <w:tab/>
        <w:t>(HJ)</w:t>
      </w:r>
    </w:p>
    <w:p w:rsidR="00C67589">
      <w:pPr>
        <w:snapToGrid w:val="0"/>
        <w:rPr>
          <w:sz w:val="24"/>
          <w:szCs w:val="24"/>
        </w:rPr>
      </w:pPr>
    </w:p>
    <w:p w:rsidR="00C67589">
      <w:pPr>
        <w:keepNext/>
        <w:tabs>
          <w:tab w:val="left" w:pos="0"/>
          <w:tab w:val="left" w:pos="360"/>
        </w:tabs>
        <w:spacing w:before="240" w:line="360" w:lineRule="auto"/>
        <w:jc w:val="center"/>
        <w:outlineLvl w:val="0"/>
        <w:rPr>
          <w:sz w:val="24"/>
          <w:szCs w:val="24"/>
        </w:rPr>
      </w:pPr>
      <w:r>
        <w:rPr>
          <w:b/>
          <w:sz w:val="24"/>
          <w:szCs w:val="24"/>
        </w:rPr>
        <w:t>DECYZJA  Nr  91 / 24</w:t>
      </w:r>
    </w:p>
    <w:p w:rsidR="00C67589">
      <w:pPr>
        <w:tabs>
          <w:tab w:val="left" w:pos="0"/>
          <w:tab w:val="left" w:pos="360"/>
        </w:tabs>
        <w:spacing w:after="120" w:line="360" w:lineRule="auto"/>
        <w:jc w:val="center"/>
        <w:rPr>
          <w:sz w:val="24"/>
          <w:szCs w:val="24"/>
        </w:rPr>
      </w:pPr>
      <w:r>
        <w:rPr>
          <w:b/>
          <w:sz w:val="24"/>
          <w:szCs w:val="24"/>
        </w:rPr>
        <w:t xml:space="preserve">o </w:t>
      </w:r>
      <w:r>
        <w:rPr>
          <w:rFonts w:eastAsia="Arial Unicode MS"/>
          <w:b/>
          <w:color w:val="000000"/>
          <w:sz w:val="24"/>
          <w:szCs w:val="24"/>
        </w:rPr>
        <w:t>zezwoleniu na wejście na teren nieruchomości lub jej części</w:t>
      </w:r>
    </w:p>
    <w:p w:rsidR="00C67589">
      <w:pPr>
        <w:spacing w:line="348" w:lineRule="auto"/>
        <w:ind w:firstLine="567"/>
        <w:jc w:val="both"/>
        <w:rPr>
          <w:sz w:val="24"/>
          <w:szCs w:val="24"/>
        </w:rPr>
      </w:pPr>
      <w:r>
        <w:rPr>
          <w:sz w:val="24"/>
          <w:szCs w:val="24"/>
        </w:rPr>
        <w:t>Na podstawie art. 104 i 105 § 1 z dnia 14 czerwca 1960 r. - Kodeks postępowania administracyjnego (</w:t>
      </w:r>
      <w:r>
        <w:rPr>
          <w:sz w:val="24"/>
          <w:szCs w:val="24"/>
        </w:rPr>
        <w:t>t.j</w:t>
      </w:r>
      <w:r>
        <w:rPr>
          <w:sz w:val="24"/>
          <w:szCs w:val="24"/>
        </w:rPr>
        <w:t>. Dz.U. z 2024 r. poz. 572), zwanej dalej „</w:t>
      </w:r>
      <w:r>
        <w:rPr>
          <w:iCs/>
          <w:sz w:val="24"/>
          <w:szCs w:val="24"/>
        </w:rPr>
        <w:t>kpa”</w:t>
      </w:r>
      <w:r>
        <w:rPr>
          <w:rFonts w:eastAsia="Arial Unicode MS"/>
          <w:iCs/>
          <w:sz w:val="24"/>
          <w:szCs w:val="24"/>
          <w:shd w:val="clear" w:color="auto" w:fill="FFFFFF"/>
        </w:rPr>
        <w:t xml:space="preserve">, w związku z art. 120g ust. 3, art. 120g ust. 5, art. 120g ust. 8 i art. 3 ust. 2 ustawy </w:t>
      </w:r>
      <w:r>
        <w:rPr>
          <w:rFonts w:eastAsia="Arial Unicode MS" w:cs="Calibri"/>
          <w:iCs/>
          <w:sz w:val="24"/>
          <w:szCs w:val="24"/>
          <w:shd w:val="clear" w:color="auto" w:fill="FFFFFF"/>
        </w:rPr>
        <w:t>z dnia 10 maja 2018 r. o Centralnym Porcie Komunikacyjnym (</w:t>
      </w:r>
      <w:r>
        <w:rPr>
          <w:rFonts w:eastAsia="Arial Unicode MS" w:cs="Calibri"/>
          <w:iCs/>
          <w:sz w:val="24"/>
          <w:szCs w:val="24"/>
          <w:shd w:val="clear" w:color="auto" w:fill="FFFFFF"/>
        </w:rPr>
        <w:t>t.j</w:t>
      </w:r>
      <w:r>
        <w:rPr>
          <w:rFonts w:eastAsia="Arial Unicode MS" w:cs="Calibri"/>
          <w:iCs/>
          <w:sz w:val="24"/>
          <w:szCs w:val="24"/>
          <w:shd w:val="clear" w:color="auto" w:fill="FFFFFF"/>
        </w:rPr>
        <w:t>. Dz.U. z 2024 r. poz. 545), zwanej dalej „specustawą CPK”</w:t>
      </w:r>
      <w:r>
        <w:rPr>
          <w:sz w:val="24"/>
          <w:szCs w:val="24"/>
        </w:rPr>
        <w:t>,</w:t>
      </w:r>
      <w:r>
        <w:rPr>
          <w:rFonts w:eastAsia="Arial Unicode MS"/>
          <w:sz w:val="24"/>
          <w:szCs w:val="24"/>
        </w:rPr>
        <w:t xml:space="preserve"> </w:t>
      </w:r>
      <w:r>
        <w:rPr>
          <w:sz w:val="24"/>
          <w:szCs w:val="24"/>
        </w:rPr>
        <w:t xml:space="preserve">po rozpatrzeniu wniosku </w:t>
      </w:r>
      <w:r>
        <w:rPr>
          <w:rFonts w:eastAsia="Arial Unicode MS"/>
          <w:sz w:val="24"/>
          <w:szCs w:val="24"/>
        </w:rPr>
        <w:t>o zezwolenie na wejście na teren nieruchomości lub jej części, złożonego w dniu 12.12.2023 r., uzupełnionego w dniach 19.12.2023 r., 07.01.2024 r., 16.01.2024 r., 08.03.2024 r. i 22.05.2024 r. oraz skorygowanego w dniu 22.04.2024 r.</w:t>
      </w:r>
      <w:r w:rsidR="001E42CA">
        <w:rPr>
          <w:rFonts w:eastAsia="Arial Unicode MS"/>
          <w:sz w:val="24"/>
          <w:szCs w:val="24"/>
        </w:rPr>
        <w:t>:</w:t>
      </w:r>
    </w:p>
    <w:p w:rsidR="00C67589">
      <w:pPr>
        <w:spacing w:before="120" w:line="360" w:lineRule="auto"/>
        <w:jc w:val="center"/>
        <w:rPr>
          <w:sz w:val="24"/>
          <w:szCs w:val="24"/>
        </w:rPr>
      </w:pPr>
      <w:r>
        <w:rPr>
          <w:b/>
          <w:bCs/>
          <w:sz w:val="24"/>
          <w:szCs w:val="24"/>
        </w:rPr>
        <w:t>I.  Z</w:t>
      </w:r>
      <w:r>
        <w:rPr>
          <w:b/>
          <w:sz w:val="24"/>
          <w:szCs w:val="24"/>
        </w:rPr>
        <w:t xml:space="preserve">ezwalam </w:t>
      </w:r>
    </w:p>
    <w:p w:rsidR="00C67589">
      <w:pPr>
        <w:spacing w:line="360" w:lineRule="auto"/>
        <w:jc w:val="center"/>
        <w:rPr>
          <w:sz w:val="24"/>
          <w:szCs w:val="24"/>
        </w:rPr>
      </w:pPr>
      <w:r>
        <w:rPr>
          <w:b/>
          <w:sz w:val="24"/>
          <w:szCs w:val="24"/>
        </w:rPr>
        <w:t xml:space="preserve">spółce Centralny Port Komunikacyjny Sp. z o.o. </w:t>
      </w:r>
    </w:p>
    <w:p w:rsidR="00C67589">
      <w:pPr>
        <w:spacing w:line="360" w:lineRule="auto"/>
        <w:jc w:val="center"/>
        <w:rPr>
          <w:sz w:val="24"/>
          <w:szCs w:val="24"/>
        </w:rPr>
      </w:pPr>
      <w:r>
        <w:rPr>
          <w:b/>
          <w:sz w:val="24"/>
          <w:szCs w:val="24"/>
        </w:rPr>
        <w:t xml:space="preserve">z siedzibą przy Al. Jerozolimskich 142B w Warszawie, </w:t>
      </w:r>
    </w:p>
    <w:p w:rsidR="00C67589">
      <w:pPr>
        <w:spacing w:before="200" w:line="348" w:lineRule="auto"/>
        <w:jc w:val="both"/>
        <w:rPr>
          <w:sz w:val="24"/>
          <w:szCs w:val="24"/>
        </w:rPr>
      </w:pPr>
      <w:r>
        <w:rPr>
          <w:color w:val="000000"/>
          <w:sz w:val="24"/>
          <w:szCs w:val="24"/>
        </w:rPr>
        <w:t xml:space="preserve">na wejście na teren nieruchomości lub ich części położonych </w:t>
      </w:r>
      <w:r>
        <w:rPr>
          <w:rFonts w:eastAsia="NSimSun" w:cs="Courier New"/>
          <w:color w:val="000000"/>
          <w:sz w:val="24"/>
          <w:szCs w:val="24"/>
        </w:rPr>
        <w:t>w województwie łódzkim, powiecie brzezińskim, gminie Dmosin - w obrębach geodezyjnych nr 10, 12, 13, 8, 7, 20, w gminie Brzeziny – w obrębach geodezyjnych nr 26, 19, 11, 25, na terenie Miasta Brzeziny - w obrębach geodezyjnych nr 1, 2, 3, 5</w:t>
      </w:r>
      <w:r>
        <w:rPr>
          <w:rFonts w:eastAsia="NSimSun"/>
          <w:color w:val="000000"/>
          <w:sz w:val="24"/>
          <w:szCs w:val="24"/>
        </w:rPr>
        <w:t xml:space="preserve">, oznaczonych niżej wymienionymi numerami ewidencyjnymi działek według katastru nieruchomości: </w:t>
      </w:r>
    </w:p>
    <w:p w:rsidR="00C67589">
      <w:pPr>
        <w:suppressAutoHyphens w:val="0"/>
        <w:spacing w:after="170" w:line="360" w:lineRule="auto"/>
        <w:jc w:val="both"/>
        <w:rPr>
          <w:sz w:val="24"/>
          <w:szCs w:val="24"/>
        </w:rPr>
      </w:pPr>
      <w:r>
        <w:rPr>
          <w:b/>
          <w:sz w:val="24"/>
          <w:szCs w:val="24"/>
          <w:u w:val="single"/>
        </w:rPr>
        <w:t>Gmina Dmosin</w:t>
      </w:r>
    </w:p>
    <w:p w:rsidR="00C67589">
      <w:pPr>
        <w:suppressAutoHyphens w:val="0"/>
        <w:spacing w:line="360" w:lineRule="auto"/>
        <w:jc w:val="both"/>
        <w:rPr>
          <w:sz w:val="24"/>
          <w:szCs w:val="24"/>
        </w:rPr>
      </w:pPr>
      <w:r>
        <w:rPr>
          <w:b/>
          <w:sz w:val="24"/>
          <w:szCs w:val="24"/>
        </w:rPr>
        <w:t xml:space="preserve">Obręb 10 Kuźmy: </w:t>
      </w:r>
      <w:r>
        <w:rPr>
          <w:sz w:val="24"/>
          <w:szCs w:val="24"/>
        </w:rPr>
        <w:t>26, 25, 6, 5, 56, 24, 85, 86, 9, 10, 55, 54, 98, 109, 78, 27, 10, 23, 57;</w:t>
      </w:r>
    </w:p>
    <w:p w:rsidR="00C67589">
      <w:pPr>
        <w:suppressAutoHyphens w:val="0"/>
        <w:spacing w:line="360" w:lineRule="auto"/>
        <w:jc w:val="both"/>
        <w:rPr>
          <w:sz w:val="24"/>
          <w:szCs w:val="24"/>
        </w:rPr>
      </w:pPr>
      <w:r>
        <w:rPr>
          <w:b/>
          <w:sz w:val="24"/>
          <w:szCs w:val="24"/>
        </w:rPr>
        <w:t>Obręb 12 Nadolna Wieś:</w:t>
      </w:r>
      <w:r>
        <w:rPr>
          <w:sz w:val="24"/>
          <w:szCs w:val="24"/>
        </w:rPr>
        <w:t xml:space="preserve"> 35, 34, 2/2, 281/1, 417/2, 292, 4/3, 3/1, 36, 282/1, 280/2, 416/2, 297, 295, 294;</w:t>
      </w:r>
    </w:p>
    <w:p w:rsidR="00C67589">
      <w:pPr>
        <w:suppressAutoHyphens w:val="0"/>
        <w:spacing w:line="360" w:lineRule="auto"/>
        <w:jc w:val="both"/>
        <w:rPr>
          <w:sz w:val="24"/>
          <w:szCs w:val="24"/>
        </w:rPr>
      </w:pPr>
      <w:r>
        <w:rPr>
          <w:b/>
          <w:sz w:val="24"/>
          <w:szCs w:val="24"/>
        </w:rPr>
        <w:t>Obręb 13 Nadolna Kolonia:</w:t>
      </w:r>
      <w:r>
        <w:rPr>
          <w:sz w:val="24"/>
          <w:szCs w:val="24"/>
        </w:rPr>
        <w:t xml:space="preserve"> 114/2, 179/2, 177, 174, 186/2, 185/2, 182/2, 181/2, 284/2, 187/2,178, 112/3;</w:t>
      </w:r>
    </w:p>
    <w:p w:rsidR="00C67589">
      <w:pPr>
        <w:suppressAutoHyphens w:val="0"/>
        <w:spacing w:line="360" w:lineRule="auto"/>
        <w:jc w:val="both"/>
        <w:rPr>
          <w:sz w:val="24"/>
          <w:szCs w:val="24"/>
        </w:rPr>
      </w:pPr>
      <w:r>
        <w:rPr>
          <w:b/>
          <w:sz w:val="24"/>
          <w:szCs w:val="24"/>
        </w:rPr>
        <w:t>Obręb 8 Kołacinek:</w:t>
      </w:r>
      <w:r>
        <w:rPr>
          <w:sz w:val="24"/>
          <w:szCs w:val="24"/>
        </w:rPr>
        <w:t xml:space="preserve"> 46/1, 86/2, 85/2, 116, 206/1, 205/1, 217, 207, 44/1, 43/1, 42/1, 38/1;</w:t>
      </w:r>
    </w:p>
    <w:p w:rsidR="00C67589">
      <w:pPr>
        <w:suppressAutoHyphens w:val="0"/>
        <w:spacing w:line="360" w:lineRule="auto"/>
        <w:jc w:val="both"/>
        <w:rPr>
          <w:sz w:val="24"/>
          <w:szCs w:val="24"/>
        </w:rPr>
      </w:pPr>
      <w:r>
        <w:rPr>
          <w:b/>
          <w:sz w:val="24"/>
          <w:szCs w:val="24"/>
        </w:rPr>
        <w:t>Obręb 7 Kołacin:</w:t>
      </w:r>
      <w:r>
        <w:rPr>
          <w:sz w:val="24"/>
          <w:szCs w:val="24"/>
        </w:rPr>
        <w:t xml:space="preserve"> 163, 169, 94, 326, 164/1, 166, 98/8, 114, 116, 333, 329, 330, 89, 165, 96, 105, 115, 336, 335, 334, 332, 99, 164/2, 171, 331;</w:t>
      </w:r>
    </w:p>
    <w:p w:rsidR="00C67589">
      <w:pPr>
        <w:suppressAutoHyphens w:val="0"/>
        <w:spacing w:line="360" w:lineRule="auto"/>
        <w:jc w:val="both"/>
        <w:rPr>
          <w:sz w:val="24"/>
          <w:szCs w:val="24"/>
        </w:rPr>
      </w:pPr>
      <w:r>
        <w:rPr>
          <w:b/>
          <w:bCs/>
          <w:sz w:val="24"/>
          <w:szCs w:val="24"/>
        </w:rPr>
        <w:t>Obręb 20 Kraszew Wielki:</w:t>
      </w:r>
      <w:r>
        <w:rPr>
          <w:sz w:val="24"/>
          <w:szCs w:val="24"/>
        </w:rPr>
        <w:t xml:space="preserve"> 48.</w:t>
      </w:r>
    </w:p>
    <w:p w:rsidR="00C67589">
      <w:pPr>
        <w:suppressAutoHyphens w:val="0"/>
        <w:spacing w:before="113" w:after="170" w:line="360" w:lineRule="auto"/>
        <w:jc w:val="both"/>
        <w:rPr>
          <w:sz w:val="24"/>
          <w:szCs w:val="24"/>
        </w:rPr>
      </w:pPr>
      <w:r>
        <w:rPr>
          <w:b/>
          <w:sz w:val="24"/>
          <w:szCs w:val="24"/>
          <w:u w:val="single"/>
        </w:rPr>
        <w:t>Gmina Brzeziny</w:t>
      </w:r>
    </w:p>
    <w:p w:rsidR="00C67589">
      <w:pPr>
        <w:suppressAutoHyphens w:val="0"/>
        <w:spacing w:line="360" w:lineRule="auto"/>
        <w:jc w:val="both"/>
        <w:rPr>
          <w:sz w:val="24"/>
          <w:szCs w:val="24"/>
        </w:rPr>
      </w:pPr>
      <w:r>
        <w:rPr>
          <w:b/>
          <w:sz w:val="24"/>
          <w:szCs w:val="24"/>
        </w:rPr>
        <w:t>Obręb 26 Szymaniszki:</w:t>
      </w:r>
      <w:r>
        <w:rPr>
          <w:sz w:val="24"/>
          <w:szCs w:val="24"/>
        </w:rPr>
        <w:t xml:space="preserve"> 78, 196, 204/1, 203;</w:t>
      </w:r>
    </w:p>
    <w:p w:rsidR="00C67589">
      <w:pPr>
        <w:suppressAutoHyphens w:val="0"/>
        <w:spacing w:line="360" w:lineRule="auto"/>
        <w:jc w:val="both"/>
        <w:rPr>
          <w:sz w:val="24"/>
          <w:szCs w:val="24"/>
        </w:rPr>
      </w:pPr>
      <w:r>
        <w:rPr>
          <w:b/>
          <w:sz w:val="24"/>
          <w:szCs w:val="24"/>
        </w:rPr>
        <w:t>Obręb 19 Paprotnia:</w:t>
      </w:r>
      <w:r>
        <w:rPr>
          <w:sz w:val="24"/>
          <w:szCs w:val="24"/>
        </w:rPr>
        <w:t xml:space="preserve"> 74, 73/6, 165, 164, 161/1, 166/1, 173, 169, 155, 206, 205, 170, 171, 207, 210, 157, 161/2, 172, 184;</w:t>
      </w:r>
    </w:p>
    <w:p w:rsidR="00C67589">
      <w:pPr>
        <w:suppressAutoHyphens w:val="0"/>
        <w:spacing w:line="360" w:lineRule="auto"/>
        <w:jc w:val="both"/>
        <w:rPr>
          <w:sz w:val="24"/>
          <w:szCs w:val="24"/>
        </w:rPr>
      </w:pPr>
      <w:r>
        <w:rPr>
          <w:b/>
          <w:bCs/>
          <w:sz w:val="24"/>
          <w:szCs w:val="24"/>
        </w:rPr>
        <w:t>Obręb 11 Helenów</w:t>
      </w:r>
      <w:r>
        <w:rPr>
          <w:b/>
          <w:sz w:val="24"/>
          <w:szCs w:val="24"/>
        </w:rPr>
        <w:t>:</w:t>
      </w:r>
      <w:r>
        <w:rPr>
          <w:sz w:val="24"/>
          <w:szCs w:val="24"/>
        </w:rPr>
        <w:t xml:space="preserve"> 79/2, 78, 28/5, 12, 11/26, 15, 11/24, 76, 79/4;</w:t>
      </w:r>
    </w:p>
    <w:p w:rsidR="00C67589">
      <w:pPr>
        <w:suppressAutoHyphens w:val="0"/>
        <w:spacing w:line="360" w:lineRule="auto"/>
        <w:jc w:val="both"/>
        <w:rPr>
          <w:sz w:val="24"/>
          <w:szCs w:val="24"/>
        </w:rPr>
      </w:pPr>
      <w:r>
        <w:rPr>
          <w:b/>
          <w:bCs/>
          <w:sz w:val="24"/>
          <w:szCs w:val="24"/>
        </w:rPr>
        <w:t>Obręb 25 Syberia:</w:t>
      </w:r>
      <w:r>
        <w:rPr>
          <w:sz w:val="24"/>
          <w:szCs w:val="24"/>
        </w:rPr>
        <w:t xml:space="preserve"> 263.</w:t>
      </w:r>
    </w:p>
    <w:p w:rsidR="00C67589">
      <w:pPr>
        <w:suppressAutoHyphens w:val="0"/>
        <w:spacing w:before="113" w:after="170" w:line="360" w:lineRule="auto"/>
        <w:jc w:val="both"/>
        <w:rPr>
          <w:sz w:val="24"/>
          <w:szCs w:val="24"/>
        </w:rPr>
      </w:pPr>
      <w:r>
        <w:rPr>
          <w:b/>
          <w:bCs/>
          <w:sz w:val="24"/>
          <w:szCs w:val="24"/>
          <w:u w:val="single"/>
        </w:rPr>
        <w:t>Miasto Brzeziny</w:t>
      </w:r>
    </w:p>
    <w:p w:rsidR="00C67589">
      <w:pPr>
        <w:suppressAutoHyphens w:val="0"/>
        <w:spacing w:line="360" w:lineRule="auto"/>
        <w:jc w:val="both"/>
        <w:rPr>
          <w:sz w:val="24"/>
          <w:szCs w:val="24"/>
        </w:rPr>
      </w:pPr>
      <w:r>
        <w:rPr>
          <w:b/>
          <w:bCs/>
          <w:sz w:val="24"/>
          <w:szCs w:val="24"/>
        </w:rPr>
        <w:t>Obręb 3:</w:t>
      </w:r>
      <w:r>
        <w:rPr>
          <w:sz w:val="24"/>
          <w:szCs w:val="24"/>
        </w:rPr>
        <w:t xml:space="preserve"> 479, 482, 971/1, 481, 484/6, 487/2, 546, 547, 549, 447, 478/3, 608;</w:t>
      </w:r>
    </w:p>
    <w:p w:rsidR="00C67589">
      <w:pPr>
        <w:suppressAutoHyphens w:val="0"/>
        <w:spacing w:line="360" w:lineRule="auto"/>
        <w:jc w:val="both"/>
        <w:rPr>
          <w:sz w:val="24"/>
          <w:szCs w:val="24"/>
        </w:rPr>
      </w:pPr>
      <w:r>
        <w:rPr>
          <w:b/>
          <w:bCs/>
          <w:sz w:val="24"/>
          <w:szCs w:val="24"/>
        </w:rPr>
        <w:t>Obręb 2:</w:t>
      </w:r>
      <w:r>
        <w:rPr>
          <w:sz w:val="24"/>
          <w:szCs w:val="24"/>
        </w:rPr>
        <w:t xml:space="preserve"> 255/1, 261, 84, 58, 206/2, 200, 195/3, 75, 192/2, 208/2, 54, 53, 267, 93, 56, 78, 199, 82, 269;</w:t>
      </w:r>
    </w:p>
    <w:p w:rsidR="00C67589">
      <w:pPr>
        <w:suppressAutoHyphens w:val="0"/>
        <w:spacing w:line="360" w:lineRule="auto"/>
        <w:jc w:val="both"/>
        <w:rPr>
          <w:sz w:val="24"/>
          <w:szCs w:val="24"/>
        </w:rPr>
      </w:pPr>
      <w:r>
        <w:rPr>
          <w:b/>
          <w:bCs/>
          <w:sz w:val="24"/>
          <w:szCs w:val="24"/>
        </w:rPr>
        <w:t>Obręb 1:</w:t>
      </w:r>
      <w:r>
        <w:rPr>
          <w:sz w:val="24"/>
          <w:szCs w:val="24"/>
        </w:rPr>
        <w:t xml:space="preserve"> 74, 75/1, 222, 207/2, 76, 142, 202, 221, 220, 224, 223, 217, 214, 215, 213, 211, 281, 143/5, 144/4, 144/6, 201, 219, 276;</w:t>
      </w:r>
    </w:p>
    <w:p w:rsidR="00C67589">
      <w:pPr>
        <w:suppressAutoHyphens w:val="0"/>
        <w:spacing w:after="170" w:line="360" w:lineRule="auto"/>
        <w:jc w:val="both"/>
        <w:rPr>
          <w:sz w:val="24"/>
          <w:szCs w:val="24"/>
        </w:rPr>
      </w:pPr>
      <w:r>
        <w:rPr>
          <w:rFonts w:eastAsia="NSimSun" w:cs="Courier New"/>
          <w:b/>
          <w:bCs/>
          <w:color w:val="000000"/>
          <w:sz w:val="24"/>
          <w:szCs w:val="24"/>
        </w:rPr>
        <w:t>Obręb 5:</w:t>
      </w:r>
      <w:r>
        <w:rPr>
          <w:rFonts w:eastAsia="NSimSun" w:cs="Courier New"/>
          <w:color w:val="000000"/>
          <w:sz w:val="24"/>
          <w:szCs w:val="24"/>
        </w:rPr>
        <w:t xml:space="preserve"> 1271/1, 1201, 1198/1, 1192/1, 1215, 1202/1, 1173/3, 1211, 1203, 1183, 1182/2, 1174, 1191/1, 1204, 1172/2, 1205, 1208/2, 1213/2, 1240/2;</w:t>
      </w:r>
    </w:p>
    <w:p w:rsidR="00C67589">
      <w:pPr>
        <w:spacing w:line="348" w:lineRule="auto"/>
        <w:jc w:val="both"/>
        <w:rPr>
          <w:sz w:val="24"/>
          <w:szCs w:val="24"/>
        </w:rPr>
      </w:pPr>
      <w:r>
        <w:rPr>
          <w:rFonts w:eastAsia="NSimSun"/>
          <w:color w:val="000000"/>
          <w:sz w:val="24"/>
          <w:szCs w:val="24"/>
        </w:rPr>
        <w:t xml:space="preserve">w celu wykonania badań podłoża gruntowego dla zrealizowania pełnego zakresu prac terenowych: geologicznych, geotechnicznych i geofizycznych, </w:t>
      </w:r>
      <w:bookmarkStart w:id="2" w:name="__DdeLink__338_2990523897"/>
      <w:r>
        <w:rPr>
          <w:rFonts w:eastAsia="NSimSun"/>
          <w:color w:val="000000"/>
          <w:sz w:val="24"/>
          <w:szCs w:val="24"/>
        </w:rPr>
        <w:t>w tym objętych Programem Badań Geotechnicznych wraz z Programem Badań Geofizycznych</w:t>
      </w:r>
      <w:bookmarkEnd w:id="2"/>
      <w:r>
        <w:rPr>
          <w:rFonts w:eastAsia="NSimSun"/>
          <w:color w:val="000000"/>
          <w:sz w:val="24"/>
          <w:szCs w:val="24"/>
        </w:rPr>
        <w:t xml:space="preserve"> dla projektu pn. „Budowa linii kolejowej Nr 85 na odc. Warszawa Zachodnia-CPK-Łódź </w:t>
      </w:r>
      <w:r>
        <w:rPr>
          <w:rFonts w:eastAsia="NSimSun"/>
          <w:color w:val="000000"/>
          <w:sz w:val="24"/>
          <w:szCs w:val="24"/>
        </w:rPr>
        <w:t>Niciarniana</w:t>
      </w:r>
      <w:r>
        <w:rPr>
          <w:rFonts w:eastAsia="NSimSun"/>
          <w:color w:val="000000"/>
          <w:sz w:val="24"/>
          <w:szCs w:val="24"/>
        </w:rPr>
        <w:t xml:space="preserve"> bez odcinka w obrębie Węzła kolejowego CPK”</w:t>
      </w:r>
      <w:r>
        <w:rPr>
          <w:sz w:val="24"/>
          <w:szCs w:val="24"/>
        </w:rPr>
        <w:t xml:space="preserve">. </w:t>
      </w:r>
    </w:p>
    <w:p w:rsidR="00C67589">
      <w:pPr>
        <w:spacing w:before="120" w:line="360" w:lineRule="auto"/>
        <w:jc w:val="center"/>
        <w:rPr>
          <w:sz w:val="24"/>
          <w:szCs w:val="24"/>
        </w:rPr>
      </w:pPr>
      <w:r>
        <w:rPr>
          <w:b/>
          <w:bCs/>
          <w:sz w:val="24"/>
          <w:szCs w:val="24"/>
        </w:rPr>
        <w:t xml:space="preserve">1. Zakres korzystania z nieruchomości </w:t>
      </w:r>
    </w:p>
    <w:p w:rsidR="00C67589">
      <w:pPr>
        <w:pStyle w:val="WW-Listawypunktowana3"/>
        <w:widowControl w:val="0"/>
        <w:tabs>
          <w:tab w:val="left" w:pos="-30936"/>
          <w:tab w:val="left" w:pos="-30792"/>
        </w:tabs>
        <w:spacing w:before="120"/>
        <w:ind w:left="0" w:firstLine="567"/>
        <w:rPr>
          <w:szCs w:val="24"/>
        </w:rPr>
      </w:pPr>
      <w:r>
        <w:rPr>
          <w:szCs w:val="24"/>
        </w:rPr>
        <w:t xml:space="preserve">Określam nieruchomości lub ich części objęte zezwoleniem na wejście na ich teren, oznaczone linią ciągłą koloru żółtego, zaznaczone na 192 mapach sytuacyjnych, zawartych w 25 plikach PDF, stanowiących załączniki do niniejszej decyzji. Zajęcie terenu w obrębie wskazanych nieruchomości będzie ograniczone do punktu badawczego wraz z terenem niezbędnym do pracy sprzętu mechanicznego oraz drogi dojazdowej do badanego punktu. Lokalizacja drogi dojazdowej do miejsc przeprowadzanych badań geologicznych, </w:t>
      </w:r>
      <w:r>
        <w:rPr>
          <w:szCs w:val="24"/>
        </w:rPr>
        <w:t xml:space="preserve">geotechnicznych i geofizycznych zostanie wyznaczona przez wykonawcę badań w terenie, z uwzględnieniem aktualnego sposobu zagospodarowania działki, możliwości najkrótszego dojazdu do punktu badawczego, a w szczególności w sposób ograniczający powstanie szkody na nieruchomości. </w:t>
      </w:r>
    </w:p>
    <w:p w:rsidR="00C67589">
      <w:pPr>
        <w:widowControl w:val="0"/>
        <w:tabs>
          <w:tab w:val="left" w:pos="3926"/>
          <w:tab w:val="left" w:pos="4093"/>
          <w:tab w:val="left" w:pos="4661"/>
        </w:tabs>
        <w:spacing w:before="120" w:line="360" w:lineRule="auto"/>
        <w:ind w:left="431" w:hanging="431"/>
        <w:jc w:val="center"/>
        <w:rPr>
          <w:sz w:val="24"/>
          <w:szCs w:val="24"/>
        </w:rPr>
      </w:pPr>
      <w:r>
        <w:rPr>
          <w:b/>
          <w:bCs/>
          <w:sz w:val="24"/>
          <w:szCs w:val="24"/>
        </w:rPr>
        <w:t xml:space="preserve">2. Sposób korzystania z nieruchomości </w:t>
      </w:r>
    </w:p>
    <w:p w:rsidR="00C67589">
      <w:pPr>
        <w:spacing w:before="120" w:line="360" w:lineRule="auto"/>
        <w:ind w:firstLine="567"/>
        <w:jc w:val="both"/>
        <w:rPr>
          <w:sz w:val="24"/>
          <w:szCs w:val="24"/>
        </w:rPr>
      </w:pPr>
      <w:r>
        <w:rPr>
          <w:sz w:val="24"/>
          <w:szCs w:val="24"/>
        </w:rPr>
        <w:t xml:space="preserve">Określam sposób korzystania z nieruchomości, polegający na </w:t>
      </w:r>
      <w:r>
        <w:rPr>
          <w:color w:val="000000"/>
          <w:sz w:val="24"/>
          <w:szCs w:val="24"/>
        </w:rPr>
        <w:t xml:space="preserve">wykonaniu czynności niezbędnych </w:t>
      </w:r>
      <w:r>
        <w:rPr>
          <w:rFonts w:eastAsia="NSimSun" w:cs="Courier New"/>
          <w:color w:val="000000"/>
          <w:sz w:val="24"/>
          <w:szCs w:val="24"/>
        </w:rPr>
        <w:t xml:space="preserve">w celu wykonania badań podłoża gruntowego dla zrealizowania pełnego zakresu prac terenowych: geologicznych, geotechnicznych i geofizycznych, </w:t>
      </w:r>
      <w:bookmarkStart w:id="3" w:name="__DdeLink__338_29905238971"/>
      <w:r>
        <w:rPr>
          <w:rFonts w:eastAsia="NSimSun" w:cs="Courier New"/>
          <w:color w:val="000000"/>
          <w:sz w:val="24"/>
          <w:szCs w:val="24"/>
        </w:rPr>
        <w:t>w tym objętych Programem Badań Geotechnicznych wraz z Programem Badań Geofizycznych</w:t>
      </w:r>
      <w:bookmarkEnd w:id="3"/>
      <w:r>
        <w:rPr>
          <w:rFonts w:eastAsia="NSimSun" w:cs="Courier New"/>
          <w:color w:val="000000"/>
          <w:sz w:val="24"/>
          <w:szCs w:val="24"/>
        </w:rPr>
        <w:t xml:space="preserve"> dla projektu pn. „Budowa linii kolejowej Nr 85 na odc. Warszawa Zachodnia-CPK-Łódź </w:t>
      </w:r>
      <w:r>
        <w:rPr>
          <w:rFonts w:eastAsia="NSimSun" w:cs="Courier New"/>
          <w:color w:val="000000"/>
          <w:sz w:val="24"/>
          <w:szCs w:val="24"/>
        </w:rPr>
        <w:t>Niciarniana</w:t>
      </w:r>
      <w:r>
        <w:rPr>
          <w:rFonts w:eastAsia="NSimSun" w:cs="Courier New"/>
          <w:color w:val="000000"/>
          <w:sz w:val="24"/>
          <w:szCs w:val="24"/>
        </w:rPr>
        <w:t xml:space="preserve"> bez odcinka w obrębie Węzła kolejowego CPK”</w:t>
      </w:r>
      <w:r>
        <w:rPr>
          <w:sz w:val="24"/>
          <w:szCs w:val="24"/>
        </w:rPr>
        <w:t xml:space="preserve">. </w:t>
      </w:r>
    </w:p>
    <w:p w:rsidR="00C67589">
      <w:pPr>
        <w:spacing w:line="360" w:lineRule="auto"/>
        <w:ind w:firstLine="567"/>
        <w:jc w:val="both"/>
        <w:rPr>
          <w:sz w:val="24"/>
          <w:szCs w:val="24"/>
        </w:rPr>
      </w:pPr>
      <w:r>
        <w:rPr>
          <w:sz w:val="24"/>
          <w:szCs w:val="24"/>
        </w:rPr>
        <w:t xml:space="preserve">Dopuszcza się zmianę lokalizacji punktu badawczego w obrębie tej samej nieruchomości, jeżeli będzie to uzasadnione utrudnionym dojazdem do miejsca wykonania badań, ograniczeniem powstania szkody na działce lub jeśli potrzeba taka będzie wynikała z Programu Badań Geotechnicznych wraz z Programem Badań Geofizycznych. </w:t>
      </w:r>
    </w:p>
    <w:p w:rsidR="00C67589">
      <w:pPr>
        <w:spacing w:line="360" w:lineRule="auto"/>
        <w:ind w:firstLine="567"/>
        <w:jc w:val="both"/>
        <w:rPr>
          <w:sz w:val="24"/>
          <w:szCs w:val="24"/>
        </w:rPr>
      </w:pPr>
      <w:r>
        <w:rPr>
          <w:color w:val="000000"/>
          <w:sz w:val="24"/>
          <w:szCs w:val="24"/>
        </w:rPr>
        <w:t xml:space="preserve">Inwestor, tj. Centralny Port Komunikacyjny Sp. z o.o., </w:t>
      </w:r>
      <w:r>
        <w:rPr>
          <w:sz w:val="24"/>
          <w:szCs w:val="24"/>
        </w:rPr>
        <w:t xml:space="preserve">po zakończeniu czynności, o których mowa w punkcie 2 niniejszej decyzji, </w:t>
      </w:r>
      <w:r>
        <w:rPr>
          <w:rFonts w:eastAsia="Arial Unicode MS"/>
          <w:sz w:val="24"/>
          <w:szCs w:val="24"/>
        </w:rPr>
        <w:t>jest obowiąz</w:t>
      </w:r>
      <w:r>
        <w:rPr>
          <w:sz w:val="24"/>
          <w:szCs w:val="24"/>
        </w:rPr>
        <w:t xml:space="preserve">any przywrócić nieruchomość do stanu poprzedniego. Jeżeli przywrócenie nieruchomości do stanu poprzedniego nie jest możliwe, właścicielom lub użytkownikom wieczystym nieruchomości przysługuje odszkodowanie (art. 120h ust. 1 </w:t>
      </w:r>
      <w:r>
        <w:rPr>
          <w:iCs/>
          <w:sz w:val="24"/>
          <w:szCs w:val="24"/>
        </w:rPr>
        <w:t>spec</w:t>
      </w:r>
      <w:r>
        <w:rPr>
          <w:sz w:val="24"/>
          <w:szCs w:val="24"/>
        </w:rPr>
        <w:t xml:space="preserve">ustawy CPK). </w:t>
      </w:r>
    </w:p>
    <w:p w:rsidR="00C67589">
      <w:pPr>
        <w:spacing w:line="360" w:lineRule="auto"/>
        <w:ind w:firstLine="567"/>
        <w:jc w:val="both"/>
        <w:rPr>
          <w:sz w:val="24"/>
          <w:szCs w:val="24"/>
        </w:rPr>
      </w:pPr>
      <w:r>
        <w:rPr>
          <w:sz w:val="24"/>
          <w:szCs w:val="24"/>
          <w:shd w:val="clear" w:color="auto" w:fill="FFFFFF"/>
        </w:rPr>
        <w:t xml:space="preserve">Decyzję w zakresie odszkodowania wydaje wojewoda. Obowiązek zapłaty odszkodowania obciąża inwestora Inwestycji Towarzyszącej, który może na podstawie odrębnego porozumienia zawartego z wojewodą, pokryć koszty powstałe w związku z ustaleniem wysokości odszkodowań (art. 120h ust. 3 </w:t>
      </w:r>
      <w:r>
        <w:rPr>
          <w:iCs/>
          <w:sz w:val="24"/>
          <w:szCs w:val="24"/>
          <w:shd w:val="clear" w:color="auto" w:fill="FFFFFF"/>
        </w:rPr>
        <w:t>spec</w:t>
      </w:r>
      <w:r>
        <w:rPr>
          <w:sz w:val="24"/>
          <w:szCs w:val="24"/>
          <w:shd w:val="clear" w:color="auto" w:fill="FFFFFF"/>
        </w:rPr>
        <w:t xml:space="preserve">ustawy CPK). </w:t>
      </w:r>
    </w:p>
    <w:p w:rsidR="00C67589">
      <w:pPr>
        <w:spacing w:line="360" w:lineRule="auto"/>
        <w:ind w:firstLine="567"/>
        <w:jc w:val="both"/>
      </w:pPr>
      <w:r>
        <w:rPr>
          <w:sz w:val="24"/>
          <w:szCs w:val="24"/>
          <w:shd w:val="clear" w:color="auto" w:fill="FFFFFF"/>
        </w:rPr>
        <w:t xml:space="preserve">Odszkodowanie powinno odpowiadać wartości poniesionych szkód oraz uwzględniać brak dostępu do nieruchomości lub jej części w czasie wykonywania czynności, o których mowa w </w:t>
      </w:r>
      <w:r>
        <w:rPr>
          <w:rStyle w:val="czeinternetowe"/>
          <w:color w:val="auto"/>
          <w:sz w:val="24"/>
          <w:szCs w:val="24"/>
          <w:highlight w:val="white"/>
          <w:u w:val="none"/>
        </w:rPr>
        <w:t>art. 120g</w:t>
      </w:r>
      <w:r>
        <w:rPr>
          <w:sz w:val="24"/>
          <w:szCs w:val="24"/>
          <w:shd w:val="clear" w:color="auto" w:fill="FFFFFF"/>
        </w:rPr>
        <w:t xml:space="preserve"> specustawy CPK. Jeżeli wskutek poniesionych szkód zmniejszy się wartość nieruchomości, w odszkodowaniu uwzględnia się kwotę odpowiadającą temu zmniejszeniu. (art. 120h ust. 2 </w:t>
      </w:r>
      <w:r>
        <w:rPr>
          <w:iCs/>
          <w:sz w:val="24"/>
          <w:szCs w:val="24"/>
          <w:shd w:val="clear" w:color="auto" w:fill="FFFFFF"/>
        </w:rPr>
        <w:t>spec</w:t>
      </w:r>
      <w:r>
        <w:rPr>
          <w:sz w:val="24"/>
          <w:szCs w:val="24"/>
          <w:shd w:val="clear" w:color="auto" w:fill="FFFFFF"/>
        </w:rPr>
        <w:t>ustawy CPK).</w:t>
      </w:r>
    </w:p>
    <w:p w:rsidR="00C67589">
      <w:pPr>
        <w:spacing w:before="120" w:line="360" w:lineRule="auto"/>
        <w:jc w:val="center"/>
        <w:rPr>
          <w:sz w:val="24"/>
          <w:szCs w:val="24"/>
        </w:rPr>
      </w:pPr>
      <w:r>
        <w:rPr>
          <w:b/>
          <w:bCs/>
          <w:sz w:val="24"/>
          <w:szCs w:val="24"/>
        </w:rPr>
        <w:t>3. Termin korzystania z nieruchomości</w:t>
      </w:r>
    </w:p>
    <w:p w:rsidR="00C67589">
      <w:pPr>
        <w:pStyle w:val="WW-Listawypunktowana3"/>
        <w:widowControl w:val="0"/>
        <w:tabs>
          <w:tab w:val="left" w:pos="-30936"/>
          <w:tab w:val="left" w:pos="-30792"/>
        </w:tabs>
        <w:spacing w:before="120"/>
        <w:ind w:left="0" w:firstLine="567"/>
        <w:rPr>
          <w:szCs w:val="24"/>
        </w:rPr>
      </w:pPr>
      <w:r>
        <w:rPr>
          <w:szCs w:val="24"/>
        </w:rPr>
        <w:t>Określam termin korzystania z nieruchomości do dnia 17 grudnia 2024 r. w celu wykonania czynności, o których mowa w punkcie 2 niniejszej decyzji.</w:t>
      </w:r>
    </w:p>
    <w:p w:rsidR="00C67589">
      <w:pPr>
        <w:pStyle w:val="WW-Listawypunktowana3"/>
        <w:widowControl w:val="0"/>
        <w:tabs>
          <w:tab w:val="left" w:pos="-30936"/>
          <w:tab w:val="left" w:pos="-30792"/>
        </w:tabs>
        <w:spacing w:before="120"/>
        <w:ind w:left="0" w:firstLine="567"/>
        <w:rPr>
          <w:szCs w:val="24"/>
        </w:rPr>
      </w:pPr>
    </w:p>
    <w:p w:rsidR="00C67589">
      <w:pPr>
        <w:spacing w:before="120" w:line="360" w:lineRule="auto"/>
        <w:jc w:val="center"/>
        <w:rPr>
          <w:sz w:val="24"/>
          <w:szCs w:val="24"/>
        </w:rPr>
      </w:pPr>
      <w:r>
        <w:rPr>
          <w:b/>
          <w:bCs/>
          <w:sz w:val="24"/>
          <w:szCs w:val="24"/>
        </w:rPr>
        <w:t>4. Termin ważności decyzji</w:t>
      </w:r>
    </w:p>
    <w:p w:rsidR="00C67589">
      <w:pPr>
        <w:pStyle w:val="WW-Listawypunktowana3"/>
        <w:widowControl w:val="0"/>
        <w:tabs>
          <w:tab w:val="left" w:pos="-30936"/>
          <w:tab w:val="left" w:pos="-30792"/>
        </w:tabs>
        <w:spacing w:before="120"/>
        <w:ind w:left="0" w:firstLine="567"/>
        <w:rPr>
          <w:szCs w:val="24"/>
        </w:rPr>
      </w:pPr>
      <w:r>
        <w:rPr>
          <w:szCs w:val="24"/>
        </w:rPr>
        <w:t xml:space="preserve">Niniejsza decyzja jest ważna do dnia 17 czerwca 2027 r. (art. 120g ust. 8 </w:t>
      </w:r>
      <w:r>
        <w:rPr>
          <w:iCs/>
          <w:szCs w:val="24"/>
        </w:rPr>
        <w:t>spec</w:t>
      </w:r>
      <w:r>
        <w:rPr>
          <w:szCs w:val="24"/>
        </w:rPr>
        <w:t>ustawy CPK).</w:t>
      </w:r>
    </w:p>
    <w:p w:rsidR="00C67589">
      <w:pPr>
        <w:spacing w:before="120" w:line="360" w:lineRule="auto"/>
        <w:jc w:val="center"/>
        <w:rPr>
          <w:sz w:val="24"/>
          <w:szCs w:val="24"/>
        </w:rPr>
      </w:pPr>
      <w:r>
        <w:rPr>
          <w:b/>
          <w:color w:val="000000"/>
          <w:sz w:val="24"/>
          <w:szCs w:val="24"/>
        </w:rPr>
        <w:t>5. Wykonalność decyzji</w:t>
      </w:r>
    </w:p>
    <w:p w:rsidR="00C67589">
      <w:pPr>
        <w:pStyle w:val="WW-Listawypunktowana3"/>
        <w:widowControl w:val="0"/>
        <w:tabs>
          <w:tab w:val="left" w:pos="-30936"/>
          <w:tab w:val="left" w:pos="-30792"/>
          <w:tab w:val="left" w:pos="0"/>
        </w:tabs>
        <w:spacing w:before="120"/>
        <w:ind w:left="0" w:firstLine="567"/>
        <w:rPr>
          <w:szCs w:val="24"/>
        </w:rPr>
      </w:pPr>
      <w:r>
        <w:rPr>
          <w:szCs w:val="24"/>
        </w:rPr>
        <w:t>Nadaję niniejszej decyzji rygor natychmiastowej wykonalności</w:t>
      </w:r>
      <w:r>
        <w:rPr>
          <w:color w:val="000000"/>
          <w:szCs w:val="24"/>
        </w:rPr>
        <w:t xml:space="preserve"> (art. 120g ust. 8 specustawy CPK).</w:t>
      </w:r>
    </w:p>
    <w:p w:rsidR="00C67589">
      <w:pPr>
        <w:pStyle w:val="Tekstpodstawowywcity31"/>
        <w:spacing w:before="60" w:after="120" w:line="360" w:lineRule="auto"/>
        <w:ind w:left="0"/>
        <w:jc w:val="center"/>
        <w:rPr>
          <w:rFonts w:ascii="Times New Roman" w:hAnsi="Times New Roman" w:cs="Times New Roman"/>
          <w:b/>
          <w:color w:val="000000" w:themeColor="text1"/>
          <w:szCs w:val="24"/>
        </w:rPr>
      </w:pPr>
    </w:p>
    <w:p w:rsidR="00C67589">
      <w:pPr>
        <w:pStyle w:val="Tekstpodstawowywcity31"/>
        <w:spacing w:before="60" w:after="120" w:line="360" w:lineRule="auto"/>
        <w:ind w:left="0"/>
        <w:jc w:val="center"/>
        <w:rPr>
          <w:szCs w:val="24"/>
        </w:rPr>
      </w:pPr>
      <w:r>
        <w:rPr>
          <w:rFonts w:ascii="Times New Roman" w:hAnsi="Times New Roman" w:cs="Times New Roman"/>
          <w:b/>
          <w:color w:val="000000" w:themeColor="text1"/>
          <w:szCs w:val="24"/>
        </w:rPr>
        <w:t xml:space="preserve">II. Umarzam w części przedmiotowe postępowanie </w:t>
      </w:r>
    </w:p>
    <w:p w:rsidR="00C67589">
      <w:pPr>
        <w:spacing w:line="348" w:lineRule="auto"/>
        <w:jc w:val="both"/>
      </w:pPr>
      <w:r>
        <w:rPr>
          <w:color w:val="000000"/>
          <w:sz w:val="24"/>
          <w:szCs w:val="24"/>
        </w:rPr>
        <w:t xml:space="preserve">w zakresie działki o numerze ewidencyjnym 8, położonej </w:t>
      </w:r>
      <w:r>
        <w:rPr>
          <w:rFonts w:eastAsia="NSimSun" w:cs="Courier New"/>
          <w:color w:val="000000"/>
          <w:sz w:val="24"/>
          <w:szCs w:val="24"/>
        </w:rPr>
        <w:t xml:space="preserve">w obrębie geodezyjnym 11 Helenów, </w:t>
      </w:r>
      <w:bookmarkStart w:id="4" w:name="__DdeLink__878_290806649611"/>
      <w:r>
        <w:rPr>
          <w:rFonts w:eastAsia="NSimSun" w:cs="Courier New"/>
          <w:color w:val="000000"/>
          <w:sz w:val="24"/>
          <w:szCs w:val="24"/>
        </w:rPr>
        <w:t>w </w:t>
      </w:r>
      <w:bookmarkEnd w:id="4"/>
      <w:r>
        <w:rPr>
          <w:rFonts w:eastAsia="NSimSun" w:cs="Courier New"/>
          <w:color w:val="000000"/>
          <w:sz w:val="24"/>
          <w:szCs w:val="24"/>
        </w:rPr>
        <w:t xml:space="preserve">Gminie Brzeziny, w powiecie brzezińskim, </w:t>
      </w:r>
      <w:r>
        <w:rPr>
          <w:color w:val="000000"/>
          <w:sz w:val="24"/>
          <w:szCs w:val="24"/>
        </w:rPr>
        <w:t>w województwie łódzkim.</w:t>
      </w:r>
    </w:p>
    <w:p w:rsidR="00C67589">
      <w:pPr>
        <w:keepNext/>
        <w:tabs>
          <w:tab w:val="left" w:pos="0"/>
        </w:tabs>
        <w:spacing w:before="240" w:line="360" w:lineRule="auto"/>
        <w:jc w:val="center"/>
        <w:outlineLvl w:val="0"/>
        <w:rPr>
          <w:sz w:val="24"/>
          <w:szCs w:val="24"/>
        </w:rPr>
      </w:pPr>
      <w:r>
        <w:rPr>
          <w:b/>
          <w:bCs/>
          <w:sz w:val="24"/>
          <w:szCs w:val="24"/>
        </w:rPr>
        <w:t xml:space="preserve">UZASADNIENIE </w:t>
      </w:r>
    </w:p>
    <w:p w:rsidR="00C67589">
      <w:pPr>
        <w:spacing w:before="120" w:line="348" w:lineRule="auto"/>
        <w:ind w:firstLine="709"/>
        <w:jc w:val="both"/>
        <w:rPr>
          <w:sz w:val="24"/>
          <w:szCs w:val="24"/>
        </w:rPr>
      </w:pPr>
      <w:r>
        <w:rPr>
          <w:sz w:val="24"/>
          <w:szCs w:val="24"/>
        </w:rPr>
        <w:t xml:space="preserve">Na wstępie należy wyjaśnić charakter – wydanej właśnie przez tutejszy organ – decyzji o zezwoleniu na wejście na teren nieruchomości lub jej części, o której mowa w art. 120g ust. 3 i ust. 5 specustawy CPK. </w:t>
      </w:r>
    </w:p>
    <w:p w:rsidR="00C67589">
      <w:pPr>
        <w:spacing w:line="348" w:lineRule="auto"/>
        <w:ind w:firstLine="709"/>
        <w:jc w:val="both"/>
        <w:rPr>
          <w:sz w:val="24"/>
          <w:szCs w:val="24"/>
        </w:rPr>
      </w:pPr>
      <w:r>
        <w:rPr>
          <w:sz w:val="24"/>
          <w:szCs w:val="24"/>
        </w:rPr>
        <w:t xml:space="preserve">Jednym z podziałów decyzji administracyjnych – występującym zarówno w doktrynie procedury administracyjnej, jak i w orzecznictwie sądów administracyjnych – jest rozróżnienie na decyzje uznaniowe oraz decyzje związane. </w:t>
      </w:r>
    </w:p>
    <w:p w:rsidR="00C67589">
      <w:pPr>
        <w:spacing w:line="348" w:lineRule="auto"/>
        <w:ind w:firstLine="709"/>
        <w:jc w:val="both"/>
        <w:rPr>
          <w:sz w:val="24"/>
          <w:szCs w:val="24"/>
        </w:rPr>
      </w:pPr>
      <w:r>
        <w:rPr>
          <w:sz w:val="24"/>
          <w:szCs w:val="24"/>
        </w:rPr>
        <w:t xml:space="preserve">W przypadku decyzji uznaniowej jest ona podejmowana przez organ w ramach tzw. uznania administracyjnego. Oznacza to, że organ administracyjny może podjąć w sprawie rozstrzygnięcie, ale nie ma nakazu ustalenia określonej treści. W konsekwencji może przyznać wnioskowane uprawnienie lub odmówić jego przyznania, czy też przyznać je w innym rozmiarze/zakresie. </w:t>
      </w:r>
    </w:p>
    <w:p w:rsidR="00C67589">
      <w:pPr>
        <w:spacing w:line="348" w:lineRule="auto"/>
        <w:ind w:firstLine="709"/>
        <w:jc w:val="both"/>
        <w:rPr>
          <w:sz w:val="24"/>
          <w:szCs w:val="24"/>
        </w:rPr>
      </w:pPr>
      <w:r>
        <w:rPr>
          <w:sz w:val="24"/>
          <w:szCs w:val="24"/>
        </w:rPr>
        <w:t xml:space="preserve">Natomiast decyzja związana oznacza sytuację wydania decyzji, której sam fakt wydania oraz treść jest ściśle określona przepisami prawa, a proces oceny organu administracji jest ograniczony do minimum. Wydający decyzję sprawdza jedynie, czy są spełnione przesłanki wydania decyzji – jeśli tak, to decyzję wydaje. </w:t>
      </w:r>
    </w:p>
    <w:p w:rsidR="00C67589">
      <w:pPr>
        <w:spacing w:line="348" w:lineRule="auto"/>
        <w:ind w:firstLine="709"/>
        <w:jc w:val="both"/>
        <w:rPr>
          <w:sz w:val="24"/>
          <w:szCs w:val="24"/>
        </w:rPr>
      </w:pPr>
      <w:r>
        <w:rPr>
          <w:sz w:val="24"/>
          <w:szCs w:val="24"/>
        </w:rPr>
        <w:t xml:space="preserve">Wyraźnie podkreślić należy, że w omawianym przypadku decyzji o zezwoleniu na wejście na teren nieruchomości lub jej części mamy do czynienia z decyzją związaną. Oznacza to, że organ wydający niniejszą decyzję był zobowiązany do jej wydania po stwierdzeniu zaistnienia przesłanek wskazanych przez ustawodawcę w specustawie CPK (m.in. wniosek inwestora powinien spełniać określone wymogi, jak również powinien być złożony po uprzednim wystąpieniu przez inwestora do właścicieli lub użytkowników wieczystych nieruchomości objętych wnioskiem, o zgodę na wejście na teren nieruchomości). </w:t>
      </w:r>
      <w:r>
        <w:rPr>
          <w:sz w:val="24"/>
          <w:szCs w:val="24"/>
        </w:rPr>
        <w:t xml:space="preserve">Co więcej, tutejszy organ zobowiązany był do wydania decyzji przyznającej inwestorowi wnioskowane przez niego uprawnienia w zakresie, w jakim zostały określone w specustawie CPK oraz we wniosku inwestora, o którym mowa poniżej. </w:t>
      </w:r>
    </w:p>
    <w:p w:rsidR="00C67589">
      <w:pPr>
        <w:spacing w:line="348" w:lineRule="auto"/>
        <w:ind w:firstLine="709"/>
        <w:jc w:val="both"/>
        <w:rPr>
          <w:sz w:val="24"/>
          <w:szCs w:val="24"/>
        </w:rPr>
      </w:pPr>
      <w:r>
        <w:rPr>
          <w:sz w:val="24"/>
          <w:szCs w:val="24"/>
        </w:rPr>
        <w:t>Wnioskiem z</w:t>
      </w:r>
      <w:r>
        <w:rPr>
          <w:rFonts w:eastAsia="Arial Unicode MS"/>
          <w:sz w:val="24"/>
          <w:szCs w:val="24"/>
        </w:rPr>
        <w:t xml:space="preserve"> dnia 12.12.2023 r. inwestor, tj. Centralny Port Komunikacyjny Sp. z o.o.</w:t>
      </w:r>
      <w:r>
        <w:rPr>
          <w:rFonts w:eastAsia="Arial Unicode MS"/>
          <w:color w:val="000000"/>
          <w:sz w:val="24"/>
          <w:szCs w:val="24"/>
        </w:rPr>
        <w:t xml:space="preserve">, reprezentowany przez pełnomocnika, wystąpił do tutejszego organu o wydanie decyzji o zezwoleniu na wejście na teren nieruchomości lub ich części </w:t>
      </w:r>
      <w:r>
        <w:rPr>
          <w:rFonts w:eastAsia="NSimSun" w:cs="Courier New"/>
          <w:color w:val="000000"/>
          <w:sz w:val="24"/>
          <w:szCs w:val="24"/>
        </w:rPr>
        <w:t xml:space="preserve">w celu wykonania badań podłoża gruntowego dla zrealizowania pełnego zakresu prac terenowych: geologicznych, geotechnicznych i geofizycznych, </w:t>
      </w:r>
      <w:bookmarkStart w:id="5" w:name="__DdeLink__338_29905238972"/>
      <w:r>
        <w:rPr>
          <w:rFonts w:eastAsia="NSimSun" w:cs="Courier New"/>
          <w:color w:val="000000"/>
          <w:sz w:val="24"/>
          <w:szCs w:val="24"/>
        </w:rPr>
        <w:t>w tym objętych Programem Badań Geotechnicznych wraz z Programem Badań Geofizycznych</w:t>
      </w:r>
      <w:bookmarkEnd w:id="5"/>
      <w:r>
        <w:rPr>
          <w:rFonts w:eastAsia="NSimSun" w:cs="Courier New"/>
          <w:color w:val="000000"/>
          <w:sz w:val="24"/>
          <w:szCs w:val="24"/>
        </w:rPr>
        <w:t xml:space="preserve"> dla projektu pn. „Budowa linii kolejowej Nr 85 na odc. Warszawa Zachodnia-CPK-Łódź </w:t>
      </w:r>
      <w:r>
        <w:rPr>
          <w:rFonts w:eastAsia="NSimSun" w:cs="Courier New"/>
          <w:color w:val="000000"/>
          <w:sz w:val="24"/>
          <w:szCs w:val="24"/>
        </w:rPr>
        <w:t>Niciarniana</w:t>
      </w:r>
      <w:r>
        <w:rPr>
          <w:rFonts w:eastAsia="NSimSun" w:cs="Courier New"/>
          <w:color w:val="000000"/>
          <w:sz w:val="24"/>
          <w:szCs w:val="24"/>
        </w:rPr>
        <w:t xml:space="preserve"> bez odcinka w obrębie Węzła kolejowego CPK”</w:t>
      </w:r>
      <w:r>
        <w:rPr>
          <w:rFonts w:eastAsia="Arial Unicode MS"/>
          <w:color w:val="000000"/>
          <w:sz w:val="24"/>
          <w:szCs w:val="24"/>
        </w:rPr>
        <w:t xml:space="preserve">. Wniosek został złożony w postaci elektronicznej za pomocą platformy </w:t>
      </w:r>
      <w:r>
        <w:rPr>
          <w:rFonts w:eastAsia="Arial Unicode MS"/>
          <w:color w:val="000000"/>
          <w:sz w:val="24"/>
          <w:szCs w:val="24"/>
        </w:rPr>
        <w:t>ePUAP</w:t>
      </w:r>
      <w:r>
        <w:rPr>
          <w:rFonts w:eastAsia="Arial Unicode MS"/>
          <w:color w:val="000000"/>
          <w:sz w:val="24"/>
          <w:szCs w:val="24"/>
        </w:rPr>
        <w:t xml:space="preserve">. </w:t>
      </w:r>
    </w:p>
    <w:p w:rsidR="00C67589">
      <w:pPr>
        <w:spacing w:line="348" w:lineRule="auto"/>
        <w:ind w:firstLine="709"/>
        <w:jc w:val="both"/>
        <w:rPr>
          <w:sz w:val="24"/>
          <w:szCs w:val="24"/>
        </w:rPr>
      </w:pPr>
      <w:r>
        <w:rPr>
          <w:color w:val="000000"/>
          <w:sz w:val="24"/>
          <w:szCs w:val="24"/>
        </w:rPr>
        <w:t>Złożony wniosek o wydanie decyzji o zezwoleniu na wejście na teren nieruchomości lub ich części, nie spełniał wymagań formalnych. W związku z tym, pismem z dnia 20.12.2023 r. tutejszy organ wezwał inwestora, w trybie art. 64 § 2 kpa, do jego uzupełnienia w terminie 30 dni od daty otrzymania wezwania. W wezwaniu pouczono, że brak uzupełnienia przedmiotowego wniosku we wskazanym terminie spowoduje pozostawienie</w:t>
      </w:r>
      <w:bookmarkStart w:id="6" w:name="_GoBack2"/>
      <w:bookmarkEnd w:id="6"/>
      <w:r>
        <w:rPr>
          <w:color w:val="000000"/>
          <w:sz w:val="24"/>
          <w:szCs w:val="24"/>
        </w:rPr>
        <w:t xml:space="preserve"> go bez rozpatrzenia. Inwestor w dniach 07</w:t>
      </w:r>
      <w:r>
        <w:rPr>
          <w:sz w:val="24"/>
          <w:szCs w:val="24"/>
        </w:rPr>
        <w:t xml:space="preserve">.01.2024 r. oraz 16.01.2024 r., </w:t>
      </w:r>
      <w:r>
        <w:rPr>
          <w:color w:val="000000"/>
          <w:sz w:val="24"/>
          <w:szCs w:val="24"/>
        </w:rPr>
        <w:t xml:space="preserve">przesłał za pomocą platformy </w:t>
      </w:r>
      <w:r>
        <w:rPr>
          <w:color w:val="000000"/>
          <w:sz w:val="24"/>
          <w:szCs w:val="24"/>
        </w:rPr>
        <w:t>ePUAP</w:t>
      </w:r>
      <w:r>
        <w:rPr>
          <w:color w:val="000000"/>
          <w:sz w:val="24"/>
          <w:szCs w:val="24"/>
        </w:rPr>
        <w:t xml:space="preserve"> uzupełnienie wniosku zgodne z wezwaniem. </w:t>
      </w:r>
    </w:p>
    <w:p w:rsidR="00C67589">
      <w:pPr>
        <w:spacing w:line="348" w:lineRule="auto"/>
        <w:ind w:firstLine="709"/>
        <w:jc w:val="both"/>
        <w:rPr>
          <w:sz w:val="24"/>
          <w:szCs w:val="24"/>
        </w:rPr>
      </w:pPr>
      <w:r>
        <w:rPr>
          <w:sz w:val="24"/>
          <w:szCs w:val="24"/>
        </w:rPr>
        <w:t xml:space="preserve">Planowana Inwestycja Towarzysząca, w ramach której inwestor wystąpił do tutejszego organu z wnioskiem o wejście na teren nieruchomości lub ich części, polega na budowie linii kolejowej nr 85 na odcinku </w:t>
      </w:r>
      <w:r>
        <w:rPr>
          <w:rFonts w:cs="Courier New"/>
          <w:color w:val="000000"/>
          <w:sz w:val="24"/>
          <w:szCs w:val="24"/>
        </w:rPr>
        <w:t>na odc. Łódź - Sieradz Północny</w:t>
      </w:r>
      <w:r>
        <w:rPr>
          <w:sz w:val="24"/>
          <w:szCs w:val="24"/>
        </w:rPr>
        <w:t xml:space="preserve">, w zakresie obejmującym budowę linii kolejowej nr 85 na odcinku Łódź – Sieradz Północny oraz linii kolejowej nr 86 wraz z powiązaniami z infrastrukturą PKP Polskie Linie Kolejowe S.A. Pod względem administracyjnym, projektowany odcinek przebiega w całości przez województwo łódzkie, położony jest w środkowej części Polski, w obrębie 5 powiatów: zduńskowolskiego, sieradzkiego, łaskiego, pabianickiego oraz w Mieście Łodzi, w tym w obrębie 9 gmin: M. Łódź, Pabianice, Lutomiersk, Wodzierady, Łask, Szadek, Sieradz, M. Sieradz, Zduńska Wola. W ramach inwestycji projektuje się nową linię dwutorową, zelektryfikowaną, o długości 53,568 km, dostosowaną do prowadzenia ruchu z prędkością ≥ 250 km/h. Wzdłuż projektowanej linii kolejowej, planuje się budowę obiektów inżynieryjnych, inżynierskich, towarzyszących, hydrotechnicznych, sieci trakcyjnej, dróg dojazdowych oraz obiektów przeznaczonych do obsługi pasażerów, tj. stacji i przystanków. </w:t>
      </w:r>
    </w:p>
    <w:p w:rsidR="00C67589">
      <w:pPr>
        <w:spacing w:line="348" w:lineRule="auto"/>
        <w:ind w:firstLine="567"/>
        <w:jc w:val="both"/>
        <w:rPr>
          <w:sz w:val="24"/>
          <w:szCs w:val="24"/>
        </w:rPr>
      </w:pPr>
      <w:r>
        <w:rPr>
          <w:sz w:val="24"/>
          <w:szCs w:val="24"/>
        </w:rPr>
        <w:t xml:space="preserve">Zgodnie z wnioskiem inwestora, w ramach planowanych badań i pomiarów zostaną wykonane otwory i/lub sondowania wskazane na załącznikach graficznych, stanowiących </w:t>
      </w:r>
      <w:r>
        <w:rPr>
          <w:sz w:val="24"/>
          <w:szCs w:val="24"/>
        </w:rPr>
        <w:t xml:space="preserve">załączniki do niniejszej decyzji, zgodnie z opracowanym projektem robót geologicznych oraz programem badań geotechnicznych i geofizycznych. Dokładna lokalizacja otworów badawczych zostanie wyznaczona geodezyjnie. Wykonanie jednego otworu lub sondowania wraz z jego likwidacją oraz doprowadzeniem terenu do stanu niepogorszonego niż pierwotny zostanie wykonane w czasie od 1 do 3 dni. Po tym czasie prace przenoszone będą na kolejne nieruchomości. Zajęcie terenu w obrębie wskazanych nieruchomości będzie ograniczone do punktu badawczego wraz z terenem niezbędnym do pracy sprzętu mechanicznego oraz drogi dojazdowej do badanego punktu. Lokalizacja drogi dojazdowej do miejsc przeprowadzanych badań geologicznych, geotechnicznych i geofizycznych zostanie wyznaczona przez wykonawcę badań w terenie, z uwzględnieniem aktualnego sposobu zagospodarowania działki, możliwości najkrótszego dojazdu do punktu badawczego, a w szczególności w sposób ograniczający powstanie szkody na nieruchomości. </w:t>
      </w:r>
    </w:p>
    <w:p w:rsidR="00C67589">
      <w:pPr>
        <w:spacing w:line="348" w:lineRule="auto"/>
        <w:ind w:firstLine="567"/>
        <w:jc w:val="both"/>
        <w:rPr>
          <w:sz w:val="24"/>
          <w:szCs w:val="24"/>
        </w:rPr>
      </w:pPr>
      <w:r>
        <w:rPr>
          <w:sz w:val="24"/>
          <w:szCs w:val="24"/>
        </w:rPr>
        <w:t xml:space="preserve">We wniosku inwestor wystąpił o dopuszczenie możliwości zmiany lokalizacji punktu badawczego w obrębie tej samej nieruchomości, jeżeli będzie to uzasadnione utrudnionym dojazdem do miejsca wykonania badań, ograniczeniem powstania szkody na działce lub jeśli potrzeba taka będzie wynikała Programu Badań Geotechnicznych wraz z Programem Badań Geofizycznych. </w:t>
      </w:r>
    </w:p>
    <w:p w:rsidR="00C67589">
      <w:pPr>
        <w:widowControl w:val="0"/>
        <w:tabs>
          <w:tab w:val="left" w:pos="0"/>
        </w:tabs>
        <w:spacing w:line="348" w:lineRule="auto"/>
        <w:ind w:firstLine="567"/>
        <w:jc w:val="both"/>
        <w:rPr>
          <w:sz w:val="24"/>
          <w:szCs w:val="24"/>
        </w:rPr>
      </w:pPr>
      <w:r>
        <w:rPr>
          <w:color w:val="000000"/>
          <w:sz w:val="24"/>
          <w:szCs w:val="24"/>
        </w:rPr>
        <w:t xml:space="preserve">Zgodnie z art. 120g ust. 4 specustawy CPK, przedmiotowy wniosek zawierał: </w:t>
      </w:r>
    </w:p>
    <w:p w:rsidR="00C67589">
      <w:pPr>
        <w:pStyle w:val="ListParagraph"/>
        <w:numPr>
          <w:ilvl w:val="0"/>
          <w:numId w:val="1"/>
        </w:numPr>
        <w:spacing w:line="360" w:lineRule="auto"/>
        <w:jc w:val="both"/>
        <w:rPr>
          <w:sz w:val="24"/>
          <w:szCs w:val="24"/>
        </w:rPr>
      </w:pPr>
      <w:r>
        <w:rPr>
          <w:sz w:val="24"/>
          <w:szCs w:val="24"/>
        </w:rPr>
        <w:t xml:space="preserve">ogólną charakterystykę Inwestycji Towarzyszącej; </w:t>
      </w:r>
    </w:p>
    <w:p w:rsidR="00C67589">
      <w:pPr>
        <w:pStyle w:val="ListParagraph"/>
        <w:numPr>
          <w:ilvl w:val="0"/>
          <w:numId w:val="1"/>
        </w:numPr>
        <w:spacing w:line="360" w:lineRule="auto"/>
        <w:jc w:val="both"/>
        <w:rPr>
          <w:sz w:val="24"/>
          <w:szCs w:val="24"/>
        </w:rPr>
      </w:pPr>
      <w:r>
        <w:rPr>
          <w:sz w:val="24"/>
          <w:szCs w:val="24"/>
        </w:rPr>
        <w:t xml:space="preserve">określenie granic terenu objętego wnioskiem; </w:t>
      </w:r>
    </w:p>
    <w:p w:rsidR="00C67589">
      <w:pPr>
        <w:pStyle w:val="ListParagraph"/>
        <w:numPr>
          <w:ilvl w:val="0"/>
          <w:numId w:val="1"/>
        </w:numPr>
        <w:spacing w:line="360" w:lineRule="auto"/>
        <w:jc w:val="both"/>
        <w:rPr>
          <w:sz w:val="24"/>
          <w:szCs w:val="24"/>
        </w:rPr>
      </w:pPr>
      <w:r>
        <w:rPr>
          <w:sz w:val="24"/>
          <w:szCs w:val="24"/>
        </w:rPr>
        <w:t xml:space="preserve">oznaczenie nieruchomości lub jej części, na które wejście jest konieczne w celu wykonania czynności niezbędnych do sporządzenia dokumentacji technicznej, wraz ze wskazaniem zakresu tych prac; </w:t>
      </w:r>
    </w:p>
    <w:p w:rsidR="00C67589">
      <w:pPr>
        <w:pStyle w:val="ListParagraph"/>
        <w:numPr>
          <w:ilvl w:val="0"/>
          <w:numId w:val="1"/>
        </w:numPr>
        <w:spacing w:line="360" w:lineRule="auto"/>
        <w:jc w:val="both"/>
        <w:rPr>
          <w:sz w:val="24"/>
          <w:szCs w:val="24"/>
        </w:rPr>
      </w:pPr>
      <w:r>
        <w:rPr>
          <w:sz w:val="24"/>
          <w:szCs w:val="24"/>
        </w:rPr>
        <w:t xml:space="preserve">oświadczenie inwestora o braku zgody właścicieli lub użytkowników wieczystych nieruchomości na wejście na teren nieruchomości lub jej części. </w:t>
      </w:r>
    </w:p>
    <w:p w:rsidR="00C67589">
      <w:pPr>
        <w:spacing w:before="120" w:line="348" w:lineRule="auto"/>
        <w:ind w:firstLine="567"/>
        <w:jc w:val="both"/>
        <w:rPr>
          <w:sz w:val="24"/>
          <w:szCs w:val="24"/>
        </w:rPr>
      </w:pPr>
      <w:r>
        <w:rPr>
          <w:rFonts w:eastAsia="Arial Unicode MS" w:cs="Arial"/>
          <w:sz w:val="24"/>
          <w:szCs w:val="24"/>
        </w:rPr>
        <w:t>Dane osobowe właścicieli lub użytkowników wieczystych nieruchomości objętych wnioskiem wraz z ich adresami ustalono na podstawie w</w:t>
      </w:r>
      <w:r>
        <w:rPr>
          <w:rFonts w:eastAsia="Arial Unicode MS" w:cs="Arial"/>
          <w:color w:val="000000"/>
          <w:sz w:val="24"/>
          <w:szCs w:val="24"/>
        </w:rPr>
        <w:t>ypisów z rejestru gruntów otrzymanych ze Starostwa Powiatowego w Brzezinach, aktualnych na dzień</w:t>
      </w:r>
      <w:r>
        <w:rPr>
          <w:rFonts w:eastAsia="Arial Unicode MS" w:cs="Arial"/>
          <w:sz w:val="24"/>
          <w:szCs w:val="24"/>
        </w:rPr>
        <w:t xml:space="preserve"> </w:t>
      </w:r>
      <w:r>
        <w:rPr>
          <w:rFonts w:eastAsia="Arial Unicode MS" w:cs="Arial"/>
          <w:color w:val="000000"/>
          <w:sz w:val="24"/>
          <w:szCs w:val="24"/>
        </w:rPr>
        <w:t>19</w:t>
      </w:r>
      <w:r>
        <w:rPr>
          <w:rFonts w:eastAsia="Arial Unicode MS" w:cs="Arial"/>
          <w:sz w:val="24"/>
          <w:szCs w:val="24"/>
        </w:rPr>
        <w:t xml:space="preserve">.12.2023 r. oraz 04.01.2024 r. </w:t>
      </w:r>
    </w:p>
    <w:p w:rsidR="00C67589">
      <w:pPr>
        <w:widowControl w:val="0"/>
        <w:tabs>
          <w:tab w:val="left" w:pos="0"/>
        </w:tabs>
        <w:spacing w:line="348" w:lineRule="auto"/>
        <w:ind w:firstLine="567"/>
        <w:jc w:val="both"/>
        <w:rPr>
          <w:sz w:val="24"/>
          <w:szCs w:val="24"/>
        </w:rPr>
      </w:pPr>
      <w:r>
        <w:rPr>
          <w:rFonts w:cs="Calibri"/>
          <w:sz w:val="24"/>
          <w:szCs w:val="24"/>
        </w:rPr>
        <w:t>Zgodnie z art. 3 ust. 2 specustawy CPK, w</w:t>
      </w:r>
      <w:r>
        <w:rPr>
          <w:rFonts w:cs="Calibri"/>
          <w:iCs/>
          <w:sz w:val="24"/>
          <w:szCs w:val="24"/>
        </w:rPr>
        <w:t xml:space="preserve"> sprawach nieuregulowanych przepisami specustawy CPK, stosuje się odpowiednio przepisy kpa</w:t>
      </w:r>
      <w:r>
        <w:rPr>
          <w:rFonts w:cs="Calibri"/>
          <w:sz w:val="24"/>
          <w:szCs w:val="24"/>
        </w:rPr>
        <w:t xml:space="preserve">. </w:t>
      </w:r>
    </w:p>
    <w:p w:rsidR="00C67589">
      <w:pPr>
        <w:widowControl w:val="0"/>
        <w:tabs>
          <w:tab w:val="left" w:pos="0"/>
        </w:tabs>
        <w:spacing w:line="348" w:lineRule="auto"/>
        <w:ind w:firstLine="567"/>
        <w:jc w:val="both"/>
      </w:pPr>
      <w:r>
        <w:rPr>
          <w:rFonts w:eastAsia="Arial Unicode MS;Arial" w:cs="Calibri"/>
          <w:iCs/>
          <w:sz w:val="24"/>
          <w:szCs w:val="24"/>
        </w:rPr>
        <w:t>Specustawa CPK</w:t>
      </w:r>
      <w:r>
        <w:rPr>
          <w:rFonts w:eastAsia="Arial Unicode MS;Arial" w:cs="Calibri"/>
          <w:sz w:val="24"/>
          <w:szCs w:val="24"/>
        </w:rPr>
        <w:t xml:space="preserve"> nie reguluje kwestii dotyczących zawiadomienia o wszczęciu postępowania w sprawie wejścia na teren nieruchomości lub jej części, w</w:t>
      </w:r>
      <w:r>
        <w:rPr>
          <w:rStyle w:val="Mocnowyrniony"/>
          <w:rFonts w:eastAsia="Arial Unicode MS;Arial" w:cs="Calibri"/>
          <w:b w:val="0"/>
          <w:color w:val="000000"/>
          <w:sz w:val="24"/>
          <w:szCs w:val="24"/>
        </w:rPr>
        <w:t xml:space="preserve"> związku z powyższym na podstawie</w:t>
      </w:r>
      <w:r>
        <w:rPr>
          <w:sz w:val="24"/>
          <w:szCs w:val="24"/>
        </w:rPr>
        <w:t xml:space="preserve"> </w:t>
      </w:r>
      <w:r>
        <w:rPr>
          <w:color w:val="000000"/>
          <w:sz w:val="24"/>
          <w:szCs w:val="24"/>
          <w:lang w:eastAsia="pl-PL"/>
        </w:rPr>
        <w:t xml:space="preserve">art. 49 </w:t>
      </w:r>
      <w:r>
        <w:rPr>
          <w:sz w:val="24"/>
          <w:szCs w:val="24"/>
          <w:lang w:eastAsia="pl-PL"/>
        </w:rPr>
        <w:t>§</w:t>
      </w:r>
      <w:r>
        <w:rPr>
          <w:color w:val="000000"/>
          <w:sz w:val="24"/>
          <w:szCs w:val="24"/>
          <w:lang w:eastAsia="pl-PL"/>
        </w:rPr>
        <w:t xml:space="preserve"> 1 i art. 49a </w:t>
      </w:r>
      <w:r>
        <w:rPr>
          <w:sz w:val="24"/>
          <w:szCs w:val="24"/>
        </w:rPr>
        <w:t xml:space="preserve">kpa w związku z art. 120g ust. 3 i art. 3 ust. 2 specustawy CPK, pismem z dnia 29.01.2024 r., poinformowano strony postępowania, </w:t>
      </w:r>
      <w:r>
        <w:rPr>
          <w:rFonts w:cs="Calibri"/>
          <w:color w:val="000000"/>
          <w:sz w:val="24"/>
          <w:szCs w:val="24"/>
          <w:lang w:eastAsia="pl-PL"/>
        </w:rPr>
        <w:t xml:space="preserve">że ze względu na fakt, iż w przedmiotowym postępowaniu bierze udział </w:t>
      </w:r>
      <w:r>
        <w:rPr>
          <w:color w:val="000000"/>
          <w:sz w:val="24"/>
          <w:szCs w:val="24"/>
          <w:lang w:eastAsia="pl-PL"/>
        </w:rPr>
        <w:t xml:space="preserve">więcej niż dwadzieścia stron, tutejszy organ będzie dokonywać zawiadomień stron o decyzjach i innych czynnościach organu w formie publicznego obwieszczenia, zamieszczonego w Biuletynie Informacji Publicznej na stronie podmiotowej urzędów: Łódzkiego Urzędu Wojewódzkiego w Łodzi, Urzędu Miasta Brzeziny, </w:t>
      </w:r>
      <w:r>
        <w:rPr>
          <w:sz w:val="24"/>
          <w:szCs w:val="24"/>
          <w:lang w:eastAsia="pl-PL"/>
        </w:rPr>
        <w:t>Urzędu Gminy Brzeziny, Urzędu Gminy Dmosin</w:t>
      </w:r>
      <w:r>
        <w:rPr>
          <w:color w:val="000000"/>
          <w:sz w:val="24"/>
          <w:szCs w:val="24"/>
          <w:lang w:eastAsia="pl-PL"/>
        </w:rPr>
        <w:t xml:space="preserve"> oraz na tablicach ogłoszeń w siedzibach tych urzędów. </w:t>
      </w:r>
    </w:p>
    <w:p w:rsidR="00C67589">
      <w:pPr>
        <w:pStyle w:val="western"/>
        <w:suppressAutoHyphens/>
        <w:spacing w:beforeAutospacing="0" w:after="0" w:line="360" w:lineRule="auto"/>
        <w:ind w:firstLine="709"/>
      </w:pPr>
      <w:r>
        <w:t>O wszczęciu przedmiotowego postępowania organ zawiadomił wnioskodawcę pismem z dnia 29.01.2024 r. oraz pozostałe strony</w:t>
      </w:r>
      <w:r>
        <w:rPr>
          <w:lang w:eastAsia="ar-SA"/>
        </w:rPr>
        <w:t xml:space="preserve">, </w:t>
      </w:r>
      <w:r>
        <w:t xml:space="preserve">poprzez obwieszczenie zamieszczone: </w:t>
      </w:r>
    </w:p>
    <w:p w:rsidR="00C67589">
      <w:pPr>
        <w:widowControl w:val="0"/>
        <w:numPr>
          <w:ilvl w:val="0"/>
          <w:numId w:val="2"/>
        </w:numPr>
        <w:spacing w:line="360" w:lineRule="auto"/>
        <w:ind w:left="714" w:hanging="357"/>
        <w:jc w:val="both"/>
        <w:rPr>
          <w:sz w:val="24"/>
          <w:szCs w:val="24"/>
        </w:rPr>
      </w:pPr>
      <w:r>
        <w:rPr>
          <w:sz w:val="24"/>
          <w:szCs w:val="24"/>
        </w:rPr>
        <w:t xml:space="preserve">na stronie internetowej – w Biuletynie Informacji Publicznej Łódzkiego Urzędu Wojewódzkiego w Łodzi: w terminie od dnia 31.01.2024 r.– na okres 14 dni od dnia zamieszczenia; </w:t>
      </w:r>
    </w:p>
    <w:p w:rsidR="00C67589">
      <w:pPr>
        <w:widowControl w:val="0"/>
        <w:numPr>
          <w:ilvl w:val="0"/>
          <w:numId w:val="2"/>
        </w:numPr>
        <w:spacing w:line="360" w:lineRule="auto"/>
        <w:jc w:val="both"/>
        <w:rPr>
          <w:sz w:val="24"/>
          <w:szCs w:val="24"/>
        </w:rPr>
      </w:pPr>
      <w:r>
        <w:rPr>
          <w:sz w:val="24"/>
          <w:szCs w:val="24"/>
        </w:rPr>
        <w:t>na tablicy ogłoszeń Łódzkiego Urzędu Wojewódzkiego w Łodzi: w terminie od dnia 31.01.2024 r. do dnia 14.02.2024 r.;</w:t>
      </w:r>
    </w:p>
    <w:p w:rsidR="00C67589">
      <w:pPr>
        <w:widowControl w:val="0"/>
        <w:numPr>
          <w:ilvl w:val="0"/>
          <w:numId w:val="2"/>
        </w:numPr>
        <w:spacing w:line="360" w:lineRule="auto"/>
        <w:jc w:val="both"/>
        <w:rPr>
          <w:sz w:val="24"/>
          <w:szCs w:val="24"/>
        </w:rPr>
      </w:pPr>
      <w:r>
        <w:rPr>
          <w:sz w:val="24"/>
          <w:szCs w:val="24"/>
        </w:rPr>
        <w:t xml:space="preserve">na tablicy ogłoszeń oraz na stronie internetowej – w Biuletynie Informacji Publicznej </w:t>
      </w:r>
      <w:r>
        <w:rPr>
          <w:sz w:val="24"/>
          <w:szCs w:val="24"/>
          <w:lang w:eastAsia="pl-PL"/>
        </w:rPr>
        <w:t>Urzędu Miasta Brzeziny</w:t>
      </w:r>
      <w:r>
        <w:rPr>
          <w:sz w:val="24"/>
          <w:szCs w:val="24"/>
        </w:rPr>
        <w:t>: w terminie od dnia 02.02.2024 r. do dnia 28.02.2024 r.;</w:t>
      </w:r>
    </w:p>
    <w:p w:rsidR="00C67589">
      <w:pPr>
        <w:widowControl w:val="0"/>
        <w:numPr>
          <w:ilvl w:val="0"/>
          <w:numId w:val="2"/>
        </w:numPr>
        <w:spacing w:line="360" w:lineRule="auto"/>
        <w:jc w:val="both"/>
      </w:pPr>
      <w:r>
        <w:rPr>
          <w:rStyle w:val="Mocnowyrniony"/>
          <w:rFonts w:eastAsia="Arial Unicode MS" w:cs="Arial"/>
          <w:b w:val="0"/>
          <w:color w:val="000000"/>
          <w:sz w:val="24"/>
          <w:szCs w:val="24"/>
          <w:lang w:eastAsia="pl-PL"/>
        </w:rPr>
        <w:t xml:space="preserve">na </w:t>
      </w:r>
      <w:bookmarkStart w:id="7" w:name="__DdeLink__1659_3569144807"/>
      <w:r>
        <w:rPr>
          <w:rStyle w:val="Mocnowyrniony"/>
          <w:rFonts w:eastAsia="Arial Unicode MS" w:cs="Arial"/>
          <w:b w:val="0"/>
          <w:color w:val="000000"/>
          <w:sz w:val="24"/>
          <w:szCs w:val="24"/>
          <w:lang w:eastAsia="pl-PL"/>
        </w:rPr>
        <w:t>tablicy ogłoszeń oraz na stronie internetowej – w Biuletynie Informacji Publicznej Urzędu Gminy Brzeziny: w terminie od dnia 31.01.2024 r. do dnia 14.02.2024 r.;</w:t>
      </w:r>
      <w:bookmarkEnd w:id="7"/>
    </w:p>
    <w:p w:rsidR="00C67589">
      <w:pPr>
        <w:widowControl w:val="0"/>
        <w:numPr>
          <w:ilvl w:val="0"/>
          <w:numId w:val="2"/>
        </w:numPr>
        <w:spacing w:line="360" w:lineRule="auto"/>
        <w:jc w:val="both"/>
      </w:pPr>
      <w:r>
        <w:rPr>
          <w:rStyle w:val="Mocnowyrniony"/>
          <w:rFonts w:eastAsia="Arial Unicode MS" w:cs="Arial"/>
          <w:b w:val="0"/>
          <w:color w:val="000000"/>
          <w:sz w:val="24"/>
          <w:szCs w:val="24"/>
          <w:lang w:eastAsia="pl-PL"/>
        </w:rPr>
        <w:t>na tablicy ogłoszeń oraz na stronie internetowej – w Biuletynie Informacji Publicznej Urzędu Gminy Dmosin: w terminie od dnia 31.01.2024 r. do dnia 21.02.2024 r.</w:t>
      </w:r>
    </w:p>
    <w:p w:rsidR="00C67589">
      <w:pPr>
        <w:widowControl w:val="0"/>
        <w:spacing w:line="348" w:lineRule="auto"/>
        <w:jc w:val="both"/>
        <w:rPr>
          <w:rStyle w:val="Mocnowyrniony"/>
          <w:sz w:val="24"/>
          <w:szCs w:val="24"/>
        </w:rPr>
      </w:pPr>
    </w:p>
    <w:p w:rsidR="00C67589">
      <w:pPr>
        <w:widowControl w:val="0"/>
        <w:tabs>
          <w:tab w:val="left" w:pos="397"/>
          <w:tab w:val="left" w:pos="720"/>
        </w:tabs>
        <w:spacing w:line="336" w:lineRule="auto"/>
        <w:ind w:firstLine="567"/>
        <w:jc w:val="both"/>
        <w:rPr>
          <w:sz w:val="24"/>
          <w:szCs w:val="24"/>
        </w:rPr>
      </w:pPr>
      <w:r>
        <w:rPr>
          <w:color w:val="000000"/>
          <w:sz w:val="24"/>
          <w:szCs w:val="24"/>
          <w:lang w:eastAsia="pl-PL"/>
        </w:rPr>
        <w:t xml:space="preserve">W toku przedmiotowego postępowania w dniach 18.01.2024 r. oraz 09.02.2024 r., do tutejszego organu, za pośrednictwem platformy </w:t>
      </w:r>
      <w:r>
        <w:rPr>
          <w:color w:val="000000"/>
          <w:sz w:val="24"/>
          <w:szCs w:val="24"/>
          <w:lang w:eastAsia="pl-PL"/>
        </w:rPr>
        <w:t>ePUAP</w:t>
      </w:r>
      <w:r>
        <w:rPr>
          <w:color w:val="000000"/>
          <w:sz w:val="24"/>
          <w:szCs w:val="24"/>
          <w:lang w:eastAsia="pl-PL"/>
        </w:rPr>
        <w:t xml:space="preserve">, wpłynęło pismo współwłaściciela działki </w:t>
      </w:r>
      <w:r>
        <w:rPr>
          <w:color w:val="000000"/>
          <w:sz w:val="24"/>
          <w:szCs w:val="24"/>
          <w:lang w:eastAsia="pl-PL"/>
        </w:rPr>
        <w:t>ewid</w:t>
      </w:r>
      <w:r>
        <w:rPr>
          <w:color w:val="000000"/>
          <w:sz w:val="24"/>
          <w:szCs w:val="24"/>
          <w:lang w:eastAsia="pl-PL"/>
        </w:rPr>
        <w:t xml:space="preserve">. nr 76 obręb 11 Helenów, gm. Brzeziny, dotyczące </w:t>
      </w:r>
      <w:r>
        <w:rPr>
          <w:color w:val="000000"/>
          <w:kern w:val="0"/>
          <w:sz w:val="24"/>
          <w:szCs w:val="24"/>
          <w:lang w:eastAsia="ar-SA"/>
        </w:rPr>
        <w:t xml:space="preserve">wtargnięcia na teren jego nieruchomości przez zleceniobiorców spółki Centralny Port Komunikacyjny Sp. z o.o. w celu wykonania odwiertów – bez zgody właściciela. </w:t>
      </w:r>
      <w:r>
        <w:rPr>
          <w:color w:val="000000"/>
          <w:sz w:val="24"/>
          <w:szCs w:val="24"/>
          <w:lang w:eastAsia="pl-PL"/>
        </w:rPr>
        <w:t xml:space="preserve">Organ przekazał powyższe uwagi do inwestora przy piśmie z dnia 29.01.2024 r. </w:t>
      </w:r>
      <w:bookmarkStart w:id="8" w:name="__DdeLink__2056_2392027354"/>
      <w:r>
        <w:rPr>
          <w:color w:val="000000"/>
          <w:sz w:val="24"/>
          <w:szCs w:val="24"/>
          <w:lang w:eastAsia="pl-PL"/>
        </w:rPr>
        <w:t xml:space="preserve">Inwestor, za pośrednictwem platformy </w:t>
      </w:r>
      <w:r>
        <w:rPr>
          <w:color w:val="000000"/>
          <w:sz w:val="24"/>
          <w:szCs w:val="24"/>
          <w:lang w:eastAsia="pl-PL"/>
        </w:rPr>
        <w:t>ePUAP</w:t>
      </w:r>
      <w:r>
        <w:rPr>
          <w:color w:val="000000"/>
          <w:sz w:val="24"/>
          <w:szCs w:val="24"/>
          <w:lang w:eastAsia="pl-PL"/>
        </w:rPr>
        <w:t>, w dniu 06.02.2024 r. udzielił tut. organowi wyjaśnień i odpowiedzi na uwagi. Tutejszy organ pismem z dnia 20.02.2024 r. przekazał stronie stanowisko inwestora.</w:t>
      </w:r>
      <w:bookmarkEnd w:id="8"/>
      <w:r>
        <w:rPr>
          <w:color w:val="000000"/>
          <w:sz w:val="24"/>
          <w:szCs w:val="24"/>
          <w:lang w:eastAsia="pl-PL"/>
        </w:rPr>
        <w:t xml:space="preserve"> W dniu 24.02.2024 r. do tut. organu wpłynęło kolejne pismo z uwagami współwłaściciela ww. nieruchomości, odnoszące się do odpowiedzi inwestora. Uwagi zostały ponownie przekazane do inwestora przy piśmie z dnia 28.02.2024 r. Inwestor, za</w:t>
      </w:r>
      <w:r w:rsidR="0049115C">
        <w:rPr>
          <w:color w:val="000000"/>
          <w:sz w:val="24"/>
          <w:szCs w:val="24"/>
          <w:lang w:eastAsia="pl-PL"/>
        </w:rPr>
        <w:t xml:space="preserve"> </w:t>
      </w:r>
      <w:r>
        <w:rPr>
          <w:color w:val="000000"/>
          <w:sz w:val="24"/>
          <w:szCs w:val="24"/>
          <w:lang w:eastAsia="pl-PL"/>
        </w:rPr>
        <w:t xml:space="preserve">pośrednictwem platformy </w:t>
      </w:r>
      <w:r>
        <w:rPr>
          <w:color w:val="000000"/>
          <w:sz w:val="24"/>
          <w:szCs w:val="24"/>
          <w:lang w:eastAsia="pl-PL"/>
        </w:rPr>
        <w:t>ePUAP</w:t>
      </w:r>
      <w:r>
        <w:rPr>
          <w:color w:val="000000"/>
          <w:sz w:val="24"/>
          <w:szCs w:val="24"/>
          <w:lang w:eastAsia="pl-PL"/>
        </w:rPr>
        <w:t>, w dniu 12.03.2024 r. udzielił odpowiedzi na</w:t>
      </w:r>
      <w:r w:rsidR="0049115C">
        <w:rPr>
          <w:color w:val="000000"/>
          <w:sz w:val="24"/>
          <w:szCs w:val="24"/>
          <w:lang w:eastAsia="pl-PL"/>
        </w:rPr>
        <w:t xml:space="preserve"> </w:t>
      </w:r>
      <w:r>
        <w:rPr>
          <w:color w:val="000000"/>
          <w:sz w:val="24"/>
          <w:szCs w:val="24"/>
          <w:lang w:eastAsia="pl-PL"/>
        </w:rPr>
        <w:t>uwagi a organ pismem z dnia 09.04.2024 r. przekazał stanowisko inwestora stronie postępowania.</w:t>
      </w:r>
    </w:p>
    <w:p w:rsidR="00C67589">
      <w:pPr>
        <w:widowControl w:val="0"/>
        <w:tabs>
          <w:tab w:val="left" w:pos="397"/>
          <w:tab w:val="left" w:pos="720"/>
        </w:tabs>
        <w:spacing w:line="360" w:lineRule="auto"/>
        <w:ind w:firstLine="709"/>
        <w:jc w:val="both"/>
        <w:rPr>
          <w:sz w:val="24"/>
          <w:szCs w:val="24"/>
        </w:rPr>
      </w:pPr>
      <w:r>
        <w:rPr>
          <w:color w:val="000000"/>
          <w:kern w:val="0"/>
          <w:sz w:val="24"/>
          <w:szCs w:val="24"/>
          <w:lang w:eastAsia="ar-SA"/>
        </w:rPr>
        <w:t xml:space="preserve">W dniach 09.02.2024 r., 11.02.2024 r. oraz 12.02.2024 r., za pomocą platformy </w:t>
      </w:r>
      <w:r>
        <w:rPr>
          <w:color w:val="000000"/>
          <w:kern w:val="0"/>
          <w:sz w:val="24"/>
          <w:szCs w:val="24"/>
          <w:lang w:eastAsia="ar-SA"/>
        </w:rPr>
        <w:t>ePUAP</w:t>
      </w:r>
      <w:r>
        <w:rPr>
          <w:color w:val="000000"/>
          <w:kern w:val="0"/>
          <w:sz w:val="24"/>
          <w:szCs w:val="24"/>
          <w:lang w:eastAsia="ar-SA"/>
        </w:rPr>
        <w:t xml:space="preserve"> oraz pocztą tradycyjną, do Wojewody Łódzkiego wpłynęły pisma pięciu stron </w:t>
      </w:r>
      <w:r>
        <w:rPr>
          <w:color w:val="000000"/>
          <w:kern w:val="0"/>
          <w:sz w:val="24"/>
          <w:szCs w:val="24"/>
          <w:lang w:eastAsia="ar-SA"/>
        </w:rPr>
        <w:t>postępowania, w</w:t>
      </w:r>
      <w:r>
        <w:rPr>
          <w:rFonts w:eastAsia="NSimSun"/>
          <w:color w:val="000000"/>
          <w:kern w:val="0"/>
          <w:sz w:val="24"/>
          <w:szCs w:val="24"/>
          <w:lang w:eastAsia="ar-SA"/>
        </w:rPr>
        <w:t xml:space="preserve"> których zawarto wnioski o „dopuszczenie do udziału w toczącym się postępowaniu administracyjnym (…) na prawach strony”, o „nieudzielenie zgody na wejście” na teren nieruchomości stron oraz „wyłączenie” tych nieruchomości z postępowania.</w:t>
      </w:r>
      <w:r>
        <w:rPr>
          <w:color w:val="000000"/>
          <w:kern w:val="0"/>
          <w:sz w:val="24"/>
          <w:szCs w:val="24"/>
          <w:lang w:eastAsia="ar-SA"/>
        </w:rPr>
        <w:t xml:space="preserve"> </w:t>
      </w:r>
      <w:r>
        <w:rPr>
          <w:color w:val="000000"/>
          <w:kern w:val="0"/>
          <w:sz w:val="24"/>
          <w:szCs w:val="24"/>
          <w:lang w:eastAsia="pl-PL"/>
        </w:rPr>
        <w:t>Tutejszy organ pismem z dnia 20.02.2024 r. poinformował strony, że właściciele oraz użytkownicy wieczyści nieruchomości, objętych zakresem przedmiotowego postępowania, są stronami postępowania administracyjnego oraz że organ administracji prowadzący postępowanie administracyjne, zainicjowane wnioskiem inwestora, nie ma uprawnień do ingerowania w ten wniosek, poprzez np. wyłączenie z postępowania jakichkolwiek nieruchomości. Podkreślono również, że</w:t>
      </w:r>
      <w:r w:rsidR="0049115C">
        <w:rPr>
          <w:color w:val="000000"/>
          <w:kern w:val="0"/>
          <w:sz w:val="24"/>
          <w:szCs w:val="24"/>
          <w:lang w:eastAsia="pl-PL"/>
        </w:rPr>
        <w:t xml:space="preserve"> </w:t>
      </w:r>
      <w:r>
        <w:rPr>
          <w:color w:val="000000"/>
          <w:kern w:val="0"/>
          <w:sz w:val="24"/>
          <w:szCs w:val="24"/>
          <w:lang w:eastAsia="pl-PL"/>
        </w:rPr>
        <w:t>działania organu administracji architektoniczno-budowlanej są prowadzone zgodnie z</w:t>
      </w:r>
      <w:r w:rsidR="0049115C">
        <w:rPr>
          <w:color w:val="000000"/>
          <w:kern w:val="0"/>
          <w:sz w:val="24"/>
          <w:szCs w:val="24"/>
          <w:lang w:eastAsia="pl-PL"/>
        </w:rPr>
        <w:t xml:space="preserve"> </w:t>
      </w:r>
      <w:r>
        <w:rPr>
          <w:color w:val="000000"/>
          <w:kern w:val="0"/>
          <w:sz w:val="24"/>
          <w:szCs w:val="24"/>
          <w:lang w:eastAsia="pl-PL"/>
        </w:rPr>
        <w:t>obowiązującymi przepisami prawa.</w:t>
      </w:r>
    </w:p>
    <w:p w:rsidR="00C67589">
      <w:pPr>
        <w:widowControl w:val="0"/>
        <w:tabs>
          <w:tab w:val="left" w:pos="397"/>
          <w:tab w:val="left" w:pos="720"/>
        </w:tabs>
        <w:spacing w:line="336" w:lineRule="auto"/>
        <w:ind w:firstLine="567"/>
        <w:jc w:val="both"/>
        <w:rPr>
          <w:sz w:val="24"/>
          <w:szCs w:val="24"/>
        </w:rPr>
      </w:pPr>
      <w:r>
        <w:rPr>
          <w:color w:val="000000"/>
          <w:kern w:val="0"/>
          <w:sz w:val="24"/>
          <w:szCs w:val="24"/>
          <w:lang w:eastAsia="pl-PL"/>
        </w:rPr>
        <w:t xml:space="preserve">W dniach 11.02.2024 r. i 12.02.2024 r. do tutejszego organu wpłynęły, za pośrednictwem platformy </w:t>
      </w:r>
      <w:r>
        <w:rPr>
          <w:color w:val="000000"/>
          <w:kern w:val="0"/>
          <w:sz w:val="24"/>
          <w:szCs w:val="24"/>
          <w:lang w:eastAsia="pl-PL"/>
        </w:rPr>
        <w:t>ePUAP</w:t>
      </w:r>
      <w:r>
        <w:rPr>
          <w:color w:val="000000"/>
          <w:kern w:val="0"/>
          <w:sz w:val="24"/>
          <w:szCs w:val="24"/>
          <w:lang w:eastAsia="pl-PL"/>
        </w:rPr>
        <w:t xml:space="preserve">, pisma czterech stron postępowania, </w:t>
      </w:r>
      <w:r>
        <w:rPr>
          <w:color w:val="000000"/>
          <w:kern w:val="0"/>
          <w:sz w:val="24"/>
          <w:szCs w:val="24"/>
          <w:lang w:eastAsia="ar-SA"/>
        </w:rPr>
        <w:t xml:space="preserve">z uwagami i zastrzeżeniami, dotyczącymi m.in. sposobu przeprowadzania prac terenowych, związanych z przedmiotowymi badaniami podłoża gruntowego. </w:t>
      </w:r>
      <w:r>
        <w:rPr>
          <w:color w:val="000000"/>
          <w:kern w:val="0"/>
          <w:sz w:val="24"/>
          <w:szCs w:val="24"/>
          <w:lang w:eastAsia="pl-PL"/>
        </w:rPr>
        <w:t xml:space="preserve">Organ przekazał powyższe uwagi do inwestora przy piśmie z </w:t>
      </w:r>
      <w:r w:rsidR="0050220A">
        <w:rPr>
          <w:color w:val="000000"/>
          <w:kern w:val="0"/>
          <w:sz w:val="24"/>
          <w:szCs w:val="24"/>
          <w:lang w:eastAsia="pl-PL"/>
        </w:rPr>
        <w:t xml:space="preserve">dnia 20.02.2024 r. Inwestor, za </w:t>
      </w:r>
      <w:r>
        <w:rPr>
          <w:color w:val="000000"/>
          <w:kern w:val="0"/>
          <w:sz w:val="24"/>
          <w:szCs w:val="24"/>
          <w:lang w:eastAsia="pl-PL"/>
        </w:rPr>
        <w:t xml:space="preserve">pośrednictwem platformy </w:t>
      </w:r>
      <w:r>
        <w:rPr>
          <w:color w:val="000000"/>
          <w:kern w:val="0"/>
          <w:sz w:val="24"/>
          <w:szCs w:val="24"/>
          <w:lang w:eastAsia="pl-PL"/>
        </w:rPr>
        <w:t>ePUAP</w:t>
      </w:r>
      <w:r>
        <w:rPr>
          <w:color w:val="000000"/>
          <w:kern w:val="0"/>
          <w:sz w:val="24"/>
          <w:szCs w:val="24"/>
          <w:lang w:eastAsia="pl-PL"/>
        </w:rPr>
        <w:t>, w dniach 07.03.2024 r., 19.03.2024 r. oraz 29.03.2024 r. udzielił tut. organowi odpowiedzi na uwagi stron. Tutejszy organ pismem z dnia 09.04.2024 r. przekazał stanowisko inwestora stronom postępowania.</w:t>
      </w:r>
    </w:p>
    <w:p w:rsidR="00C67589">
      <w:pPr>
        <w:widowControl w:val="0"/>
        <w:tabs>
          <w:tab w:val="left" w:pos="397"/>
          <w:tab w:val="left" w:pos="720"/>
        </w:tabs>
        <w:spacing w:line="336" w:lineRule="auto"/>
        <w:ind w:firstLine="567"/>
        <w:jc w:val="both"/>
        <w:rPr>
          <w:sz w:val="24"/>
          <w:szCs w:val="24"/>
        </w:rPr>
      </w:pPr>
      <w:r>
        <w:rPr>
          <w:color w:val="000000"/>
          <w:kern w:val="0"/>
          <w:sz w:val="24"/>
          <w:szCs w:val="24"/>
          <w:lang w:eastAsia="pl-PL"/>
        </w:rPr>
        <w:t xml:space="preserve">W dniu 12.02.2024 r., do tutejszego organu wpłynęło, za pośrednictwem platformy </w:t>
      </w:r>
      <w:r>
        <w:rPr>
          <w:color w:val="000000"/>
          <w:kern w:val="0"/>
          <w:sz w:val="24"/>
          <w:szCs w:val="24"/>
          <w:lang w:eastAsia="pl-PL"/>
        </w:rPr>
        <w:t>ePUAP</w:t>
      </w:r>
      <w:r>
        <w:rPr>
          <w:color w:val="000000"/>
          <w:kern w:val="0"/>
          <w:sz w:val="24"/>
          <w:szCs w:val="24"/>
          <w:lang w:eastAsia="pl-PL"/>
        </w:rPr>
        <w:t xml:space="preserve">, pismo współwłaścicielki działki </w:t>
      </w:r>
      <w:r>
        <w:rPr>
          <w:color w:val="000000"/>
          <w:kern w:val="0"/>
          <w:sz w:val="24"/>
          <w:szCs w:val="24"/>
          <w:lang w:eastAsia="pl-PL"/>
        </w:rPr>
        <w:t>ewid</w:t>
      </w:r>
      <w:r>
        <w:rPr>
          <w:color w:val="000000"/>
          <w:kern w:val="0"/>
          <w:sz w:val="24"/>
          <w:szCs w:val="24"/>
          <w:lang w:eastAsia="pl-PL"/>
        </w:rPr>
        <w:t xml:space="preserve">. nr 76 obręb 11 Helenów, gm. Brzeziny, </w:t>
      </w:r>
      <w:r>
        <w:rPr>
          <w:color w:val="000000"/>
          <w:kern w:val="0"/>
          <w:sz w:val="24"/>
          <w:szCs w:val="24"/>
          <w:lang w:eastAsia="ar-SA"/>
        </w:rPr>
        <w:t>z</w:t>
      </w:r>
      <w:r w:rsidR="001E42CA">
        <w:rPr>
          <w:color w:val="000000"/>
          <w:kern w:val="0"/>
          <w:sz w:val="24"/>
          <w:szCs w:val="24"/>
          <w:lang w:eastAsia="ar-SA"/>
        </w:rPr>
        <w:t> </w:t>
      </w:r>
      <w:r>
        <w:rPr>
          <w:color w:val="000000"/>
          <w:kern w:val="0"/>
          <w:sz w:val="24"/>
          <w:szCs w:val="24"/>
          <w:lang w:eastAsia="ar-SA"/>
        </w:rPr>
        <w:t xml:space="preserve">uwagami i zastrzeżeniami, dotyczącymi m.in. sposobu przeprowadzania prac terenowych, związanych z przedmiotowymi badaniami podłoża gruntowego. </w:t>
      </w:r>
      <w:r>
        <w:rPr>
          <w:color w:val="000000"/>
          <w:kern w:val="0"/>
          <w:sz w:val="24"/>
          <w:szCs w:val="24"/>
          <w:lang w:eastAsia="pl-PL"/>
        </w:rPr>
        <w:t>Organ przekazał powyższe uwagi do inwestora przy piśmie z dnia 20.02.2024 r. Inwestor, za</w:t>
      </w:r>
      <w:r w:rsidR="0050220A">
        <w:rPr>
          <w:color w:val="000000"/>
          <w:kern w:val="0"/>
          <w:sz w:val="24"/>
          <w:szCs w:val="24"/>
          <w:lang w:eastAsia="pl-PL"/>
        </w:rPr>
        <w:t xml:space="preserve"> </w:t>
      </w:r>
      <w:r>
        <w:rPr>
          <w:color w:val="000000"/>
          <w:kern w:val="0"/>
          <w:sz w:val="24"/>
          <w:szCs w:val="24"/>
          <w:lang w:eastAsia="pl-PL"/>
        </w:rPr>
        <w:t xml:space="preserve">pośrednictwem platformy </w:t>
      </w:r>
      <w:r>
        <w:rPr>
          <w:color w:val="000000"/>
          <w:kern w:val="0"/>
          <w:sz w:val="24"/>
          <w:szCs w:val="24"/>
          <w:lang w:eastAsia="pl-PL"/>
        </w:rPr>
        <w:t>ePUAP</w:t>
      </w:r>
      <w:r>
        <w:rPr>
          <w:color w:val="000000"/>
          <w:kern w:val="0"/>
          <w:sz w:val="24"/>
          <w:szCs w:val="24"/>
          <w:lang w:eastAsia="pl-PL"/>
        </w:rPr>
        <w:t>, w dniu 29.03.2024 r. udzielił odpowiedzi na</w:t>
      </w:r>
      <w:r w:rsidR="0050220A">
        <w:rPr>
          <w:color w:val="000000"/>
          <w:kern w:val="0"/>
          <w:sz w:val="24"/>
          <w:szCs w:val="24"/>
          <w:lang w:eastAsia="pl-PL"/>
        </w:rPr>
        <w:t xml:space="preserve"> </w:t>
      </w:r>
      <w:r>
        <w:rPr>
          <w:color w:val="000000"/>
          <w:kern w:val="0"/>
          <w:sz w:val="24"/>
          <w:szCs w:val="24"/>
          <w:lang w:eastAsia="pl-PL"/>
        </w:rPr>
        <w:t xml:space="preserve">uwagi a organ pismem z dnia 09.04.2024 r. przekazał stanowisko inwestora stronie postępowania. W dniu 12.04.2024 r. współwłaścicielka ww. nieruchomości ponownie złożyła pismo, w którym zawnioskowała o korektę wniosku o zezwolenie na wejście na teren nieruchomości lub ich części poprzez usunięcie z niego działki </w:t>
      </w:r>
      <w:r>
        <w:rPr>
          <w:color w:val="000000"/>
          <w:kern w:val="0"/>
          <w:sz w:val="24"/>
          <w:szCs w:val="24"/>
          <w:lang w:eastAsia="pl-PL"/>
        </w:rPr>
        <w:t>ewid</w:t>
      </w:r>
      <w:r>
        <w:rPr>
          <w:color w:val="000000"/>
          <w:kern w:val="0"/>
          <w:sz w:val="24"/>
          <w:szCs w:val="24"/>
          <w:lang w:eastAsia="pl-PL"/>
        </w:rPr>
        <w:t>. nr 76 obręb 11 Helenów, gm. Brzeziny. Organ przekazał powyższe uwagi do inwestora przy piśmie z dnia 15.04.2024 r. Inwestor, za</w:t>
      </w:r>
      <w:r w:rsidR="005F1A10">
        <w:rPr>
          <w:color w:val="000000"/>
          <w:kern w:val="0"/>
          <w:sz w:val="24"/>
          <w:szCs w:val="24"/>
          <w:lang w:eastAsia="pl-PL"/>
        </w:rPr>
        <w:t xml:space="preserve"> </w:t>
      </w:r>
      <w:r>
        <w:rPr>
          <w:color w:val="000000"/>
          <w:kern w:val="0"/>
          <w:sz w:val="24"/>
          <w:szCs w:val="24"/>
          <w:lang w:eastAsia="pl-PL"/>
        </w:rPr>
        <w:t xml:space="preserve">pośrednictwem platformy </w:t>
      </w:r>
      <w:r>
        <w:rPr>
          <w:color w:val="000000"/>
          <w:kern w:val="0"/>
          <w:sz w:val="24"/>
          <w:szCs w:val="24"/>
          <w:lang w:eastAsia="pl-PL"/>
        </w:rPr>
        <w:t>ePUAP</w:t>
      </w:r>
      <w:r>
        <w:rPr>
          <w:color w:val="000000"/>
          <w:kern w:val="0"/>
          <w:sz w:val="24"/>
          <w:szCs w:val="24"/>
          <w:lang w:eastAsia="pl-PL"/>
        </w:rPr>
        <w:t>, w dniu 26.04.2024 r. udzielił tut. organowi odpowiedzi na</w:t>
      </w:r>
      <w:r w:rsidR="005F1A10">
        <w:rPr>
          <w:color w:val="000000"/>
          <w:kern w:val="0"/>
          <w:sz w:val="24"/>
          <w:szCs w:val="24"/>
          <w:lang w:eastAsia="pl-PL"/>
        </w:rPr>
        <w:t xml:space="preserve"> </w:t>
      </w:r>
      <w:r>
        <w:rPr>
          <w:color w:val="000000"/>
          <w:kern w:val="0"/>
          <w:sz w:val="24"/>
          <w:szCs w:val="24"/>
          <w:lang w:eastAsia="pl-PL"/>
        </w:rPr>
        <w:t xml:space="preserve">uwagi strony, w której stwierdził, że ww. nieruchomość stanowić będzie </w:t>
      </w:r>
      <w:r>
        <w:rPr>
          <w:color w:val="000000"/>
          <w:kern w:val="0"/>
          <w:sz w:val="24"/>
          <w:szCs w:val="24"/>
          <w:lang w:eastAsia="ar-SA"/>
        </w:rPr>
        <w:t>„rezerwę na konieczność uzupełnienia rozpoznania podłoża gruntowego” oraz że „może zaistnieć konieczność wykonania wskazanego punktu”, zatem pozostawienie tego punktu we wniosku jest zasadne</w:t>
      </w:r>
      <w:r>
        <w:rPr>
          <w:color w:val="000000"/>
          <w:kern w:val="0"/>
          <w:sz w:val="24"/>
          <w:szCs w:val="24"/>
          <w:lang w:eastAsia="pl-PL"/>
        </w:rPr>
        <w:t>. Tutejszy organ pismem z dnia 14.05.2024 r. poinformował inwestora, że zgodnie z przepisami specustawy CPK –</w:t>
      </w:r>
      <w:r>
        <w:rPr>
          <w:color w:val="000000"/>
          <w:kern w:val="0"/>
          <w:sz w:val="24"/>
          <w:szCs w:val="24"/>
          <w:lang w:eastAsia="ar-SA"/>
        </w:rPr>
        <w:t xml:space="preserve"> Inwestor Inwestycji Towarzyszącej może zwrócić się do wojewody z wnioskiem o wydanie decyzji o zezwoleniu na wejście na teren nieruchomości lub ich części </w:t>
      </w:r>
      <w:r>
        <w:rPr>
          <w:color w:val="000000"/>
          <w:kern w:val="0"/>
          <w:sz w:val="24"/>
          <w:szCs w:val="24"/>
          <w:lang w:eastAsia="ar-SA"/>
        </w:rPr>
        <w:t xml:space="preserve">w celu wykonania konkretnych prac w określonym terminie, a nie takich, które stanowić będą rezerwę dla Inwestora i zostaną wykonane, gdy zaistnieje taka konieczność oraz wezwał inwestora do złożenia wyjaśnień. </w:t>
      </w:r>
      <w:r>
        <w:rPr>
          <w:color w:val="000000"/>
          <w:kern w:val="0"/>
          <w:sz w:val="24"/>
          <w:szCs w:val="24"/>
          <w:lang w:eastAsia="pl-PL"/>
        </w:rPr>
        <w:t xml:space="preserve">Inwestor, za pośrednictwem platformy </w:t>
      </w:r>
      <w:r>
        <w:rPr>
          <w:color w:val="000000"/>
          <w:kern w:val="0"/>
          <w:sz w:val="24"/>
          <w:szCs w:val="24"/>
          <w:lang w:eastAsia="pl-PL"/>
        </w:rPr>
        <w:t>ePUAP</w:t>
      </w:r>
      <w:r>
        <w:rPr>
          <w:color w:val="000000"/>
          <w:kern w:val="0"/>
          <w:sz w:val="24"/>
          <w:szCs w:val="24"/>
          <w:lang w:eastAsia="pl-PL"/>
        </w:rPr>
        <w:t xml:space="preserve">, w dniu 22.05.2024 r. potwierdził konieczność przeprowadzenia badań geologicznych na działce  </w:t>
      </w:r>
      <w:r>
        <w:rPr>
          <w:color w:val="000000"/>
          <w:kern w:val="0"/>
          <w:sz w:val="24"/>
          <w:szCs w:val="24"/>
          <w:lang w:eastAsia="pl-PL"/>
        </w:rPr>
        <w:t>ewid</w:t>
      </w:r>
      <w:r>
        <w:rPr>
          <w:color w:val="000000"/>
          <w:kern w:val="0"/>
          <w:sz w:val="24"/>
          <w:szCs w:val="24"/>
          <w:lang w:eastAsia="pl-PL"/>
        </w:rPr>
        <w:t>. nr 76 obręb 11 Helenów, gm. Brzeziny, a tym samym zasadność objęcia tej działki zakresem wniosku. Tutejszy organ pismem z dnia 23.05.2024 r. przekazał stanowisko inwestora stronie postępowania.</w:t>
      </w:r>
    </w:p>
    <w:p w:rsidR="00C67589">
      <w:pPr>
        <w:widowControl w:val="0"/>
        <w:tabs>
          <w:tab w:val="left" w:pos="397"/>
          <w:tab w:val="left" w:pos="720"/>
        </w:tabs>
        <w:spacing w:line="336" w:lineRule="auto"/>
        <w:ind w:firstLine="567"/>
        <w:jc w:val="both"/>
        <w:rPr>
          <w:sz w:val="24"/>
          <w:szCs w:val="24"/>
        </w:rPr>
      </w:pPr>
      <w:r>
        <w:rPr>
          <w:color w:val="000000"/>
          <w:kern w:val="0"/>
          <w:sz w:val="24"/>
          <w:szCs w:val="24"/>
          <w:lang w:eastAsia="pl-PL"/>
        </w:rPr>
        <w:t xml:space="preserve">W dniu 13.02.2024 r., do tutejszego organu wpłynęło, za pośrednictwem platformy </w:t>
      </w:r>
      <w:r>
        <w:rPr>
          <w:color w:val="000000"/>
          <w:kern w:val="0"/>
          <w:sz w:val="24"/>
          <w:szCs w:val="24"/>
          <w:lang w:eastAsia="pl-PL"/>
        </w:rPr>
        <w:t>ePUAP</w:t>
      </w:r>
      <w:r>
        <w:rPr>
          <w:color w:val="000000"/>
          <w:kern w:val="0"/>
          <w:sz w:val="24"/>
          <w:szCs w:val="24"/>
          <w:lang w:eastAsia="pl-PL"/>
        </w:rPr>
        <w:t xml:space="preserve">, pismo właścicielki działki </w:t>
      </w:r>
      <w:r>
        <w:rPr>
          <w:color w:val="000000"/>
          <w:kern w:val="0"/>
          <w:sz w:val="24"/>
          <w:szCs w:val="24"/>
          <w:lang w:eastAsia="pl-PL"/>
        </w:rPr>
        <w:t>ewid</w:t>
      </w:r>
      <w:r>
        <w:rPr>
          <w:color w:val="000000"/>
          <w:kern w:val="0"/>
          <w:sz w:val="24"/>
          <w:szCs w:val="24"/>
          <w:lang w:eastAsia="pl-PL"/>
        </w:rPr>
        <w:t xml:space="preserve">. nr 74 obręb 1, Miasto Brzeziny </w:t>
      </w:r>
      <w:r>
        <w:rPr>
          <w:sz w:val="24"/>
          <w:szCs w:val="24"/>
        </w:rPr>
        <w:t>zawierające m.in. wnioski: „o przyłączenie do postępowania na prawach strony” oraz „o informowanie o dokumentacji publicznej gromadzonej w ww. sprawie i dotyczącej ww. postępowania”. Pismem z dnia 20.02.2024 r. tut. organ ponownie poinformował stronę postępowania, że jako właścicielka jednej z działek jest stroną przedmiotowego postępowania oraz ze względu na fakt, iż w przedmiotowym postępowaniu bierze udział więcej niż dwadzieścia stron, tutejszy organ będzie dokonywać zawiadomień o decyzjach i innych czynnościach organu w formie publicznego obwieszczenia, zamieszczonego w Biuletynie Informacji Publicznej na stronie podmiotowej urzędów: Łódzkiego Urzędu Wojewódzkiego w Łodzi, Urzędu Gminy Dmosin, Urzędu Gminy Brzeziny i Urzędu Miasta Brzeziny, oraz na tablicach ogłoszeń w siedzibach tych urzędów – zgodnie z art. 49 § 1 w związku z art. 49a kpa. Jednocześnie poinformowano właścicielkę ww. nieruchomości, że zgodnie z art. 10 oraz art. 73 kpa, do czasu wydania decyzji, strony postępowania mogą zapoznać się osobiście lub przez pełnomocnika ze zgromadzonym materiałem i dowodami, wypowiedzieć</w:t>
      </w:r>
      <w:r w:rsidR="001E42CA">
        <w:rPr>
          <w:sz w:val="24"/>
          <w:szCs w:val="24"/>
        </w:rPr>
        <w:t xml:space="preserve"> </w:t>
      </w:r>
      <w:r>
        <w:rPr>
          <w:sz w:val="24"/>
          <w:szCs w:val="24"/>
        </w:rPr>
        <w:t>się</w:t>
      </w:r>
      <w:r w:rsidR="001E42CA">
        <w:rPr>
          <w:sz w:val="24"/>
          <w:szCs w:val="24"/>
        </w:rPr>
        <w:t xml:space="preserve"> </w:t>
      </w:r>
      <w:r>
        <w:rPr>
          <w:sz w:val="24"/>
          <w:szCs w:val="24"/>
        </w:rPr>
        <w:t>co do ich zawartości, składać wnioski oraz uzyskać wyjaśnienia dotyczące rozpatrywanej sprawy.</w:t>
      </w:r>
    </w:p>
    <w:p w:rsidR="00C67589">
      <w:pPr>
        <w:widowControl w:val="0"/>
        <w:tabs>
          <w:tab w:val="left" w:pos="397"/>
          <w:tab w:val="left" w:pos="720"/>
        </w:tabs>
        <w:spacing w:line="336" w:lineRule="auto"/>
        <w:ind w:firstLine="567"/>
        <w:jc w:val="both"/>
        <w:rPr>
          <w:sz w:val="24"/>
          <w:szCs w:val="24"/>
        </w:rPr>
      </w:pPr>
      <w:r>
        <w:rPr>
          <w:sz w:val="24"/>
          <w:szCs w:val="24"/>
        </w:rPr>
        <w:t xml:space="preserve">Ponadto w dniu 13.02.2024 r. do tut. organu, za pomocą platformy </w:t>
      </w:r>
      <w:r>
        <w:rPr>
          <w:sz w:val="24"/>
          <w:szCs w:val="24"/>
        </w:rPr>
        <w:t>ePUAP</w:t>
      </w:r>
      <w:r w:rsidR="001E42CA">
        <w:rPr>
          <w:sz w:val="24"/>
          <w:szCs w:val="24"/>
        </w:rPr>
        <w:t>,</w:t>
      </w:r>
      <w:r>
        <w:rPr>
          <w:sz w:val="24"/>
          <w:szCs w:val="24"/>
        </w:rPr>
        <w:t xml:space="preserve"> wpłynęły wnioski dwóch stron postępowania o udzielenie informacji publicznej – przekazanie kompletnego wniosku o wydanie zezwolenia na wejście na t</w:t>
      </w:r>
      <w:r w:rsidR="001E42CA">
        <w:rPr>
          <w:sz w:val="24"/>
          <w:szCs w:val="24"/>
        </w:rPr>
        <w:t>eren nieruchomości lub jej częśc</w:t>
      </w:r>
      <w:r>
        <w:rPr>
          <w:sz w:val="24"/>
          <w:szCs w:val="24"/>
        </w:rPr>
        <w:t>i wraz z załącznikiem graficznym. Pismami z dnia 21.02.2024 r. stronom została udzielona informacja publiczna – zgodnie z wnioskami</w:t>
      </w:r>
      <w:r w:rsidR="001E42CA">
        <w:rPr>
          <w:sz w:val="24"/>
          <w:szCs w:val="24"/>
        </w:rPr>
        <w:t>,</w:t>
      </w:r>
      <w:r>
        <w:rPr>
          <w:sz w:val="24"/>
          <w:szCs w:val="24"/>
        </w:rPr>
        <w:t xml:space="preserve"> w trybie określonym w ustawie </w:t>
      </w:r>
      <w:r>
        <w:rPr>
          <w:color w:val="000000"/>
          <w:sz w:val="24"/>
          <w:szCs w:val="24"/>
        </w:rPr>
        <w:t xml:space="preserve">z dnia 6 września 2001 r. </w:t>
      </w:r>
      <w:bookmarkStart w:id="9" w:name="__DdeLink__1166_197191399"/>
      <w:r>
        <w:rPr>
          <w:color w:val="000000"/>
          <w:sz w:val="24"/>
          <w:szCs w:val="24"/>
        </w:rPr>
        <w:t>o dostępie do informacji publicznej</w:t>
      </w:r>
      <w:bookmarkEnd w:id="9"/>
      <w:r>
        <w:rPr>
          <w:color w:val="000000"/>
          <w:sz w:val="24"/>
          <w:szCs w:val="24"/>
        </w:rPr>
        <w:t xml:space="preserve"> (</w:t>
      </w:r>
      <w:r>
        <w:rPr>
          <w:color w:val="000000"/>
          <w:sz w:val="24"/>
          <w:szCs w:val="24"/>
        </w:rPr>
        <w:t>t.j</w:t>
      </w:r>
      <w:r>
        <w:rPr>
          <w:color w:val="000000"/>
          <w:sz w:val="24"/>
          <w:szCs w:val="24"/>
        </w:rPr>
        <w:t>. Dz.U. z 2022 r. poz. 902).</w:t>
      </w:r>
    </w:p>
    <w:p w:rsidR="00C67589">
      <w:pPr>
        <w:widowControl w:val="0"/>
        <w:tabs>
          <w:tab w:val="left" w:pos="397"/>
          <w:tab w:val="left" w:pos="720"/>
        </w:tabs>
        <w:spacing w:line="336" w:lineRule="auto"/>
        <w:ind w:firstLine="567"/>
        <w:jc w:val="both"/>
        <w:rPr>
          <w:sz w:val="24"/>
          <w:szCs w:val="24"/>
        </w:rPr>
      </w:pPr>
      <w:r>
        <w:rPr>
          <w:color w:val="000000"/>
          <w:sz w:val="24"/>
          <w:szCs w:val="24"/>
          <w:lang w:eastAsia="pl-PL"/>
        </w:rPr>
        <w:t xml:space="preserve">Żadna ze stron postępowania nie skorzystała z prawa do zapoznania się z aktami sprawy w siedzibie tutejszego urzędu. </w:t>
      </w:r>
    </w:p>
    <w:p w:rsidR="00C67589">
      <w:pPr>
        <w:spacing w:line="348" w:lineRule="auto"/>
        <w:ind w:firstLine="567"/>
        <w:jc w:val="both"/>
        <w:rPr>
          <w:sz w:val="24"/>
          <w:szCs w:val="24"/>
        </w:rPr>
      </w:pPr>
      <w:r>
        <w:rPr>
          <w:sz w:val="24"/>
          <w:szCs w:val="24"/>
        </w:rPr>
        <w:t xml:space="preserve">W tym miejscu zauważyć należy, iż w art. 120g ust. 3 specustawy CPK, ustawodawca przewidział, iż inwestor Inwestycji Towarzyszącej występuje do wojewody z wnioskiem o wydanie decyzji o zezwoleniu na wejście na teren tej nieruchomości lub jej części </w:t>
      </w:r>
      <w:r>
        <w:rPr>
          <w:sz w:val="24"/>
          <w:szCs w:val="24"/>
        </w:rPr>
        <w:t xml:space="preserve">w przypadku nieuzyskania przez niego, we wskazanym terminie 30 dni, zgody właściciela lub użytkownika wieczystego nieruchomości na wejście na teren nieruchomości lub jej części. </w:t>
      </w:r>
    </w:p>
    <w:p w:rsidR="00C67589">
      <w:pPr>
        <w:spacing w:line="348" w:lineRule="auto"/>
        <w:ind w:firstLine="567"/>
        <w:jc w:val="both"/>
        <w:rPr>
          <w:sz w:val="24"/>
          <w:szCs w:val="24"/>
        </w:rPr>
      </w:pPr>
      <w:r>
        <w:rPr>
          <w:sz w:val="24"/>
          <w:szCs w:val="24"/>
        </w:rPr>
        <w:t xml:space="preserve">W pierwszej kolejności bowiem, inwestor został zobowiązany do wystąpienia do właściciela lub użytkownika wieczystego nieruchomości o zgodę na wejście na teren nieruchomości lub jej części oraz uzgodnienia z nim przewidywanego sposobu, zakresu i terminu korzystania z nieruchomości. </w:t>
      </w:r>
      <w:r>
        <w:rPr>
          <w:color w:val="000000"/>
          <w:kern w:val="0"/>
          <w:sz w:val="24"/>
          <w:szCs w:val="24"/>
          <w:lang w:eastAsia="pl-PL"/>
        </w:rPr>
        <w:t xml:space="preserve">Zgodnie z art. 120g ust. 1 </w:t>
      </w:r>
      <w:r>
        <w:rPr>
          <w:iCs/>
          <w:color w:val="000000"/>
          <w:kern w:val="0"/>
          <w:sz w:val="24"/>
          <w:szCs w:val="24"/>
          <w:lang w:eastAsia="pl-PL"/>
        </w:rPr>
        <w:t>spec</w:t>
      </w:r>
      <w:r>
        <w:rPr>
          <w:color w:val="000000"/>
          <w:kern w:val="0"/>
          <w:sz w:val="24"/>
          <w:szCs w:val="24"/>
          <w:lang w:eastAsia="pl-PL"/>
        </w:rPr>
        <w:t xml:space="preserve">ustawy CPK, </w:t>
      </w:r>
      <w:r>
        <w:rPr>
          <w:color w:val="000000"/>
          <w:sz w:val="24"/>
          <w:szCs w:val="24"/>
        </w:rPr>
        <w:t xml:space="preserve">w przypadku gdy Inwestycja Towarzysząca wymaga wejścia na teren cudzej nieruchomości w celu wykonania prac polegających na: </w:t>
      </w:r>
    </w:p>
    <w:p w:rsidR="00C67589">
      <w:pPr>
        <w:numPr>
          <w:ilvl w:val="0"/>
          <w:numId w:val="5"/>
        </w:numPr>
        <w:spacing w:before="57" w:after="57" w:line="360" w:lineRule="auto"/>
        <w:jc w:val="both"/>
        <w:rPr>
          <w:sz w:val="24"/>
          <w:szCs w:val="24"/>
        </w:rPr>
      </w:pPr>
      <w:r>
        <w:rPr>
          <w:sz w:val="24"/>
          <w:szCs w:val="24"/>
        </w:rPr>
        <w:t xml:space="preserve">wycince drzew i krzewów, wykonaniu kompensacji przyrodniczej, </w:t>
      </w:r>
    </w:p>
    <w:p w:rsidR="00C67589">
      <w:pPr>
        <w:numPr>
          <w:ilvl w:val="0"/>
          <w:numId w:val="5"/>
        </w:numPr>
        <w:spacing w:before="57" w:after="57" w:line="360" w:lineRule="auto"/>
        <w:jc w:val="both"/>
        <w:rPr>
          <w:sz w:val="24"/>
          <w:szCs w:val="24"/>
        </w:rPr>
      </w:pPr>
      <w:r>
        <w:rPr>
          <w:sz w:val="24"/>
          <w:szCs w:val="24"/>
        </w:rPr>
        <w:t xml:space="preserve">przeprowadzeniu badań archeologicznych, hydrogeologicznych, prac geologicznych lub określeniu geotechnicznych warunków posadowienia obiektu, lub wykonaniu innych czynności niezbędnych do sporządzenia dokumentacji technicznej bezpośrednio związanej z Inwestycją Towarzyszącą, </w:t>
      </w:r>
    </w:p>
    <w:p w:rsidR="00C67589">
      <w:pPr>
        <w:numPr>
          <w:ilvl w:val="0"/>
          <w:numId w:val="5"/>
        </w:numPr>
        <w:spacing w:before="57" w:after="57" w:line="360" w:lineRule="auto"/>
        <w:jc w:val="both"/>
        <w:rPr>
          <w:sz w:val="24"/>
          <w:szCs w:val="24"/>
        </w:rPr>
      </w:pPr>
      <w:r>
        <w:rPr>
          <w:sz w:val="24"/>
          <w:szCs w:val="24"/>
        </w:rPr>
        <w:t xml:space="preserve">przeprowadzeniu pomiarów, badań lub innych prac niezbędnych do sporządzenia karty informacyjnej przedsięwzięcia lub raportu o oddziaływaniu przedsięwzięcia na środowisko </w:t>
      </w:r>
    </w:p>
    <w:p w:rsidR="00C67589">
      <w:pPr>
        <w:spacing w:line="348" w:lineRule="auto"/>
        <w:jc w:val="both"/>
        <w:rPr>
          <w:sz w:val="24"/>
          <w:szCs w:val="24"/>
        </w:rPr>
      </w:pPr>
      <w:r>
        <w:rPr>
          <w:color w:val="000000"/>
          <w:sz w:val="24"/>
          <w:szCs w:val="24"/>
        </w:rPr>
        <w:t xml:space="preserve">- inwestor Inwestycji Towarzyszącej występuje do właściciela lub użytkownika wieczystego nieruchomości o zgodę na wejście na teren nieruchomości lub jej części oraz uzgadnia z nim przewidywany sposób, zakres i termin korzystania z nieruchomości. </w:t>
      </w:r>
    </w:p>
    <w:p w:rsidR="00C67589">
      <w:pPr>
        <w:spacing w:line="348" w:lineRule="auto"/>
        <w:ind w:firstLine="567"/>
        <w:jc w:val="both"/>
        <w:rPr>
          <w:sz w:val="24"/>
          <w:szCs w:val="24"/>
        </w:rPr>
      </w:pPr>
      <w:r>
        <w:rPr>
          <w:color w:val="000000"/>
          <w:sz w:val="24"/>
          <w:szCs w:val="24"/>
        </w:rPr>
        <w:t xml:space="preserve">Mając na uwadze powyższe, tj. konieczność weryfikacji, czy inwestor wypełnił obowiązek określony w art. 120g ust. 1 i jest uprawniony do wystąpienia z wnioskiem o wydanie decyzji </w:t>
      </w:r>
      <w:r>
        <w:rPr>
          <w:color w:val="000000"/>
          <w:kern w:val="0"/>
          <w:sz w:val="24"/>
          <w:szCs w:val="24"/>
          <w:lang w:eastAsia="pl-PL"/>
        </w:rPr>
        <w:t xml:space="preserve">o zezwoleniu </w:t>
      </w:r>
      <w:r>
        <w:rPr>
          <w:rFonts w:eastAsia="Arial Unicode MS"/>
          <w:color w:val="000000"/>
          <w:sz w:val="24"/>
          <w:szCs w:val="24"/>
        </w:rPr>
        <w:t>na wejście na teren tej nieruchomości lub jej części</w:t>
      </w:r>
      <w:r>
        <w:rPr>
          <w:color w:val="000000"/>
          <w:kern w:val="0"/>
          <w:sz w:val="24"/>
          <w:szCs w:val="24"/>
          <w:lang w:eastAsia="pl-PL"/>
        </w:rPr>
        <w:t xml:space="preserve">, tutejszy organ pismem z dnia 29.01.2024 r. zwrócił się do inwestora, na podstawie art. 50 § 1 kpa, o udokumentowanie faktu wystąpienia do właścicieli lub użytkowników wieczystych nieruchomości, objętych przedmiotowym wnioskiem, o zgodę na wejście na teren nieruchomości, poprzez przedłożenie potwierdzonych za zgodność z oryginałem kopii prowadzonej w tym zakresie korespondencji (w tym zwrotnych potwierdzeń odbioru, kopii zwrotów, itp.) w terminie 30 dni od daty odbioru pisma. Pismem z dnia 07.02.2024 r., </w:t>
      </w:r>
      <w:r w:rsidR="00B37C4A">
        <w:rPr>
          <w:color w:val="000000"/>
          <w:kern w:val="0"/>
          <w:sz w:val="24"/>
          <w:szCs w:val="24"/>
          <w:lang w:eastAsia="pl-PL"/>
        </w:rPr>
        <w:t>i</w:t>
      </w:r>
      <w:r>
        <w:rPr>
          <w:color w:val="000000"/>
          <w:kern w:val="0"/>
          <w:sz w:val="24"/>
          <w:szCs w:val="24"/>
          <w:lang w:eastAsia="pl-PL"/>
        </w:rPr>
        <w:t xml:space="preserve">nwestor zwrócił się z prośbą o przedłużenie terminu na uzupełnienie ww. </w:t>
      </w:r>
      <w:r w:rsidR="00B37C4A">
        <w:rPr>
          <w:color w:val="000000"/>
          <w:kern w:val="0"/>
          <w:sz w:val="24"/>
          <w:szCs w:val="24"/>
          <w:lang w:eastAsia="pl-PL"/>
        </w:rPr>
        <w:t>dokumentacji</w:t>
      </w:r>
      <w:r>
        <w:rPr>
          <w:color w:val="000000"/>
          <w:kern w:val="0"/>
          <w:sz w:val="24"/>
          <w:szCs w:val="24"/>
          <w:lang w:eastAsia="pl-PL"/>
        </w:rPr>
        <w:t>. Tutejszy organ wyznaczył nowy termin u</w:t>
      </w:r>
      <w:r w:rsidR="00B37C4A">
        <w:rPr>
          <w:color w:val="000000"/>
          <w:kern w:val="0"/>
          <w:sz w:val="24"/>
          <w:szCs w:val="24"/>
          <w:lang w:eastAsia="pl-PL"/>
        </w:rPr>
        <w:t>dziele</w:t>
      </w:r>
      <w:r>
        <w:rPr>
          <w:color w:val="000000"/>
          <w:kern w:val="0"/>
          <w:sz w:val="24"/>
          <w:szCs w:val="24"/>
          <w:lang w:eastAsia="pl-PL"/>
        </w:rPr>
        <w:t xml:space="preserve">nia </w:t>
      </w:r>
      <w:r w:rsidR="00B37C4A">
        <w:rPr>
          <w:color w:val="000000"/>
          <w:kern w:val="0"/>
          <w:sz w:val="24"/>
          <w:szCs w:val="24"/>
          <w:lang w:eastAsia="pl-PL"/>
        </w:rPr>
        <w:t>odpowiedzi</w:t>
      </w:r>
      <w:r>
        <w:rPr>
          <w:color w:val="000000"/>
          <w:kern w:val="0"/>
          <w:sz w:val="24"/>
          <w:szCs w:val="24"/>
          <w:lang w:eastAsia="pl-PL"/>
        </w:rPr>
        <w:t xml:space="preserve"> – do dnia 29.02.2024 r.</w:t>
      </w:r>
    </w:p>
    <w:p w:rsidR="00C67589">
      <w:pPr>
        <w:widowControl w:val="0"/>
        <w:tabs>
          <w:tab w:val="left" w:pos="0"/>
        </w:tabs>
        <w:spacing w:line="360" w:lineRule="auto"/>
        <w:ind w:firstLine="567"/>
        <w:jc w:val="both"/>
        <w:rPr>
          <w:sz w:val="24"/>
          <w:szCs w:val="24"/>
        </w:rPr>
      </w:pPr>
      <w:r>
        <w:rPr>
          <w:color w:val="000000"/>
          <w:kern w:val="0"/>
          <w:sz w:val="24"/>
          <w:szCs w:val="24"/>
          <w:lang w:eastAsia="pl-PL"/>
        </w:rPr>
        <w:t xml:space="preserve">Z uwagi na konieczność przeprowadzenia postępowania wyjaśniającego, organ zawiadomił inwestora pismem z dnia 15.02.2024 r., na podstawie art. 36 § 1 kpa, że wniosek nie będzie rozpatrzony w ustawowym terminie, określonym w art. 35 § 3 i 4 kpa w związku z art. 120g ust. 5 specustawy CPK, wskazując nowy termin załatwienia sprawy – do dnia </w:t>
      </w:r>
      <w:r>
        <w:rPr>
          <w:color w:val="000000"/>
          <w:kern w:val="0"/>
          <w:sz w:val="24"/>
          <w:szCs w:val="24"/>
          <w:lang w:eastAsia="pl-PL"/>
        </w:rPr>
        <w:t>15.03.2024 r. Pozostałe strony postępowania zostały zawiadomione w drodze publicznego obwieszczenia.</w:t>
      </w:r>
    </w:p>
    <w:p w:rsidR="00C67589">
      <w:pPr>
        <w:widowControl w:val="0"/>
        <w:tabs>
          <w:tab w:val="left" w:pos="0"/>
        </w:tabs>
        <w:spacing w:line="360" w:lineRule="auto"/>
        <w:ind w:firstLine="567"/>
        <w:jc w:val="both"/>
        <w:rPr>
          <w:sz w:val="24"/>
          <w:szCs w:val="24"/>
        </w:rPr>
      </w:pPr>
      <w:r>
        <w:rPr>
          <w:color w:val="000000"/>
          <w:kern w:val="0"/>
          <w:sz w:val="24"/>
          <w:szCs w:val="24"/>
          <w:lang w:eastAsia="pl-PL"/>
        </w:rPr>
        <w:t xml:space="preserve">Pismem z dnia 28.02.2024 r., Inwestor ponownie zwrócił się z prośbą o przedłużenie terminu na uzupełnienie </w:t>
      </w:r>
      <w:r w:rsidR="00D413F7">
        <w:rPr>
          <w:color w:val="000000"/>
          <w:kern w:val="0"/>
          <w:sz w:val="24"/>
          <w:szCs w:val="24"/>
          <w:lang w:eastAsia="pl-PL"/>
        </w:rPr>
        <w:t>wskazanej w piśmie z dnia 29.01.2024 r. dokumentacji</w:t>
      </w:r>
      <w:r>
        <w:rPr>
          <w:color w:val="000000"/>
          <w:kern w:val="0"/>
          <w:sz w:val="24"/>
          <w:szCs w:val="24"/>
          <w:lang w:eastAsia="pl-PL"/>
        </w:rPr>
        <w:t xml:space="preserve">. Tutejszy organ </w:t>
      </w:r>
      <w:r w:rsidR="00D413F7">
        <w:rPr>
          <w:color w:val="000000"/>
          <w:kern w:val="0"/>
          <w:sz w:val="24"/>
          <w:szCs w:val="24"/>
          <w:lang w:eastAsia="pl-PL"/>
        </w:rPr>
        <w:t xml:space="preserve">pismem z dnia </w:t>
      </w:r>
      <w:r>
        <w:rPr>
          <w:color w:val="000000"/>
          <w:kern w:val="0"/>
          <w:sz w:val="24"/>
          <w:szCs w:val="24"/>
          <w:lang w:eastAsia="pl-PL"/>
        </w:rPr>
        <w:t xml:space="preserve">wyznaczył nowy termin </w:t>
      </w:r>
      <w:r w:rsidR="00D413F7">
        <w:rPr>
          <w:color w:val="000000"/>
          <w:kern w:val="0"/>
          <w:sz w:val="24"/>
          <w:szCs w:val="24"/>
          <w:lang w:eastAsia="pl-PL"/>
        </w:rPr>
        <w:t xml:space="preserve">udzielenia odpowiedzi </w:t>
      </w:r>
      <w:r>
        <w:rPr>
          <w:color w:val="000000"/>
          <w:kern w:val="0"/>
          <w:sz w:val="24"/>
          <w:szCs w:val="24"/>
          <w:lang w:eastAsia="pl-PL"/>
        </w:rPr>
        <w:t>– do dnia 08.03.2024</w:t>
      </w:r>
      <w:r w:rsidR="00D413F7">
        <w:rPr>
          <w:color w:val="000000"/>
          <w:kern w:val="0"/>
          <w:sz w:val="24"/>
          <w:szCs w:val="24"/>
          <w:lang w:eastAsia="pl-PL"/>
        </w:rPr>
        <w:t> </w:t>
      </w:r>
      <w:r>
        <w:rPr>
          <w:color w:val="000000"/>
          <w:kern w:val="0"/>
          <w:sz w:val="24"/>
          <w:szCs w:val="24"/>
          <w:lang w:eastAsia="pl-PL"/>
        </w:rPr>
        <w:t>r. Inwestor przesłał wymaganą dokumentację przy piśmie z</w:t>
      </w:r>
      <w:r w:rsidR="00D413F7">
        <w:rPr>
          <w:color w:val="000000"/>
          <w:kern w:val="0"/>
          <w:sz w:val="24"/>
          <w:szCs w:val="24"/>
          <w:lang w:eastAsia="pl-PL"/>
        </w:rPr>
        <w:t xml:space="preserve"> </w:t>
      </w:r>
      <w:r>
        <w:rPr>
          <w:color w:val="000000"/>
          <w:kern w:val="0"/>
          <w:sz w:val="24"/>
          <w:szCs w:val="24"/>
          <w:lang w:eastAsia="pl-PL"/>
        </w:rPr>
        <w:t xml:space="preserve">dnia 07.03.2024 r. (wpływ do tutejszego urzędu w dniu 08.03.2024 r.). </w:t>
      </w:r>
    </w:p>
    <w:p w:rsidR="00C67589" w:rsidP="001248D7">
      <w:pPr>
        <w:widowControl w:val="0"/>
        <w:tabs>
          <w:tab w:val="left" w:pos="0"/>
        </w:tabs>
        <w:spacing w:line="360" w:lineRule="auto"/>
        <w:ind w:firstLine="567"/>
        <w:jc w:val="both"/>
        <w:rPr>
          <w:sz w:val="24"/>
          <w:szCs w:val="24"/>
        </w:rPr>
      </w:pPr>
      <w:r>
        <w:rPr>
          <w:color w:val="000000"/>
          <w:kern w:val="0"/>
          <w:sz w:val="24"/>
          <w:szCs w:val="24"/>
          <w:lang w:eastAsia="pl-PL"/>
        </w:rPr>
        <w:t>Z uwagi na konieczność weryfikacji zgromadzonej w sprawie dokumentacji i ocenę jej zgodności z obowiązującymi przepisami, organ zawiadomił inwestora pismem z dnia 15.03.2024 r., na podstawie art. 36 § 1 kpa, że wniosek nie</w:t>
      </w:r>
      <w:r w:rsidR="00D36034">
        <w:rPr>
          <w:color w:val="000000"/>
          <w:kern w:val="0"/>
          <w:sz w:val="24"/>
          <w:szCs w:val="24"/>
          <w:lang w:eastAsia="pl-PL"/>
        </w:rPr>
        <w:t xml:space="preserve"> </w:t>
      </w:r>
      <w:r>
        <w:rPr>
          <w:color w:val="000000"/>
          <w:kern w:val="0"/>
          <w:sz w:val="24"/>
          <w:szCs w:val="24"/>
          <w:lang w:eastAsia="pl-PL"/>
        </w:rPr>
        <w:t>będzie rozpatrzony w ustawowym terminie, określonym w art. 35 § 3 i 4 kpa w związku z</w:t>
      </w:r>
      <w:r w:rsidR="00D36034">
        <w:rPr>
          <w:color w:val="000000"/>
          <w:kern w:val="0"/>
          <w:sz w:val="24"/>
          <w:szCs w:val="24"/>
          <w:lang w:eastAsia="pl-PL"/>
        </w:rPr>
        <w:t xml:space="preserve"> </w:t>
      </w:r>
      <w:r>
        <w:rPr>
          <w:color w:val="000000"/>
          <w:kern w:val="0"/>
          <w:sz w:val="24"/>
          <w:szCs w:val="24"/>
          <w:lang w:eastAsia="pl-PL"/>
        </w:rPr>
        <w:t xml:space="preserve">art. 120g ust. 5 </w:t>
      </w:r>
      <w:r>
        <w:rPr>
          <w:sz w:val="24"/>
          <w:szCs w:val="24"/>
        </w:rPr>
        <w:t>specustawy CPK</w:t>
      </w:r>
      <w:r>
        <w:rPr>
          <w:color w:val="000000"/>
          <w:kern w:val="0"/>
          <w:sz w:val="24"/>
          <w:szCs w:val="24"/>
          <w:lang w:eastAsia="pl-PL"/>
        </w:rPr>
        <w:t>, wskazując nowy termin załatwienia sprawy – do dnia 15.04.2024 r. Pozostałe strony postępowania zostały zawiadomione w drodze publicznego obwieszczenia.</w:t>
      </w:r>
    </w:p>
    <w:p w:rsidR="00C67589" w:rsidP="001248D7">
      <w:pPr>
        <w:spacing w:line="360" w:lineRule="auto"/>
        <w:ind w:firstLine="709"/>
        <w:jc w:val="both"/>
        <w:rPr>
          <w:sz w:val="24"/>
          <w:szCs w:val="24"/>
        </w:rPr>
      </w:pPr>
      <w:r>
        <w:rPr>
          <w:color w:val="000000"/>
          <w:kern w:val="0"/>
          <w:sz w:val="24"/>
          <w:szCs w:val="24"/>
          <w:lang w:eastAsia="ar-SA"/>
        </w:rPr>
        <w:t>Po weryfikacji przedłożonej w dniu 08.03.2024 r. dokumentacji, organ stwierdził brak potwierdzenia wystąpienia przez inwestora o zgodę na wejście na teren nieruchomości lub ich części do właścicieli i użytkowników wieczystych następujących nieruchomości:</w:t>
      </w:r>
    </w:p>
    <w:p w:rsidR="00C67589" w:rsidP="001248D7">
      <w:pPr>
        <w:spacing w:line="360" w:lineRule="auto"/>
        <w:ind w:firstLine="709"/>
        <w:jc w:val="both"/>
        <w:rPr>
          <w:sz w:val="24"/>
          <w:szCs w:val="24"/>
        </w:rPr>
      </w:pPr>
      <w:r>
        <w:rPr>
          <w:color w:val="000000"/>
          <w:kern w:val="0"/>
          <w:sz w:val="24"/>
          <w:szCs w:val="24"/>
          <w:lang w:eastAsia="ar-SA"/>
        </w:rPr>
        <w:t>Gmina Dmosin - obręb 7 Kołacin: dz. nr 94;</w:t>
      </w:r>
    </w:p>
    <w:p w:rsidR="00C67589" w:rsidP="001248D7">
      <w:pPr>
        <w:spacing w:line="360" w:lineRule="auto"/>
        <w:ind w:firstLine="709"/>
        <w:jc w:val="both"/>
        <w:rPr>
          <w:sz w:val="24"/>
          <w:szCs w:val="24"/>
        </w:rPr>
      </w:pPr>
      <w:r>
        <w:rPr>
          <w:color w:val="000000"/>
          <w:kern w:val="0"/>
          <w:sz w:val="24"/>
          <w:szCs w:val="24"/>
          <w:lang w:eastAsia="ar-SA"/>
        </w:rPr>
        <w:t>Gmina Brzeziny - obręb 11 Helenów: dz. nr 8; obręb 19 Paprotnia: dz. nr 74, 210;</w:t>
      </w:r>
    </w:p>
    <w:p w:rsidR="00C67589" w:rsidP="001248D7">
      <w:pPr>
        <w:widowControl w:val="0"/>
        <w:tabs>
          <w:tab w:val="left" w:pos="0"/>
        </w:tabs>
        <w:spacing w:line="360" w:lineRule="auto"/>
        <w:ind w:firstLine="709"/>
        <w:jc w:val="both"/>
        <w:rPr>
          <w:sz w:val="24"/>
          <w:szCs w:val="24"/>
        </w:rPr>
      </w:pPr>
      <w:r>
        <w:rPr>
          <w:color w:val="000000"/>
          <w:kern w:val="0"/>
          <w:sz w:val="24"/>
          <w:szCs w:val="24"/>
          <w:lang w:eastAsia="ar-SA"/>
        </w:rPr>
        <w:t>Gmina Miasto Brzeziny - obręb 1: dz. nr 142.</w:t>
      </w:r>
    </w:p>
    <w:p w:rsidR="00C67589" w:rsidP="001248D7">
      <w:pPr>
        <w:widowControl w:val="0"/>
        <w:tabs>
          <w:tab w:val="left" w:pos="0"/>
        </w:tabs>
        <w:spacing w:line="360" w:lineRule="auto"/>
        <w:jc w:val="both"/>
        <w:rPr>
          <w:sz w:val="24"/>
          <w:szCs w:val="24"/>
        </w:rPr>
      </w:pPr>
      <w:r>
        <w:rPr>
          <w:kern w:val="0"/>
          <w:sz w:val="24"/>
          <w:szCs w:val="24"/>
          <w:lang w:eastAsia="ar-SA"/>
        </w:rPr>
        <w:tab/>
      </w:r>
      <w:r w:rsidR="001248D7">
        <w:rPr>
          <w:kern w:val="0"/>
          <w:sz w:val="24"/>
          <w:szCs w:val="24"/>
          <w:lang w:eastAsia="ar-SA"/>
        </w:rPr>
        <w:t>W związku z powyższym, p</w:t>
      </w:r>
      <w:r w:rsidR="00B112BC">
        <w:rPr>
          <w:kern w:val="0"/>
          <w:sz w:val="24"/>
          <w:szCs w:val="24"/>
          <w:lang w:eastAsia="ar-SA"/>
        </w:rPr>
        <w:t>ismem z dnia 11.04.2024 r. tut. organ wezwał inwestora do</w:t>
      </w:r>
      <w:r w:rsidR="001248D7">
        <w:rPr>
          <w:kern w:val="0"/>
          <w:sz w:val="24"/>
          <w:szCs w:val="24"/>
          <w:lang w:eastAsia="ar-SA"/>
        </w:rPr>
        <w:t> </w:t>
      </w:r>
      <w:r w:rsidR="00B112BC">
        <w:rPr>
          <w:kern w:val="0"/>
          <w:sz w:val="24"/>
          <w:szCs w:val="24"/>
          <w:lang w:eastAsia="ar-SA"/>
        </w:rPr>
        <w:t>złożenia wyjaśnień i</w:t>
      </w:r>
      <w:r w:rsidR="001248D7">
        <w:rPr>
          <w:kern w:val="0"/>
          <w:sz w:val="24"/>
          <w:szCs w:val="24"/>
          <w:lang w:eastAsia="ar-SA"/>
        </w:rPr>
        <w:t xml:space="preserve"> </w:t>
      </w:r>
      <w:r w:rsidR="00B112BC">
        <w:rPr>
          <w:kern w:val="0"/>
          <w:sz w:val="24"/>
          <w:szCs w:val="24"/>
          <w:lang w:eastAsia="ar-SA"/>
        </w:rPr>
        <w:t>dostarczenia kopii potwierdzeń wystąpienia przez Inwestora o zgodę na wejście na teren nieruchomości lub ich części do</w:t>
      </w:r>
      <w:r w:rsidR="00D36034">
        <w:rPr>
          <w:kern w:val="0"/>
          <w:sz w:val="24"/>
          <w:szCs w:val="24"/>
          <w:lang w:eastAsia="ar-SA"/>
        </w:rPr>
        <w:t xml:space="preserve"> </w:t>
      </w:r>
      <w:r w:rsidR="00B112BC">
        <w:rPr>
          <w:kern w:val="0"/>
          <w:sz w:val="24"/>
          <w:szCs w:val="24"/>
          <w:lang w:eastAsia="ar-SA"/>
        </w:rPr>
        <w:t>właścicieli i</w:t>
      </w:r>
      <w:r w:rsidR="001248D7">
        <w:rPr>
          <w:kern w:val="0"/>
          <w:sz w:val="24"/>
          <w:szCs w:val="24"/>
          <w:lang w:eastAsia="ar-SA"/>
        </w:rPr>
        <w:t xml:space="preserve"> </w:t>
      </w:r>
      <w:r w:rsidR="00B112BC">
        <w:rPr>
          <w:kern w:val="0"/>
          <w:sz w:val="24"/>
          <w:szCs w:val="24"/>
          <w:lang w:eastAsia="ar-SA"/>
        </w:rPr>
        <w:t>użytkowników wieczystych ww. nieruchomości</w:t>
      </w:r>
      <w:r w:rsidR="001248D7">
        <w:rPr>
          <w:kern w:val="0"/>
          <w:sz w:val="24"/>
          <w:szCs w:val="24"/>
          <w:lang w:eastAsia="ar-SA"/>
        </w:rPr>
        <w:t>,</w:t>
      </w:r>
      <w:r w:rsidR="00B112BC">
        <w:rPr>
          <w:kern w:val="0"/>
          <w:sz w:val="24"/>
          <w:szCs w:val="24"/>
          <w:lang w:eastAsia="ar-SA"/>
        </w:rPr>
        <w:t xml:space="preserve"> w terminie 14 dni od daty otrzymania wezwania. </w:t>
      </w:r>
    </w:p>
    <w:p w:rsidR="00C67589" w:rsidP="001248D7">
      <w:pPr>
        <w:widowControl w:val="0"/>
        <w:tabs>
          <w:tab w:val="left" w:pos="0"/>
        </w:tabs>
        <w:spacing w:line="360" w:lineRule="auto"/>
        <w:ind w:firstLine="567"/>
        <w:jc w:val="both"/>
        <w:rPr>
          <w:sz w:val="24"/>
          <w:szCs w:val="24"/>
        </w:rPr>
      </w:pPr>
      <w:r>
        <w:rPr>
          <w:color w:val="000000"/>
          <w:kern w:val="0"/>
          <w:sz w:val="24"/>
          <w:szCs w:val="24"/>
          <w:lang w:eastAsia="pl-PL"/>
        </w:rPr>
        <w:t>Jednocześnie, z</w:t>
      </w:r>
      <w:r w:rsidR="00B112BC">
        <w:rPr>
          <w:color w:val="000000"/>
          <w:kern w:val="0"/>
          <w:sz w:val="24"/>
          <w:szCs w:val="24"/>
          <w:lang w:eastAsia="pl-PL"/>
        </w:rPr>
        <w:t xml:space="preserve"> uwagi na złożony charakter sprawy i konieczność weryfikacji zgromadzonej w</w:t>
      </w:r>
      <w:r>
        <w:rPr>
          <w:color w:val="000000"/>
          <w:kern w:val="0"/>
          <w:sz w:val="24"/>
          <w:szCs w:val="24"/>
          <w:lang w:eastAsia="pl-PL"/>
        </w:rPr>
        <w:t xml:space="preserve"> </w:t>
      </w:r>
      <w:r w:rsidR="00B112BC">
        <w:rPr>
          <w:color w:val="000000"/>
          <w:kern w:val="0"/>
          <w:sz w:val="24"/>
          <w:szCs w:val="24"/>
          <w:lang w:eastAsia="pl-PL"/>
        </w:rPr>
        <w:t>sprawie dokumentacji, organ zawiadomił inwestora pismem z dnia 11.04.2024 r., na</w:t>
      </w:r>
      <w:r>
        <w:rPr>
          <w:color w:val="000000"/>
          <w:kern w:val="0"/>
          <w:sz w:val="24"/>
          <w:szCs w:val="24"/>
          <w:lang w:eastAsia="pl-PL"/>
        </w:rPr>
        <w:t xml:space="preserve"> </w:t>
      </w:r>
      <w:bookmarkStart w:id="10" w:name="_GoBack"/>
      <w:bookmarkEnd w:id="10"/>
      <w:r w:rsidR="00B112BC">
        <w:rPr>
          <w:color w:val="000000"/>
          <w:kern w:val="0"/>
          <w:sz w:val="24"/>
          <w:szCs w:val="24"/>
          <w:lang w:eastAsia="pl-PL"/>
        </w:rPr>
        <w:t>podstawie art. 36 § 1 kpa, że wniosek nie</w:t>
      </w:r>
      <w:r w:rsidR="00D36034">
        <w:rPr>
          <w:color w:val="000000"/>
          <w:kern w:val="0"/>
          <w:sz w:val="24"/>
          <w:szCs w:val="24"/>
          <w:lang w:eastAsia="pl-PL"/>
        </w:rPr>
        <w:t xml:space="preserve"> </w:t>
      </w:r>
      <w:r w:rsidR="00B112BC">
        <w:rPr>
          <w:color w:val="000000"/>
          <w:kern w:val="0"/>
          <w:sz w:val="24"/>
          <w:szCs w:val="24"/>
          <w:lang w:eastAsia="pl-PL"/>
        </w:rPr>
        <w:t>będzie rozpatrzony w ustawowym terminie, określonym w art. 35 § 3 i 4 kpa w związku z</w:t>
      </w:r>
      <w:r w:rsidR="00D36034">
        <w:rPr>
          <w:color w:val="000000"/>
          <w:kern w:val="0"/>
          <w:sz w:val="24"/>
          <w:szCs w:val="24"/>
          <w:lang w:eastAsia="pl-PL"/>
        </w:rPr>
        <w:t xml:space="preserve"> </w:t>
      </w:r>
      <w:r w:rsidR="00B112BC">
        <w:rPr>
          <w:color w:val="000000"/>
          <w:kern w:val="0"/>
          <w:sz w:val="24"/>
          <w:szCs w:val="24"/>
          <w:lang w:eastAsia="pl-PL"/>
        </w:rPr>
        <w:t xml:space="preserve">art. 120g ust. 5 </w:t>
      </w:r>
      <w:r w:rsidR="00B112BC">
        <w:rPr>
          <w:color w:val="000000"/>
          <w:kern w:val="0"/>
          <w:sz w:val="24"/>
          <w:szCs w:val="24"/>
          <w:lang w:eastAsia="ar-SA"/>
        </w:rPr>
        <w:t>specustawy CPK</w:t>
      </w:r>
      <w:r w:rsidR="00B112BC">
        <w:rPr>
          <w:color w:val="000000"/>
          <w:kern w:val="0"/>
          <w:sz w:val="24"/>
          <w:szCs w:val="24"/>
          <w:lang w:eastAsia="pl-PL"/>
        </w:rPr>
        <w:t>, wskazując nowy termin załatwienia sprawy – do dnia 15.05.2024 r. Pozostałe strony postępowania zostały zawiadomione w drodze publicznego obwieszczenia.</w:t>
      </w:r>
    </w:p>
    <w:p w:rsidR="00916756">
      <w:pPr>
        <w:widowControl w:val="0"/>
        <w:tabs>
          <w:tab w:val="left" w:pos="0"/>
        </w:tabs>
        <w:spacing w:line="360" w:lineRule="auto"/>
        <w:ind w:firstLine="709"/>
        <w:jc w:val="both"/>
        <w:rPr>
          <w:color w:val="000000"/>
          <w:kern w:val="0"/>
          <w:sz w:val="24"/>
          <w:szCs w:val="24"/>
          <w:lang w:eastAsia="ar-SA"/>
        </w:rPr>
      </w:pPr>
      <w:r>
        <w:rPr>
          <w:color w:val="000000"/>
          <w:kern w:val="0"/>
          <w:sz w:val="24"/>
          <w:szCs w:val="24"/>
          <w:lang w:eastAsia="ar-SA"/>
        </w:rPr>
        <w:t xml:space="preserve">Inwestor pismem z dnia 19.04.2024 r., </w:t>
      </w:r>
      <w:r w:rsidR="006569EB">
        <w:rPr>
          <w:color w:val="000000"/>
          <w:kern w:val="0"/>
          <w:sz w:val="24"/>
          <w:szCs w:val="24"/>
          <w:lang w:eastAsia="ar-SA"/>
        </w:rPr>
        <w:t xml:space="preserve">dostarczonym </w:t>
      </w:r>
      <w:r>
        <w:rPr>
          <w:color w:val="000000"/>
          <w:kern w:val="0"/>
          <w:sz w:val="24"/>
          <w:szCs w:val="24"/>
          <w:lang w:eastAsia="ar-SA"/>
        </w:rPr>
        <w:t xml:space="preserve">za pomocą platformy </w:t>
      </w:r>
      <w:r>
        <w:rPr>
          <w:color w:val="000000"/>
          <w:kern w:val="0"/>
          <w:sz w:val="24"/>
          <w:szCs w:val="24"/>
          <w:lang w:eastAsia="ar-SA"/>
        </w:rPr>
        <w:t>ePUAP</w:t>
      </w:r>
      <w:r w:rsidR="006569EB">
        <w:rPr>
          <w:color w:val="000000"/>
          <w:kern w:val="0"/>
          <w:sz w:val="24"/>
          <w:szCs w:val="24"/>
          <w:lang w:eastAsia="ar-SA"/>
        </w:rPr>
        <w:t xml:space="preserve"> w dniu 22.04.2024 r., poinformował tut. </w:t>
      </w:r>
      <w:r>
        <w:rPr>
          <w:color w:val="000000"/>
          <w:kern w:val="0"/>
          <w:sz w:val="24"/>
          <w:szCs w:val="24"/>
          <w:lang w:eastAsia="ar-SA"/>
        </w:rPr>
        <w:t>organ o braku potwierdzenia wystąpienia o zgodę na</w:t>
      </w:r>
      <w:r w:rsidR="006569EB">
        <w:rPr>
          <w:color w:val="000000"/>
          <w:kern w:val="0"/>
          <w:sz w:val="24"/>
          <w:szCs w:val="24"/>
          <w:lang w:eastAsia="ar-SA"/>
        </w:rPr>
        <w:t> </w:t>
      </w:r>
      <w:r>
        <w:rPr>
          <w:color w:val="000000"/>
          <w:kern w:val="0"/>
          <w:sz w:val="24"/>
          <w:szCs w:val="24"/>
          <w:lang w:eastAsia="ar-SA"/>
        </w:rPr>
        <w:t xml:space="preserve">wejście dla działki nr 8 </w:t>
      </w:r>
      <w:r>
        <w:rPr>
          <w:color w:val="000000"/>
          <w:kern w:val="0"/>
          <w:sz w:val="24"/>
          <w:szCs w:val="24"/>
          <w:lang w:eastAsia="ar-SA"/>
        </w:rPr>
        <w:t>ob</w:t>
      </w:r>
      <w:r w:rsidR="00D36034">
        <w:rPr>
          <w:color w:val="000000"/>
          <w:kern w:val="0"/>
          <w:sz w:val="24"/>
          <w:szCs w:val="24"/>
          <w:lang w:eastAsia="ar-SA"/>
        </w:rPr>
        <w:t>r</w:t>
      </w:r>
      <w:r>
        <w:rPr>
          <w:color w:val="000000"/>
          <w:kern w:val="0"/>
          <w:sz w:val="24"/>
          <w:szCs w:val="24"/>
          <w:lang w:eastAsia="ar-SA"/>
        </w:rPr>
        <w:t>. Helenów, gm. Brzeziny i wystąpił z korektą wniosku, poprzez usunięcie tej działki z wniosku. Jednocześnie inwestor przekazał skorygowane</w:t>
      </w:r>
      <w:r w:rsidR="00D36034">
        <w:rPr>
          <w:color w:val="000000"/>
          <w:kern w:val="0"/>
          <w:sz w:val="24"/>
          <w:szCs w:val="24"/>
          <w:lang w:eastAsia="ar-SA"/>
        </w:rPr>
        <w:t xml:space="preserve"> w tym zakresie </w:t>
      </w:r>
      <w:r>
        <w:rPr>
          <w:color w:val="000000"/>
          <w:kern w:val="0"/>
          <w:sz w:val="24"/>
          <w:szCs w:val="24"/>
          <w:lang w:eastAsia="ar-SA"/>
        </w:rPr>
        <w:t xml:space="preserve">załączniki graficzne. </w:t>
      </w:r>
    </w:p>
    <w:p w:rsidR="00C67589" w:rsidP="00916756">
      <w:pPr>
        <w:widowControl w:val="0"/>
        <w:tabs>
          <w:tab w:val="left" w:pos="0"/>
        </w:tabs>
        <w:spacing w:line="360" w:lineRule="auto"/>
        <w:ind w:firstLine="567"/>
        <w:jc w:val="both"/>
        <w:rPr>
          <w:sz w:val="24"/>
          <w:szCs w:val="24"/>
        </w:rPr>
      </w:pPr>
      <w:r>
        <w:rPr>
          <w:color w:val="000000"/>
          <w:kern w:val="0"/>
          <w:sz w:val="24"/>
          <w:szCs w:val="24"/>
          <w:lang w:eastAsia="ar-SA"/>
        </w:rPr>
        <w:t>W dniu 30.04.2024 r., przy p</w:t>
      </w:r>
      <w:r w:rsidR="00B112BC">
        <w:rPr>
          <w:color w:val="000000"/>
          <w:kern w:val="0"/>
          <w:sz w:val="24"/>
          <w:szCs w:val="24"/>
          <w:lang w:eastAsia="ar-SA"/>
        </w:rPr>
        <w:t>i</w:t>
      </w:r>
      <w:r>
        <w:rPr>
          <w:color w:val="000000"/>
          <w:kern w:val="0"/>
          <w:sz w:val="24"/>
          <w:szCs w:val="24"/>
          <w:lang w:eastAsia="ar-SA"/>
        </w:rPr>
        <w:t xml:space="preserve">śmie z </w:t>
      </w:r>
      <w:r w:rsidR="00B112BC">
        <w:rPr>
          <w:color w:val="000000"/>
          <w:kern w:val="0"/>
          <w:sz w:val="24"/>
          <w:szCs w:val="24"/>
          <w:lang w:eastAsia="ar-SA"/>
        </w:rPr>
        <w:t>dnia 19.04.2024 r.</w:t>
      </w:r>
      <w:r>
        <w:rPr>
          <w:color w:val="000000"/>
          <w:kern w:val="0"/>
          <w:sz w:val="24"/>
          <w:szCs w:val="24"/>
          <w:lang w:eastAsia="ar-SA"/>
        </w:rPr>
        <w:t xml:space="preserve">, </w:t>
      </w:r>
      <w:r w:rsidR="00B112BC">
        <w:rPr>
          <w:color w:val="000000"/>
          <w:kern w:val="0"/>
          <w:sz w:val="24"/>
          <w:szCs w:val="24"/>
          <w:lang w:eastAsia="ar-SA"/>
        </w:rPr>
        <w:t>nadanym w</w:t>
      </w:r>
      <w:r w:rsidR="00916756">
        <w:rPr>
          <w:color w:val="000000"/>
          <w:kern w:val="0"/>
          <w:sz w:val="24"/>
          <w:szCs w:val="24"/>
          <w:lang w:eastAsia="ar-SA"/>
        </w:rPr>
        <w:t xml:space="preserve"> </w:t>
      </w:r>
      <w:r w:rsidR="00B112BC">
        <w:rPr>
          <w:color w:val="000000"/>
          <w:kern w:val="0"/>
          <w:sz w:val="24"/>
          <w:szCs w:val="24"/>
          <w:lang w:eastAsia="ar-SA"/>
        </w:rPr>
        <w:t>placówce pocztowej 23.04.2024 r., tj. w</w:t>
      </w:r>
      <w:r>
        <w:rPr>
          <w:color w:val="000000"/>
          <w:kern w:val="0"/>
          <w:sz w:val="24"/>
          <w:szCs w:val="24"/>
          <w:lang w:eastAsia="ar-SA"/>
        </w:rPr>
        <w:t xml:space="preserve"> </w:t>
      </w:r>
      <w:r w:rsidR="00B112BC">
        <w:rPr>
          <w:color w:val="000000"/>
          <w:kern w:val="0"/>
          <w:sz w:val="24"/>
          <w:szCs w:val="24"/>
          <w:lang w:eastAsia="ar-SA"/>
        </w:rPr>
        <w:t xml:space="preserve">wyznaczonym terminie, inwestor uzupełnił </w:t>
      </w:r>
      <w:r>
        <w:rPr>
          <w:color w:val="000000"/>
          <w:kern w:val="0"/>
          <w:sz w:val="24"/>
          <w:szCs w:val="24"/>
          <w:lang w:eastAsia="ar-SA"/>
        </w:rPr>
        <w:t xml:space="preserve">pozostałą </w:t>
      </w:r>
      <w:r w:rsidR="00B112BC">
        <w:rPr>
          <w:color w:val="000000"/>
          <w:kern w:val="0"/>
          <w:sz w:val="24"/>
          <w:szCs w:val="24"/>
          <w:lang w:eastAsia="ar-SA"/>
        </w:rPr>
        <w:t>brakującą dokumentację</w:t>
      </w:r>
      <w:r w:rsidR="001248D7">
        <w:rPr>
          <w:color w:val="000000"/>
          <w:kern w:val="0"/>
          <w:sz w:val="24"/>
          <w:szCs w:val="24"/>
          <w:lang w:eastAsia="ar-SA"/>
        </w:rPr>
        <w:t>, zgodnie z wezwaniem</w:t>
      </w:r>
      <w:r w:rsidR="00B112BC">
        <w:rPr>
          <w:color w:val="000000"/>
          <w:kern w:val="0"/>
          <w:sz w:val="24"/>
          <w:szCs w:val="24"/>
          <w:lang w:eastAsia="ar-SA"/>
        </w:rPr>
        <w:t>.</w:t>
      </w:r>
    </w:p>
    <w:p w:rsidR="00C67589">
      <w:pPr>
        <w:widowControl w:val="0"/>
        <w:tabs>
          <w:tab w:val="left" w:pos="0"/>
        </w:tabs>
        <w:spacing w:line="360" w:lineRule="auto"/>
        <w:ind w:firstLine="567"/>
        <w:jc w:val="both"/>
        <w:rPr>
          <w:sz w:val="24"/>
          <w:szCs w:val="24"/>
        </w:rPr>
      </w:pPr>
      <w:r>
        <w:rPr>
          <w:sz w:val="24"/>
          <w:szCs w:val="24"/>
        </w:rPr>
        <w:t>W związku z dokonaną przez inwestora korektą wniosku organ stwierdził, że wydanie decyzji o zezwoleniu na wejście na teren nieruchomości lub ich części na działce wskazanej w części II niniejszej decyzji, jest bezprzedmiotowe i umorzył postępowanie w</w:t>
      </w:r>
      <w:r w:rsidR="006569EB">
        <w:rPr>
          <w:sz w:val="24"/>
          <w:szCs w:val="24"/>
        </w:rPr>
        <w:t xml:space="preserve"> </w:t>
      </w:r>
      <w:r>
        <w:rPr>
          <w:sz w:val="24"/>
          <w:szCs w:val="24"/>
        </w:rPr>
        <w:t>tym zakresie. Zgodnie z art. 105 §</w:t>
      </w:r>
      <w:r w:rsidR="00D42178">
        <w:rPr>
          <w:sz w:val="24"/>
          <w:szCs w:val="24"/>
        </w:rPr>
        <w:t> </w:t>
      </w:r>
      <w:r>
        <w:rPr>
          <w:sz w:val="24"/>
          <w:szCs w:val="24"/>
        </w:rPr>
        <w:t>1 kpa, gdy postępowanie z jakiejkolwiek przyczyny stało się</w:t>
      </w:r>
      <w:r w:rsidR="00D42178">
        <w:rPr>
          <w:sz w:val="24"/>
          <w:szCs w:val="24"/>
        </w:rPr>
        <w:t xml:space="preserve"> </w:t>
      </w:r>
      <w:r>
        <w:rPr>
          <w:sz w:val="24"/>
          <w:szCs w:val="24"/>
        </w:rPr>
        <w:t>bezprzedmiotowe w całości albo w części, organ administracji publicznej wydaje decyzję o</w:t>
      </w:r>
      <w:r w:rsidR="00D42178">
        <w:rPr>
          <w:sz w:val="24"/>
          <w:szCs w:val="24"/>
        </w:rPr>
        <w:t> </w:t>
      </w:r>
      <w:r>
        <w:rPr>
          <w:sz w:val="24"/>
          <w:szCs w:val="24"/>
        </w:rPr>
        <w:t xml:space="preserve">umorzeniu postępowania odpowiednio w całości albo w części. </w:t>
      </w:r>
    </w:p>
    <w:p w:rsidR="00C67589">
      <w:pPr>
        <w:snapToGrid w:val="0"/>
        <w:spacing w:line="360" w:lineRule="auto"/>
        <w:ind w:firstLine="567"/>
        <w:jc w:val="both"/>
        <w:rPr>
          <w:sz w:val="24"/>
          <w:szCs w:val="24"/>
        </w:rPr>
      </w:pPr>
      <w:r>
        <w:rPr>
          <w:sz w:val="24"/>
          <w:szCs w:val="24"/>
        </w:rPr>
        <w:t>W orzecznictwie przyjmuje się, że bezprzedmiotowość postępowania administracyjnego, o której mowa w ww. przepisie prawa</w:t>
      </w:r>
      <w:r>
        <w:rPr>
          <w:i/>
          <w:sz w:val="24"/>
          <w:szCs w:val="24"/>
        </w:rPr>
        <w:t xml:space="preserve">, </w:t>
      </w:r>
      <w:r>
        <w:rPr>
          <w:sz w:val="24"/>
          <w:szCs w:val="24"/>
        </w:rPr>
        <w:t>ma miejsce wtedy, gdy brak jest któregoś z elementów stosunku materialnoprawnego, który by podlegał konkretyzacji, wobec czego nie można wydać decyzji załatwiającej sprawę przez jej rozstrzygnięcie co do istoty. Cofnięcie przez stronę żądania wszczęcia postępowania, które może zostać wszczęte wyłącznie na żądanie (wniosek) strony, skutkuje bezprzedmiotowością dalszego postępowania, a w konsekwencji obowiązkiem organu umorzenia postępowania na podstawie art. 105 § 1 kpa. Tym samym, jeżeli postępowanie może się toczyć tylko na wniosek, to odstąpienie od popierania wniosku, stanowiące w istocie wycofanie przez stronę wniosku o wszczęcie postępowania, a tym samym cofnięcie zgody na jego prowadzenie, skutkuje jego bezprzedmiotowością (wyrok NSA z dnia 11 października 2017 r., sygn. I OSK 893/17).</w:t>
      </w:r>
    </w:p>
    <w:p w:rsidR="00C67589">
      <w:pPr>
        <w:widowControl w:val="0"/>
        <w:tabs>
          <w:tab w:val="left" w:pos="0"/>
        </w:tabs>
        <w:spacing w:line="348" w:lineRule="auto"/>
        <w:ind w:firstLine="567"/>
        <w:jc w:val="both"/>
        <w:rPr>
          <w:sz w:val="24"/>
          <w:szCs w:val="24"/>
        </w:rPr>
      </w:pPr>
      <w:r>
        <w:rPr>
          <w:sz w:val="24"/>
          <w:szCs w:val="24"/>
        </w:rPr>
        <w:t>O zmianie zakresu wniosku organ zawiadomił, strony postępowania</w:t>
      </w:r>
      <w:r>
        <w:rPr>
          <w:color w:val="000000"/>
          <w:kern w:val="0"/>
          <w:sz w:val="24"/>
          <w:szCs w:val="24"/>
          <w:lang w:eastAsia="pl-PL"/>
        </w:rPr>
        <w:t xml:space="preserve"> poprzez obwieszczenie zamieszczone:</w:t>
      </w:r>
    </w:p>
    <w:p w:rsidR="00C67589">
      <w:pPr>
        <w:widowControl w:val="0"/>
        <w:numPr>
          <w:ilvl w:val="0"/>
          <w:numId w:val="3"/>
        </w:numPr>
        <w:tabs>
          <w:tab w:val="left" w:pos="0"/>
          <w:tab w:val="clear" w:pos="720"/>
        </w:tabs>
        <w:spacing w:line="348" w:lineRule="auto"/>
        <w:jc w:val="both"/>
        <w:rPr>
          <w:sz w:val="24"/>
          <w:szCs w:val="24"/>
        </w:rPr>
      </w:pPr>
      <w:r>
        <w:rPr>
          <w:color w:val="000000"/>
          <w:kern w:val="0"/>
          <w:sz w:val="24"/>
          <w:szCs w:val="24"/>
          <w:lang w:eastAsia="pl-PL"/>
        </w:rPr>
        <w:t xml:space="preserve">na stronie internetowej – w Biuletynie Informacji Publicznej Łódzkiego Urzędu Wojewódzkiego w Łodzi: w terminie </w:t>
      </w:r>
      <w:r>
        <w:rPr>
          <w:kern w:val="0"/>
          <w:sz w:val="24"/>
          <w:szCs w:val="24"/>
          <w:lang w:eastAsia="pl-PL"/>
        </w:rPr>
        <w:t>od dnia 29.04.2024 r.– na okres</w:t>
      </w:r>
      <w:r>
        <w:rPr>
          <w:color w:val="000000"/>
          <w:kern w:val="0"/>
          <w:sz w:val="24"/>
          <w:szCs w:val="24"/>
          <w:lang w:eastAsia="pl-PL"/>
        </w:rPr>
        <w:t xml:space="preserve"> 14 dni od dnia zamieszczenia; </w:t>
      </w:r>
    </w:p>
    <w:p w:rsidR="00C67589">
      <w:pPr>
        <w:widowControl w:val="0"/>
        <w:numPr>
          <w:ilvl w:val="0"/>
          <w:numId w:val="3"/>
        </w:numPr>
        <w:tabs>
          <w:tab w:val="left" w:pos="0"/>
          <w:tab w:val="clear" w:pos="720"/>
        </w:tabs>
        <w:spacing w:line="348" w:lineRule="auto"/>
        <w:jc w:val="both"/>
        <w:rPr>
          <w:sz w:val="24"/>
          <w:szCs w:val="24"/>
        </w:rPr>
      </w:pPr>
      <w:r>
        <w:rPr>
          <w:color w:val="000000"/>
          <w:kern w:val="0"/>
          <w:sz w:val="24"/>
          <w:szCs w:val="24"/>
          <w:lang w:eastAsia="pl-PL"/>
        </w:rPr>
        <w:t>na tablicy ogłoszeń Łódzkiego Urzędu Wojewódzkiego w Łodzi: w terminie od dnia 29.04.2024 r. do dnia 13.05.2024 r.;</w:t>
      </w:r>
    </w:p>
    <w:p w:rsidR="00C67589">
      <w:pPr>
        <w:widowControl w:val="0"/>
        <w:numPr>
          <w:ilvl w:val="0"/>
          <w:numId w:val="3"/>
        </w:numPr>
        <w:spacing w:line="348" w:lineRule="auto"/>
        <w:jc w:val="both"/>
        <w:rPr>
          <w:sz w:val="24"/>
          <w:szCs w:val="24"/>
        </w:rPr>
      </w:pPr>
      <w:r>
        <w:rPr>
          <w:sz w:val="24"/>
          <w:szCs w:val="24"/>
        </w:rPr>
        <w:t xml:space="preserve">na tablicy ogłoszeń oraz na stronie internetowej – w Biuletynie Informacji Publicznej </w:t>
      </w:r>
      <w:r>
        <w:rPr>
          <w:sz w:val="24"/>
          <w:szCs w:val="24"/>
          <w:lang w:eastAsia="pl-PL"/>
        </w:rPr>
        <w:t>Urzędu Miasta Brzeziny</w:t>
      </w:r>
      <w:r>
        <w:rPr>
          <w:sz w:val="24"/>
          <w:szCs w:val="24"/>
        </w:rPr>
        <w:t>: w terminie od dnia 29.04.2024 r. do dnia 14.05.2024 r.;</w:t>
      </w:r>
    </w:p>
    <w:p w:rsidR="00C67589">
      <w:pPr>
        <w:widowControl w:val="0"/>
        <w:numPr>
          <w:ilvl w:val="0"/>
          <w:numId w:val="3"/>
        </w:numPr>
        <w:spacing w:line="348" w:lineRule="auto"/>
        <w:jc w:val="both"/>
      </w:pPr>
      <w:r>
        <w:rPr>
          <w:rStyle w:val="Mocnowyrniony"/>
          <w:rFonts w:eastAsia="Arial Unicode MS" w:cs="Arial"/>
          <w:b w:val="0"/>
          <w:color w:val="000000"/>
          <w:sz w:val="24"/>
          <w:szCs w:val="24"/>
          <w:lang w:eastAsia="pl-PL"/>
        </w:rPr>
        <w:t xml:space="preserve">na </w:t>
      </w:r>
      <w:bookmarkStart w:id="11" w:name="__DdeLink__1659_35691448071"/>
      <w:r>
        <w:rPr>
          <w:rStyle w:val="Mocnowyrniony"/>
          <w:rFonts w:eastAsia="Arial Unicode MS" w:cs="Arial"/>
          <w:b w:val="0"/>
          <w:color w:val="000000"/>
          <w:sz w:val="24"/>
          <w:szCs w:val="24"/>
          <w:lang w:eastAsia="pl-PL"/>
        </w:rPr>
        <w:t>tablicy ogłoszeń oraz na stronie internetowej – w Biuletynie Informacji Publicznej Urzędu Gminy Brzeziny: w terminie od dnia 29.04.2024 r. do dnia 13.05.2024 r.;</w:t>
      </w:r>
      <w:bookmarkEnd w:id="11"/>
    </w:p>
    <w:p w:rsidR="00C67589">
      <w:pPr>
        <w:widowControl w:val="0"/>
        <w:numPr>
          <w:ilvl w:val="0"/>
          <w:numId w:val="3"/>
        </w:numPr>
        <w:tabs>
          <w:tab w:val="left" w:pos="0"/>
          <w:tab w:val="clear" w:pos="720"/>
        </w:tabs>
        <w:spacing w:line="348" w:lineRule="auto"/>
        <w:jc w:val="both"/>
      </w:pPr>
      <w:r>
        <w:rPr>
          <w:rStyle w:val="Mocnowyrniony"/>
          <w:rFonts w:eastAsia="Arial Unicode MS" w:cs="Arial"/>
          <w:b w:val="0"/>
          <w:color w:val="000000"/>
          <w:kern w:val="0"/>
          <w:sz w:val="24"/>
          <w:szCs w:val="24"/>
          <w:lang w:eastAsia="pl-PL"/>
        </w:rPr>
        <w:t>na tablicy ogłoszeń oraz na stronie internetowej – w Biuletynie Informacji Publicznej Urzędu Gminy Dmosin: w terminie od dnia 29.04.2024 r. do dnia 14.05.2024 r.</w:t>
      </w:r>
    </w:p>
    <w:p w:rsidR="00916756">
      <w:pPr>
        <w:widowControl w:val="0"/>
        <w:tabs>
          <w:tab w:val="left" w:pos="0"/>
        </w:tabs>
        <w:spacing w:line="336" w:lineRule="auto"/>
        <w:ind w:firstLine="567"/>
        <w:jc w:val="both"/>
        <w:rPr>
          <w:color w:val="000000"/>
          <w:kern w:val="0"/>
          <w:sz w:val="24"/>
          <w:szCs w:val="24"/>
          <w:lang w:eastAsia="pl-PL"/>
        </w:rPr>
      </w:pPr>
    </w:p>
    <w:p w:rsidR="00916756">
      <w:pPr>
        <w:widowControl w:val="0"/>
        <w:tabs>
          <w:tab w:val="left" w:pos="0"/>
        </w:tabs>
        <w:spacing w:line="336" w:lineRule="auto"/>
        <w:ind w:firstLine="567"/>
        <w:jc w:val="both"/>
        <w:rPr>
          <w:color w:val="000000"/>
          <w:kern w:val="0"/>
          <w:sz w:val="24"/>
          <w:szCs w:val="24"/>
          <w:lang w:eastAsia="pl-PL"/>
        </w:rPr>
      </w:pPr>
    </w:p>
    <w:p w:rsidR="00C67589">
      <w:pPr>
        <w:widowControl w:val="0"/>
        <w:tabs>
          <w:tab w:val="left" w:pos="0"/>
        </w:tabs>
        <w:spacing w:line="336" w:lineRule="auto"/>
        <w:ind w:firstLine="567"/>
        <w:jc w:val="both"/>
        <w:rPr>
          <w:sz w:val="24"/>
          <w:szCs w:val="24"/>
        </w:rPr>
      </w:pPr>
      <w:r>
        <w:rPr>
          <w:color w:val="000000"/>
          <w:kern w:val="0"/>
          <w:sz w:val="24"/>
          <w:szCs w:val="24"/>
          <w:lang w:eastAsia="pl-PL"/>
        </w:rPr>
        <w:t>W związku z powyższym, z uwagi na konieczność ponownej weryfikacji zgromadzonej w s</w:t>
      </w:r>
      <w:r w:rsidR="005A1CD2">
        <w:rPr>
          <w:color w:val="000000"/>
          <w:kern w:val="0"/>
          <w:sz w:val="24"/>
          <w:szCs w:val="24"/>
          <w:lang w:eastAsia="pl-PL"/>
        </w:rPr>
        <w:t xml:space="preserve">prawie dokumentacji i ocenę jej </w:t>
      </w:r>
      <w:r>
        <w:rPr>
          <w:color w:val="000000"/>
          <w:kern w:val="0"/>
          <w:sz w:val="24"/>
          <w:szCs w:val="24"/>
          <w:lang w:eastAsia="pl-PL"/>
        </w:rPr>
        <w:t>zgodności z obowiązującymi przepisami, organ zawiadomił inwestora pismem z dnia 14.05.2024 r., na</w:t>
      </w:r>
      <w:r w:rsidR="005A1CD2">
        <w:rPr>
          <w:color w:val="000000"/>
          <w:kern w:val="0"/>
          <w:sz w:val="24"/>
          <w:szCs w:val="24"/>
          <w:lang w:eastAsia="pl-PL"/>
        </w:rPr>
        <w:t xml:space="preserve"> </w:t>
      </w:r>
      <w:r>
        <w:rPr>
          <w:color w:val="000000"/>
          <w:kern w:val="0"/>
          <w:sz w:val="24"/>
          <w:szCs w:val="24"/>
          <w:lang w:eastAsia="pl-PL"/>
        </w:rPr>
        <w:t xml:space="preserve">podstawie art. 36 § 1 kpa, że wniosek nie będzie rozpatrzony w ustawowym terminie, określonym w art. 35 § 3 i 4 kpa w związku z art. 120g ust. 5 </w:t>
      </w:r>
      <w:r>
        <w:rPr>
          <w:sz w:val="24"/>
          <w:szCs w:val="24"/>
        </w:rPr>
        <w:t>specustawy CPK</w:t>
      </w:r>
      <w:r>
        <w:rPr>
          <w:color w:val="000000"/>
          <w:kern w:val="0"/>
          <w:sz w:val="24"/>
          <w:szCs w:val="24"/>
          <w:lang w:eastAsia="pl-PL"/>
        </w:rPr>
        <w:t>, jednocześnie wskazując nowy termin załatwienia sprawy – do dnia 17.06.2024 r. Pozostałe strony postępowania zostały zawiadomione w drodze publicznego obwieszczenia.</w:t>
      </w:r>
    </w:p>
    <w:p w:rsidR="00C67589">
      <w:pPr>
        <w:tabs>
          <w:tab w:val="left" w:pos="397"/>
          <w:tab w:val="left" w:pos="720"/>
        </w:tabs>
        <w:spacing w:line="348" w:lineRule="auto"/>
        <w:ind w:firstLine="567"/>
        <w:jc w:val="both"/>
        <w:rPr>
          <w:sz w:val="24"/>
          <w:szCs w:val="24"/>
        </w:rPr>
      </w:pPr>
      <w:r>
        <w:rPr>
          <w:sz w:val="24"/>
          <w:szCs w:val="24"/>
        </w:rPr>
        <w:t xml:space="preserve">Stosownie do treści art. 120g ust. 5 specustawy CPK, wojewoda wydaje decyzję, o której mowa w art. 120g ust. 3 specustawy CPK, w terminie 30 dni od dnia złożenia wniosku, a decyzja określa sposób, zakres i terminy korzystania z nieruchomości. </w:t>
      </w:r>
    </w:p>
    <w:p w:rsidR="00C67589">
      <w:pPr>
        <w:spacing w:line="348" w:lineRule="auto"/>
        <w:ind w:firstLine="567"/>
        <w:jc w:val="both"/>
        <w:rPr>
          <w:sz w:val="24"/>
          <w:szCs w:val="24"/>
        </w:rPr>
      </w:pPr>
      <w:r>
        <w:rPr>
          <w:color w:val="000000"/>
          <w:kern w:val="0"/>
          <w:sz w:val="24"/>
          <w:szCs w:val="24"/>
          <w:lang w:eastAsia="pl-PL"/>
        </w:rPr>
        <w:t xml:space="preserve">Sposób, zakres i termin korzystania z nieruchomości wskazanych we wniosku inwestora zostały określone w sentencji niniejszej decyzji. </w:t>
      </w:r>
    </w:p>
    <w:p w:rsidR="00C67589">
      <w:pPr>
        <w:spacing w:line="348" w:lineRule="auto"/>
        <w:ind w:firstLine="567"/>
        <w:jc w:val="both"/>
        <w:rPr>
          <w:sz w:val="24"/>
          <w:szCs w:val="24"/>
        </w:rPr>
      </w:pPr>
      <w:r>
        <w:rPr>
          <w:color w:val="000000"/>
          <w:kern w:val="0"/>
          <w:sz w:val="24"/>
          <w:szCs w:val="24"/>
          <w:lang w:eastAsia="pl-PL"/>
        </w:rPr>
        <w:t xml:space="preserve">Mając natomiast na względzie treść art. 120g ust. 7 specustawy CPK, stwierdzić należy, iż </w:t>
      </w:r>
      <w:r>
        <w:rPr>
          <w:color w:val="000000"/>
          <w:sz w:val="24"/>
          <w:szCs w:val="24"/>
        </w:rPr>
        <w:t>sposób, zakres i terminy korzystania z nieruchomości,</w:t>
      </w:r>
      <w:r>
        <w:rPr>
          <w:color w:val="000000"/>
          <w:kern w:val="0"/>
          <w:sz w:val="24"/>
          <w:szCs w:val="24"/>
          <w:lang w:eastAsia="pl-PL"/>
        </w:rPr>
        <w:t xml:space="preserve"> określone w niniejszej decyzji, nie mogą powodować</w:t>
      </w:r>
      <w:r>
        <w:rPr>
          <w:kern w:val="0"/>
          <w:sz w:val="24"/>
          <w:szCs w:val="24"/>
          <w:lang w:eastAsia="pl-PL"/>
        </w:rPr>
        <w:t xml:space="preserve">: </w:t>
      </w:r>
    </w:p>
    <w:p w:rsidR="00C67589">
      <w:pPr>
        <w:numPr>
          <w:ilvl w:val="0"/>
          <w:numId w:val="4"/>
        </w:numPr>
        <w:spacing w:line="360" w:lineRule="auto"/>
        <w:jc w:val="both"/>
        <w:rPr>
          <w:sz w:val="24"/>
          <w:szCs w:val="24"/>
        </w:rPr>
      </w:pPr>
      <w:r>
        <w:rPr>
          <w:sz w:val="24"/>
          <w:szCs w:val="24"/>
          <w:lang w:eastAsia="pl-PL"/>
        </w:rPr>
        <w:t xml:space="preserve">zagrożenia bezpieczeństwa ruchu drogowego lub kolejowego; </w:t>
      </w:r>
    </w:p>
    <w:p w:rsidR="00C67589">
      <w:pPr>
        <w:numPr>
          <w:ilvl w:val="0"/>
          <w:numId w:val="4"/>
        </w:numPr>
        <w:spacing w:line="360" w:lineRule="auto"/>
        <w:jc w:val="both"/>
        <w:rPr>
          <w:sz w:val="24"/>
          <w:szCs w:val="24"/>
        </w:rPr>
      </w:pPr>
      <w:r>
        <w:rPr>
          <w:sz w:val="24"/>
          <w:szCs w:val="24"/>
          <w:lang w:eastAsia="pl-PL"/>
        </w:rPr>
        <w:t xml:space="preserve">wstrzymania ruchu kolejowego; </w:t>
      </w:r>
    </w:p>
    <w:p w:rsidR="00C67589">
      <w:pPr>
        <w:numPr>
          <w:ilvl w:val="0"/>
          <w:numId w:val="4"/>
        </w:numPr>
        <w:spacing w:line="360" w:lineRule="auto"/>
        <w:jc w:val="both"/>
        <w:rPr>
          <w:sz w:val="24"/>
          <w:szCs w:val="24"/>
        </w:rPr>
      </w:pPr>
      <w:r>
        <w:rPr>
          <w:sz w:val="24"/>
          <w:szCs w:val="24"/>
          <w:lang w:eastAsia="pl-PL"/>
        </w:rPr>
        <w:t xml:space="preserve">zamknięcia dróg krajowych lub dróg o znaczeniu obronnym, chyba że istnieje możliwość zorganizowania objazdów; </w:t>
      </w:r>
    </w:p>
    <w:p w:rsidR="00C67589">
      <w:pPr>
        <w:numPr>
          <w:ilvl w:val="0"/>
          <w:numId w:val="4"/>
        </w:numPr>
        <w:spacing w:line="360" w:lineRule="auto"/>
        <w:jc w:val="both"/>
        <w:rPr>
          <w:sz w:val="24"/>
          <w:szCs w:val="24"/>
        </w:rPr>
      </w:pPr>
      <w:r>
        <w:rPr>
          <w:sz w:val="24"/>
          <w:szCs w:val="24"/>
          <w:lang w:eastAsia="pl-PL"/>
        </w:rPr>
        <w:t xml:space="preserve">wstrzymania ruchu w żegludze śródlądowej lub zagrożenia bezpieczeństwa żeglugi śródlądowej; </w:t>
      </w:r>
    </w:p>
    <w:p w:rsidR="00C67589">
      <w:pPr>
        <w:numPr>
          <w:ilvl w:val="0"/>
          <w:numId w:val="4"/>
        </w:numPr>
        <w:spacing w:line="360" w:lineRule="auto"/>
        <w:jc w:val="both"/>
        <w:rPr>
          <w:sz w:val="24"/>
          <w:szCs w:val="24"/>
        </w:rPr>
      </w:pPr>
      <w:r>
        <w:rPr>
          <w:sz w:val="24"/>
          <w:szCs w:val="24"/>
          <w:lang w:eastAsia="pl-PL"/>
        </w:rPr>
        <w:t xml:space="preserve">utrudnień prowadzenia działań z zakresu ochrony przeciwpowodziowej. </w:t>
      </w:r>
    </w:p>
    <w:p w:rsidR="00C67589">
      <w:pPr>
        <w:pStyle w:val="BodyText"/>
        <w:spacing w:before="120" w:line="348" w:lineRule="auto"/>
        <w:ind w:firstLine="567"/>
        <w:jc w:val="both"/>
        <w:rPr>
          <w:sz w:val="24"/>
          <w:szCs w:val="24"/>
        </w:rPr>
      </w:pPr>
      <w:r>
        <w:rPr>
          <w:rFonts w:ascii="Times New Roman" w:hAnsi="Times New Roman" w:cs="Times New Roman"/>
          <w:i w:val="0"/>
          <w:sz w:val="24"/>
          <w:szCs w:val="24"/>
        </w:rPr>
        <w:t xml:space="preserve">W związku zaś z dyspozycją art. </w:t>
      </w:r>
      <w:r>
        <w:rPr>
          <w:rFonts w:ascii="Times New Roman" w:hAnsi="Times New Roman" w:cs="Times New Roman"/>
          <w:bCs/>
          <w:i w:val="0"/>
          <w:iCs/>
          <w:sz w:val="24"/>
          <w:szCs w:val="24"/>
        </w:rPr>
        <w:t>120g ust. 8 specustawy CPK</w:t>
      </w:r>
      <w:r>
        <w:rPr>
          <w:rFonts w:ascii="Times New Roman" w:hAnsi="Times New Roman" w:cs="Times New Roman"/>
          <w:bCs/>
          <w:i w:val="0"/>
          <w:sz w:val="24"/>
          <w:szCs w:val="24"/>
        </w:rPr>
        <w:t xml:space="preserve">, Wojewoda Łódzki zobowiązany był do nadania niniejszej decyzji rygor natychmiastowej wykonalności. </w:t>
      </w:r>
    </w:p>
    <w:p w:rsidR="00C67589">
      <w:pPr>
        <w:spacing w:line="360" w:lineRule="auto"/>
        <w:ind w:firstLine="557"/>
        <w:jc w:val="both"/>
        <w:rPr>
          <w:sz w:val="24"/>
          <w:szCs w:val="24"/>
        </w:rPr>
      </w:pPr>
      <w:r>
        <w:rPr>
          <w:sz w:val="24"/>
          <w:szCs w:val="24"/>
        </w:rPr>
        <w:t>W toku przedmiotowego postępowania, po dokonaniu weryfikacji całości zgromadzonej w sprawie dokumentacji, Wojewoda Łódzki stwierdził zgodność wniosku inwestora z obowiązującymi przepisami prawa, wobec czego należało orzec, jak w sentencji niniejszej decyzji.</w:t>
      </w:r>
    </w:p>
    <w:p w:rsidR="00C67589">
      <w:pPr>
        <w:tabs>
          <w:tab w:val="left" w:pos="0"/>
          <w:tab w:val="left" w:pos="8505"/>
        </w:tabs>
        <w:spacing w:line="348" w:lineRule="auto"/>
        <w:ind w:firstLine="567"/>
        <w:jc w:val="both"/>
        <w:rPr>
          <w:sz w:val="24"/>
          <w:szCs w:val="24"/>
        </w:rPr>
      </w:pPr>
      <w:r>
        <w:rPr>
          <w:rFonts w:eastAsia="Arial Unicode MS" w:cs="Tahoma"/>
          <w:sz w:val="24"/>
          <w:szCs w:val="24"/>
        </w:rPr>
        <w:t xml:space="preserve">Od niniejszej decyzji służy stronom odwołanie do Ministra Rozwoju i Technologii w Warszawie, Pl. Trzech Krzyży 3/5, za pośrednictwem Wojewody Łódzkiego, </w:t>
      </w:r>
      <w:r>
        <w:rPr>
          <w:sz w:val="24"/>
          <w:szCs w:val="24"/>
        </w:rPr>
        <w:t xml:space="preserve">w terminie 14 dni od dnia doręczenia decyzji. </w:t>
      </w:r>
    </w:p>
    <w:p w:rsidR="00C67589">
      <w:pPr>
        <w:tabs>
          <w:tab w:val="left" w:pos="0"/>
          <w:tab w:val="left" w:pos="8505"/>
        </w:tabs>
        <w:spacing w:line="348" w:lineRule="auto"/>
        <w:ind w:firstLine="567"/>
        <w:jc w:val="both"/>
        <w:rPr>
          <w:sz w:val="24"/>
          <w:szCs w:val="24"/>
        </w:rPr>
      </w:pPr>
      <w:r>
        <w:rPr>
          <w:sz w:val="24"/>
          <w:szCs w:val="24"/>
        </w:rPr>
        <w:t xml:space="preserve">W trakcie biegu terminu do wniesienia odwołania stronom przysługuje prawo do zrzeczenia się odwołania. </w:t>
      </w:r>
    </w:p>
    <w:p w:rsidR="005A1CD2">
      <w:pPr>
        <w:tabs>
          <w:tab w:val="left" w:pos="0"/>
          <w:tab w:val="left" w:pos="8505"/>
        </w:tabs>
        <w:spacing w:line="348" w:lineRule="auto"/>
        <w:ind w:firstLine="567"/>
        <w:jc w:val="both"/>
        <w:rPr>
          <w:sz w:val="24"/>
          <w:szCs w:val="24"/>
        </w:rPr>
      </w:pPr>
    </w:p>
    <w:p w:rsidR="00C67589">
      <w:pPr>
        <w:tabs>
          <w:tab w:val="left" w:pos="0"/>
          <w:tab w:val="left" w:pos="8505"/>
        </w:tabs>
        <w:spacing w:line="348" w:lineRule="auto"/>
        <w:ind w:firstLine="567"/>
        <w:jc w:val="both"/>
        <w:rPr>
          <w:sz w:val="24"/>
          <w:szCs w:val="24"/>
        </w:rPr>
      </w:pPr>
      <w:r>
        <w:rPr>
          <w:sz w:val="24"/>
          <w:szCs w:val="24"/>
        </w:rPr>
        <w:t>Z dniem doręczenia Wojewodzie Łódzkiemu oświadczenia o</w:t>
      </w:r>
      <w:r w:rsidR="005A1CD2">
        <w:rPr>
          <w:sz w:val="24"/>
          <w:szCs w:val="24"/>
        </w:rPr>
        <w:t xml:space="preserve"> </w:t>
      </w:r>
      <w:r>
        <w:rPr>
          <w:sz w:val="24"/>
          <w:szCs w:val="24"/>
        </w:rPr>
        <w:t xml:space="preserve">zrzeczeniu się prawa do wniesienia odwołania przez ostatnią ze stron postępowania, niniejsza decyzja staje się ostateczna i prawomocna. Zrzeczenie się prawa do wniesienia odwołania skutkuje brakiem możliwości odwołania od decyzji oraz jej zaskarżenia do wojewódzkiego sądu administracyjnego. </w:t>
      </w:r>
    </w:p>
    <w:p w:rsidR="00C67589">
      <w:pPr>
        <w:pStyle w:val="western"/>
        <w:spacing w:before="120" w:beforeAutospacing="0" w:after="0" w:line="348" w:lineRule="auto"/>
        <w:jc w:val="center"/>
      </w:pPr>
      <w:r>
        <w:rPr>
          <w:color w:val="auto"/>
          <w:kern w:val="2"/>
          <w:lang w:eastAsia="zh-CN"/>
        </w:rPr>
        <w:t xml:space="preserve">ADNOTACJA DOTYCZĄCA OPŁATY SKARBOWEJ: </w:t>
      </w:r>
    </w:p>
    <w:p w:rsidR="00C67589">
      <w:pPr>
        <w:pStyle w:val="Tekstpodstawowywcity31"/>
        <w:snapToGrid w:val="0"/>
        <w:spacing w:line="348" w:lineRule="auto"/>
        <w:ind w:left="0"/>
        <w:jc w:val="both"/>
      </w:pPr>
      <w:r>
        <w:rPr>
          <w:rFonts w:ascii="Times New Roman" w:hAnsi="Times New Roman" w:cs="Times New Roman"/>
          <w:color w:val="000000"/>
          <w:szCs w:val="24"/>
          <w:lang w:eastAsia="pl-PL"/>
        </w:rPr>
        <w:t>Uiszczono opłatę skarbową za czynność urzędową (wydanie decyzji) w kwocie 10 zł zgodnie z ustawą z dnia 16 listopada 2006 r. o opłacie skarbowej (</w:t>
      </w:r>
      <w:r>
        <w:rPr>
          <w:rFonts w:ascii="Times New Roman" w:hAnsi="Times New Roman" w:cs="Times New Roman"/>
          <w:color w:val="000000"/>
          <w:szCs w:val="24"/>
          <w:lang w:eastAsia="pl-PL"/>
        </w:rPr>
        <w:t>t.j</w:t>
      </w:r>
      <w:r>
        <w:rPr>
          <w:rFonts w:ascii="Times New Roman" w:hAnsi="Times New Roman" w:cs="Times New Roman"/>
          <w:color w:val="000000"/>
          <w:szCs w:val="24"/>
          <w:lang w:eastAsia="pl-PL"/>
        </w:rPr>
        <w:t>. Dz.U. z 2023 r. poz. 2111).</w:t>
      </w:r>
    </w:p>
    <w:p w:rsidR="00C67589">
      <w:pPr>
        <w:spacing w:line="480" w:lineRule="auto"/>
        <w:ind w:left="709"/>
        <w:rPr>
          <w:b/>
          <w:bCs/>
          <w:color w:val="000000"/>
          <w:sz w:val="24"/>
          <w:szCs w:val="24"/>
          <w:lang w:eastAsia="pl-PL"/>
        </w:rPr>
      </w:pPr>
    </w:p>
    <w:p w:rsidR="00C67589">
      <w:pPr>
        <w:tabs>
          <w:tab w:val="center" w:pos="6345"/>
        </w:tabs>
        <w:snapToGrid w:val="0"/>
        <w:ind w:left="4965"/>
        <w:jc w:val="center"/>
      </w:pPr>
      <w:r>
        <w:rPr>
          <w:b/>
          <w:bCs/>
          <w:color w:val="000000"/>
          <w:sz w:val="24"/>
          <w:szCs w:val="24"/>
          <w:lang w:eastAsia="pl-PL"/>
        </w:rPr>
        <w:t>Z up. WOJEWODY ŁÓDZKIEGO</w:t>
      </w:r>
      <w:r>
        <w:rPr>
          <w:b/>
          <w:bCs/>
          <w:color w:val="000000"/>
          <w:sz w:val="24"/>
          <w:szCs w:val="24"/>
          <w:lang w:eastAsia="pl-PL"/>
        </w:rPr>
        <w:br/>
      </w:r>
      <w:r>
        <w:rPr>
          <w:b/>
          <w:bCs/>
          <w:color w:val="000000"/>
          <w:sz w:val="24"/>
          <w:szCs w:val="24"/>
          <w:lang w:eastAsia="pl-PL"/>
        </w:rPr>
        <w:br/>
      </w:r>
      <w:r>
        <w:rPr>
          <w:b/>
          <w:bCs/>
          <w:i/>
          <w:iCs/>
          <w:color w:val="000000"/>
          <w:sz w:val="24"/>
          <w:szCs w:val="24"/>
          <w:lang w:eastAsia="pl-PL"/>
        </w:rPr>
        <w:t>Magdalena Nurczyńska</w:t>
      </w:r>
    </w:p>
    <w:p w:rsidR="00C67589">
      <w:pPr>
        <w:tabs>
          <w:tab w:val="center" w:pos="6345"/>
        </w:tabs>
        <w:snapToGrid w:val="0"/>
        <w:ind w:left="4965"/>
        <w:jc w:val="center"/>
      </w:pPr>
      <w:r>
        <w:rPr>
          <w:b/>
          <w:bCs/>
          <w:iCs/>
          <w:color w:val="000000"/>
          <w:sz w:val="24"/>
          <w:szCs w:val="24"/>
          <w:lang w:eastAsia="pl-PL"/>
        </w:rPr>
        <w:t xml:space="preserve">Kierownik </w:t>
      </w:r>
    </w:p>
    <w:p w:rsidR="00C67589">
      <w:pPr>
        <w:tabs>
          <w:tab w:val="center" w:pos="6345"/>
        </w:tabs>
        <w:snapToGrid w:val="0"/>
        <w:ind w:left="4965"/>
        <w:jc w:val="center"/>
      </w:pPr>
      <w:r>
        <w:rPr>
          <w:b/>
          <w:bCs/>
          <w:iCs/>
          <w:color w:val="000000"/>
          <w:sz w:val="24"/>
          <w:szCs w:val="24"/>
          <w:lang w:eastAsia="pl-PL"/>
        </w:rPr>
        <w:t>Oddziału Administracji Architektoniczno-Budowlanej w Wydziale Gospodarki Przestrzennej i Budownictwa</w:t>
      </w:r>
    </w:p>
    <w:p w:rsidR="00C67589">
      <w:pPr>
        <w:tabs>
          <w:tab w:val="center" w:pos="6345"/>
        </w:tabs>
        <w:snapToGrid w:val="0"/>
        <w:ind w:left="4965"/>
        <w:jc w:val="center"/>
        <w:rPr>
          <w:sz w:val="24"/>
          <w:szCs w:val="24"/>
        </w:rPr>
      </w:pPr>
      <w:bookmarkStart w:id="12" w:name="ezdPracownikWydzialAtrybut3"/>
      <w:r>
        <w:rPr>
          <w:sz w:val="24"/>
          <w:szCs w:val="24"/>
        </w:rPr>
        <w:t>(podpisano elektronicznie)</w:t>
      </w:r>
      <w:bookmarkEnd w:id="12"/>
    </w:p>
    <w:p w:rsidR="00C67589">
      <w:pPr>
        <w:suppressAutoHyphens w:val="0"/>
        <w:jc w:val="both"/>
        <w:rPr>
          <w:color w:val="000000"/>
          <w:kern w:val="0"/>
          <w:sz w:val="24"/>
          <w:szCs w:val="24"/>
          <w:u w:val="single"/>
          <w:lang w:eastAsia="pl-PL"/>
        </w:rPr>
      </w:pPr>
    </w:p>
    <w:p w:rsidR="00C67589">
      <w:pPr>
        <w:suppressAutoHyphens w:val="0"/>
        <w:jc w:val="both"/>
        <w:rPr>
          <w:color w:val="000000"/>
          <w:kern w:val="0"/>
          <w:sz w:val="24"/>
          <w:szCs w:val="24"/>
          <w:u w:val="single"/>
          <w:lang w:eastAsia="pl-PL"/>
        </w:rPr>
      </w:pPr>
    </w:p>
    <w:p w:rsidR="00C67589">
      <w:pPr>
        <w:suppressAutoHyphens w:val="0"/>
        <w:jc w:val="both"/>
        <w:rPr>
          <w:color w:val="000000"/>
          <w:kern w:val="0"/>
          <w:sz w:val="24"/>
          <w:szCs w:val="24"/>
          <w:u w:val="single"/>
          <w:lang w:eastAsia="pl-PL"/>
        </w:rPr>
      </w:pPr>
    </w:p>
    <w:p w:rsidR="00C67589">
      <w:pPr>
        <w:spacing w:line="324" w:lineRule="auto"/>
        <w:jc w:val="both"/>
      </w:pPr>
      <w:r>
        <w:rPr>
          <w:b/>
          <w:bCs/>
          <w:sz w:val="23"/>
          <w:szCs w:val="23"/>
          <w:u w:val="single"/>
        </w:rPr>
        <w:t>Załączniki</w:t>
      </w:r>
      <w:r>
        <w:rPr>
          <w:bCs/>
          <w:sz w:val="23"/>
          <w:szCs w:val="23"/>
        </w:rPr>
        <w:t>: mapy sytuacyjn</w:t>
      </w:r>
      <w:bookmarkStart w:id="13" w:name="_GoBack1"/>
      <w:bookmarkEnd w:id="13"/>
      <w:r>
        <w:rPr>
          <w:bCs/>
          <w:sz w:val="23"/>
          <w:szCs w:val="23"/>
        </w:rPr>
        <w:t xml:space="preserve">e z zaznaczonym zakresem wejścia na teren nieruchomości lub ich części (25 plików PDF) </w:t>
      </w:r>
    </w:p>
    <w:p w:rsidR="00C67589">
      <w:pPr>
        <w:spacing w:line="360" w:lineRule="auto"/>
        <w:jc w:val="both"/>
        <w:rPr>
          <w:kern w:val="0"/>
          <w:sz w:val="16"/>
          <w:szCs w:val="16"/>
          <w:u w:val="single"/>
          <w:lang w:eastAsia="ar-SA"/>
        </w:rPr>
      </w:pPr>
    </w:p>
    <w:p w:rsidR="00C67589">
      <w:pPr>
        <w:spacing w:after="170" w:line="276" w:lineRule="auto"/>
      </w:pPr>
      <w:r>
        <w:rPr>
          <w:b/>
          <w:kern w:val="0"/>
          <w:sz w:val="23"/>
          <w:szCs w:val="23"/>
          <w:u w:val="single"/>
          <w:lang w:eastAsia="ar-SA"/>
        </w:rPr>
        <w:t xml:space="preserve">Otrzymują: </w:t>
      </w:r>
    </w:p>
    <w:p w:rsidR="00C67589">
      <w:pPr>
        <w:pStyle w:val="ListParagraph"/>
        <w:numPr>
          <w:ilvl w:val="0"/>
          <w:numId w:val="6"/>
        </w:numPr>
        <w:spacing w:line="324" w:lineRule="auto"/>
      </w:pPr>
      <w:r>
        <w:rPr>
          <w:bCs/>
          <w:color w:val="000000"/>
          <w:sz w:val="23"/>
          <w:szCs w:val="23"/>
        </w:rPr>
        <w:t xml:space="preserve">Centralny Port Komunikacyjny Sp. z o.o. </w:t>
      </w:r>
    </w:p>
    <w:p w:rsidR="00C67589">
      <w:pPr>
        <w:pStyle w:val="ListParagraph"/>
        <w:spacing w:line="324" w:lineRule="auto"/>
      </w:pPr>
      <w:r>
        <w:rPr>
          <w:bCs/>
          <w:color w:val="000000"/>
          <w:sz w:val="23"/>
          <w:szCs w:val="23"/>
          <w:u w:val="single"/>
        </w:rPr>
        <w:t>reprezentowany przez pełnomocnika (z załącznikami)</w:t>
      </w:r>
      <w:r>
        <w:rPr>
          <w:bCs/>
          <w:color w:val="000000"/>
          <w:sz w:val="23"/>
          <w:szCs w:val="23"/>
        </w:rPr>
        <w:t xml:space="preserve"> </w:t>
      </w:r>
      <w:r>
        <w:rPr>
          <w:bCs/>
          <w:i/>
          <w:color w:val="000000"/>
          <w:sz w:val="23"/>
          <w:szCs w:val="23"/>
        </w:rPr>
        <w:t>ePUAP</w:t>
      </w:r>
      <w:r>
        <w:rPr>
          <w:bCs/>
          <w:i/>
          <w:color w:val="000000"/>
          <w:sz w:val="23"/>
          <w:szCs w:val="23"/>
        </w:rPr>
        <w:t xml:space="preserve"> </w:t>
      </w:r>
    </w:p>
    <w:p w:rsidR="00C67589">
      <w:pPr>
        <w:pStyle w:val="ListParagraph"/>
        <w:numPr>
          <w:ilvl w:val="0"/>
          <w:numId w:val="6"/>
        </w:numPr>
        <w:spacing w:line="324" w:lineRule="auto"/>
      </w:pPr>
      <w:r>
        <w:rPr>
          <w:bCs/>
          <w:color w:val="000000"/>
          <w:sz w:val="23"/>
          <w:szCs w:val="23"/>
        </w:rPr>
        <w:t xml:space="preserve">Właściciele lub użytkownicy wieczyści nieruchomości – w drodze obwieszczenia </w:t>
      </w:r>
    </w:p>
    <w:p w:rsidR="00C67589">
      <w:pPr>
        <w:numPr>
          <w:ilvl w:val="0"/>
          <w:numId w:val="6"/>
        </w:numPr>
        <w:suppressAutoHyphens w:val="0"/>
        <w:spacing w:line="324" w:lineRule="auto"/>
        <w:jc w:val="both"/>
      </w:pPr>
      <w:r>
        <w:rPr>
          <w:color w:val="000000"/>
          <w:kern w:val="0"/>
          <w:sz w:val="23"/>
          <w:szCs w:val="23"/>
          <w:lang w:eastAsia="ar-SA"/>
        </w:rPr>
        <w:t>aa (z załącznikami)</w:t>
      </w:r>
    </w:p>
    <w:p w:rsidR="00C67589">
      <w:pPr>
        <w:suppressAutoHyphens w:val="0"/>
        <w:spacing w:line="324" w:lineRule="auto"/>
        <w:jc w:val="both"/>
        <w:rPr>
          <w:color w:val="000000"/>
          <w:kern w:val="0"/>
          <w:sz w:val="23"/>
          <w:szCs w:val="23"/>
          <w:lang w:eastAsia="ar-SA"/>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916756">
      <w:pPr>
        <w:shd w:val="clear" w:color="auto" w:fill="FFFFFF"/>
        <w:jc w:val="center"/>
        <w:textAlignment w:val="baseline"/>
        <w:outlineLvl w:val="0"/>
        <w:rPr>
          <w:b/>
          <w:bCs/>
          <w:color w:val="1F548F"/>
          <w:sz w:val="14"/>
          <w:szCs w:val="14"/>
          <w:lang w:eastAsia="pl-PL"/>
        </w:rPr>
      </w:pPr>
    </w:p>
    <w:p w:rsidR="00916756">
      <w:pPr>
        <w:shd w:val="clear" w:color="auto" w:fill="FFFFFF"/>
        <w:jc w:val="center"/>
        <w:textAlignment w:val="baseline"/>
        <w:outlineLvl w:val="0"/>
        <w:rPr>
          <w:b/>
          <w:bCs/>
          <w:color w:val="1F548F"/>
          <w:sz w:val="14"/>
          <w:szCs w:val="14"/>
          <w:lang w:eastAsia="pl-PL"/>
        </w:rPr>
      </w:pPr>
    </w:p>
    <w:p w:rsidR="00916756">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b/>
          <w:bCs/>
          <w:color w:val="1F548F"/>
          <w:sz w:val="14"/>
          <w:szCs w:val="14"/>
          <w:lang w:eastAsia="pl-PL"/>
        </w:rPr>
      </w:pPr>
    </w:p>
    <w:p w:rsidR="00C67589">
      <w:pPr>
        <w:shd w:val="clear" w:color="auto" w:fill="FFFFFF"/>
        <w:jc w:val="center"/>
        <w:textAlignment w:val="baseline"/>
        <w:outlineLvl w:val="0"/>
        <w:rPr>
          <w:sz w:val="14"/>
          <w:szCs w:val="14"/>
        </w:rPr>
      </w:pPr>
      <w:r>
        <w:rPr>
          <w:b/>
          <w:bCs/>
          <w:color w:val="1F548F"/>
          <w:sz w:val="14"/>
          <w:szCs w:val="14"/>
          <w:lang w:eastAsia="pl-PL"/>
        </w:rPr>
        <w:t xml:space="preserve">Klauzula informacyjna o przetwarzaniu danych osobowych </w:t>
      </w:r>
    </w:p>
    <w:p w:rsidR="00C67589">
      <w:pPr>
        <w:shd w:val="clear" w:color="auto" w:fill="FFFFFF"/>
        <w:jc w:val="center"/>
        <w:textAlignment w:val="baseline"/>
        <w:outlineLvl w:val="0"/>
        <w:rPr>
          <w:sz w:val="14"/>
          <w:szCs w:val="14"/>
        </w:rPr>
      </w:pPr>
    </w:p>
    <w:p w:rsidR="00C67589">
      <w:pPr>
        <w:shd w:val="clear" w:color="auto" w:fill="FFFFFF"/>
        <w:jc w:val="both"/>
        <w:textAlignment w:val="baseline"/>
        <w:rPr>
          <w:sz w:val="14"/>
          <w:szCs w:val="14"/>
        </w:rPr>
      </w:pPr>
      <w:r>
        <w:rPr>
          <w:b/>
          <w:bCs/>
          <w:color w:val="333333"/>
          <w:sz w:val="14"/>
          <w:szCs w:val="14"/>
          <w:lang w:eastAsia="pl-PL"/>
        </w:rPr>
        <w:t>25 maja 2018 r. na terytorium wszystkich krajów Unii Europejskiej zaczęło obowiązywać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RODO). RODO określa zasady, na jakich można przetwarzać dane osobowe. Z przepisów rozporządzenia o ochronie danych wynika też obowiązek ochrony danych osobowych.</w:t>
      </w:r>
    </w:p>
    <w:p w:rsidR="00C67589">
      <w:pPr>
        <w:shd w:val="clear" w:color="auto" w:fill="FFFFFF"/>
        <w:jc w:val="both"/>
        <w:textAlignment w:val="baseline"/>
        <w:rPr>
          <w:b/>
          <w:bCs/>
          <w:color w:val="333333"/>
          <w:sz w:val="14"/>
          <w:szCs w:val="14"/>
          <w:lang w:eastAsia="pl-PL"/>
        </w:rPr>
      </w:pPr>
    </w:p>
    <w:p w:rsidR="00C67589">
      <w:pPr>
        <w:shd w:val="clear" w:color="auto" w:fill="FFFFFF"/>
        <w:jc w:val="both"/>
        <w:textAlignment w:val="baseline"/>
        <w:outlineLvl w:val="2"/>
        <w:rPr>
          <w:sz w:val="14"/>
          <w:szCs w:val="14"/>
        </w:rPr>
      </w:pPr>
      <w:r>
        <w:rPr>
          <w:b/>
          <w:bCs/>
          <w:color w:val="1F548F"/>
          <w:sz w:val="14"/>
          <w:szCs w:val="14"/>
          <w:lang w:eastAsia="pl-PL"/>
        </w:rPr>
        <w:t>Kto jest administratorem Państwa danych? Jak skontaktować się z administratorem danych?</w:t>
      </w:r>
    </w:p>
    <w:p w:rsidR="00C67589">
      <w:pPr>
        <w:shd w:val="clear" w:color="auto" w:fill="FFFFFF"/>
        <w:jc w:val="both"/>
        <w:textAlignment w:val="baseline"/>
        <w:rPr>
          <w:sz w:val="14"/>
          <w:szCs w:val="14"/>
        </w:rPr>
      </w:pPr>
      <w:r>
        <w:rPr>
          <w:color w:val="333333"/>
          <w:sz w:val="14"/>
          <w:szCs w:val="14"/>
          <w:lang w:eastAsia="pl-PL"/>
        </w:rPr>
        <w:t xml:space="preserve">Administratorem Państwa danych osobowych jest Wojewoda Łódzki. </w:t>
      </w:r>
    </w:p>
    <w:p w:rsidR="00C67589">
      <w:pPr>
        <w:shd w:val="clear" w:color="auto" w:fill="FFFFFF"/>
        <w:jc w:val="both"/>
        <w:textAlignment w:val="baseline"/>
        <w:rPr>
          <w:sz w:val="14"/>
          <w:szCs w:val="14"/>
        </w:rPr>
      </w:pPr>
      <w:r>
        <w:rPr>
          <w:color w:val="333333"/>
          <w:sz w:val="14"/>
          <w:szCs w:val="14"/>
          <w:lang w:eastAsia="pl-PL"/>
        </w:rPr>
        <w:t>- adres: Łódzki Urząd Wojewódzki w Łodzi, ul. Piotrkowska 104, 90-926 Łódź</w:t>
      </w:r>
    </w:p>
    <w:p w:rsidR="00C67589">
      <w:pPr>
        <w:shd w:val="clear" w:color="auto" w:fill="FFFFFF"/>
        <w:jc w:val="both"/>
        <w:textAlignment w:val="baseline"/>
      </w:pPr>
      <w:r>
        <w:rPr>
          <w:color w:val="333333"/>
          <w:sz w:val="14"/>
          <w:szCs w:val="14"/>
          <w:lang w:eastAsia="pl-PL"/>
        </w:rPr>
        <w:t>- e-mail: </w:t>
      </w:r>
      <w:r>
        <w:fldChar w:fldCharType="begin"/>
      </w:r>
      <w:r>
        <w:instrText xml:space="preserve"> HYPERLINK "mailto:kancelaria@lodz.uw.gov.pl" </w:instrText>
      </w:r>
      <w:r>
        <w:fldChar w:fldCharType="separate"/>
      </w:r>
      <w:r>
        <w:rPr>
          <w:rStyle w:val="czeinternetowe"/>
          <w:sz w:val="14"/>
          <w:szCs w:val="14"/>
          <w:highlight w:val="white"/>
        </w:rPr>
        <w:t>kancelaria@lodz.uw.gov.pl</w:t>
      </w:r>
      <w:r>
        <w:fldChar w:fldCharType="end"/>
      </w:r>
    </w:p>
    <w:p w:rsidR="00C67589">
      <w:pPr>
        <w:shd w:val="clear" w:color="auto" w:fill="FFFFFF"/>
        <w:suppressAutoHyphens w:val="0"/>
        <w:jc w:val="both"/>
        <w:textAlignment w:val="baseline"/>
        <w:outlineLvl w:val="2"/>
        <w:rPr>
          <w:sz w:val="14"/>
          <w:szCs w:val="14"/>
        </w:rPr>
      </w:pPr>
      <w:r>
        <w:rPr>
          <w:b/>
          <w:bCs/>
          <w:color w:val="1F548F"/>
          <w:sz w:val="14"/>
          <w:szCs w:val="14"/>
          <w:lang w:eastAsia="pl-PL"/>
        </w:rPr>
        <w:t>Jak skontaktować się z inspektorem ochrony danych?</w:t>
      </w:r>
    </w:p>
    <w:p w:rsidR="00C67589">
      <w:pPr>
        <w:shd w:val="clear" w:color="auto" w:fill="FFFFFF"/>
        <w:suppressAutoHyphens w:val="0"/>
        <w:jc w:val="both"/>
        <w:textAlignment w:val="baseline"/>
        <w:outlineLvl w:val="2"/>
        <w:rPr>
          <w:sz w:val="14"/>
          <w:szCs w:val="14"/>
        </w:rPr>
      </w:pPr>
      <w:r>
        <w:rPr>
          <w:b/>
          <w:bCs/>
          <w:color w:val="1F548F"/>
          <w:sz w:val="14"/>
          <w:szCs w:val="14"/>
          <w:lang w:eastAsia="pl-PL"/>
        </w:rPr>
        <w:t xml:space="preserve">- </w:t>
      </w:r>
      <w:r>
        <w:rPr>
          <w:color w:val="333333"/>
          <w:sz w:val="14"/>
          <w:szCs w:val="14"/>
          <w:lang w:eastAsia="pl-PL"/>
        </w:rPr>
        <w:t>adres: Łódzki Urząd Wojewódzki w Łodzi, ul. Piotrkowska 104, 90-926 Łódź</w:t>
      </w:r>
    </w:p>
    <w:p w:rsidR="00C67589">
      <w:pPr>
        <w:shd w:val="clear" w:color="auto" w:fill="FFFFFF"/>
        <w:suppressAutoHyphens w:val="0"/>
        <w:jc w:val="both"/>
        <w:textAlignment w:val="baseline"/>
      </w:pPr>
      <w:r>
        <w:rPr>
          <w:color w:val="333333"/>
          <w:sz w:val="14"/>
          <w:szCs w:val="14"/>
          <w:lang w:eastAsia="pl-PL"/>
        </w:rPr>
        <w:t>- e-mail: </w:t>
      </w:r>
      <w:r>
        <w:fldChar w:fldCharType="begin"/>
      </w:r>
      <w:r>
        <w:instrText xml:space="preserve"> HYPERLINK "mailto:iod@lodz.uw.gov.pl" </w:instrText>
      </w:r>
      <w:r>
        <w:fldChar w:fldCharType="separate"/>
      </w:r>
      <w:r>
        <w:rPr>
          <w:rStyle w:val="czeinternetowe"/>
          <w:b/>
          <w:bCs/>
          <w:sz w:val="14"/>
          <w:szCs w:val="14"/>
          <w:highlight w:val="white"/>
        </w:rPr>
        <w:t>iod</w:t>
      </w:r>
      <w:r>
        <w:rPr>
          <w:rStyle w:val="czeinternetowe"/>
          <w:sz w:val="14"/>
          <w:szCs w:val="14"/>
          <w:highlight w:val="white"/>
        </w:rPr>
        <w:t>@lodz.uw.gov.pl</w:t>
      </w:r>
      <w:r>
        <w:fldChar w:fldCharType="end"/>
      </w:r>
      <w:r>
        <w:rPr>
          <w:color w:val="545454"/>
          <w:sz w:val="14"/>
          <w:szCs w:val="14"/>
          <w:shd w:val="clear" w:color="auto" w:fill="FFFFFF"/>
        </w:rPr>
        <w:t>.</w:t>
      </w:r>
    </w:p>
    <w:p w:rsidR="00C67589">
      <w:pPr>
        <w:shd w:val="clear" w:color="auto" w:fill="FFFFFF"/>
        <w:jc w:val="both"/>
        <w:textAlignment w:val="baseline"/>
        <w:outlineLvl w:val="2"/>
        <w:rPr>
          <w:sz w:val="14"/>
          <w:szCs w:val="14"/>
        </w:rPr>
      </w:pPr>
      <w:r>
        <w:rPr>
          <w:b/>
          <w:bCs/>
          <w:color w:val="1F548F"/>
          <w:sz w:val="14"/>
          <w:szCs w:val="14"/>
          <w:lang w:eastAsia="pl-PL"/>
        </w:rPr>
        <w:t>W jakim celu administrator będzie przetwarzać Państwa dane?</w:t>
      </w:r>
    </w:p>
    <w:p w:rsidR="00C67589">
      <w:pPr>
        <w:shd w:val="clear" w:color="auto" w:fill="FFFFFF"/>
        <w:jc w:val="both"/>
        <w:textAlignment w:val="baseline"/>
        <w:rPr>
          <w:sz w:val="14"/>
          <w:szCs w:val="14"/>
        </w:rPr>
      </w:pPr>
      <w:r>
        <w:rPr>
          <w:color w:val="333333"/>
          <w:sz w:val="14"/>
          <w:szCs w:val="14"/>
          <w:lang w:eastAsia="pl-PL"/>
        </w:rPr>
        <w:t>Administrator przetwarza Państwa dane, aby Wojewoda Łódzki mógł wykonywać swoje ustawowe zadania, w szczególności:</w:t>
      </w:r>
    </w:p>
    <w:p w:rsidR="00C67589">
      <w:pPr>
        <w:shd w:val="clear" w:color="auto" w:fill="FFFFFF"/>
        <w:jc w:val="both"/>
        <w:textAlignment w:val="baseline"/>
        <w:rPr>
          <w:sz w:val="14"/>
          <w:szCs w:val="14"/>
        </w:rPr>
      </w:pPr>
      <w:r>
        <w:rPr>
          <w:color w:val="333333"/>
          <w:sz w:val="14"/>
          <w:szCs w:val="14"/>
          <w:lang w:eastAsia="pl-PL"/>
        </w:rPr>
        <w:t>- rozpatrywać sprawy – prowadzić postępowania administracyjne, należące do właściwości wojewody jako organu administracji architektoniczno-budowlanej I instancji;</w:t>
      </w:r>
    </w:p>
    <w:p w:rsidR="00C67589">
      <w:pPr>
        <w:shd w:val="clear" w:color="auto" w:fill="FFFFFF"/>
        <w:suppressAutoHyphens w:val="0"/>
        <w:jc w:val="both"/>
        <w:textAlignment w:val="baseline"/>
        <w:rPr>
          <w:sz w:val="14"/>
          <w:szCs w:val="14"/>
        </w:rPr>
      </w:pPr>
      <w:r>
        <w:rPr>
          <w:color w:val="000000"/>
          <w:sz w:val="14"/>
          <w:szCs w:val="14"/>
        </w:rPr>
        <w:t xml:space="preserve">- prowadzić rejestr wniosków o pozwolenie na budowę i rejestru decyzji o pozwoleniu na budowę wydawanych przez wojewodę; </w:t>
      </w:r>
    </w:p>
    <w:p w:rsidR="00C67589">
      <w:pPr>
        <w:shd w:val="clear" w:color="auto" w:fill="FFFFFF"/>
        <w:suppressAutoHyphens w:val="0"/>
        <w:jc w:val="both"/>
        <w:textAlignment w:val="baseline"/>
        <w:rPr>
          <w:sz w:val="14"/>
          <w:szCs w:val="14"/>
        </w:rPr>
      </w:pPr>
      <w:r>
        <w:rPr>
          <w:color w:val="333333"/>
          <w:sz w:val="14"/>
          <w:szCs w:val="14"/>
          <w:lang w:eastAsia="pl-PL"/>
        </w:rPr>
        <w:t>- rozpatrywać sprawy należące do właściwości wojewody jako organu administracji rządowej (skargi, wnioski, zapytania itp.);</w:t>
      </w:r>
    </w:p>
    <w:p w:rsidR="00C67589">
      <w:pPr>
        <w:tabs>
          <w:tab w:val="left" w:pos="426"/>
        </w:tabs>
        <w:jc w:val="both"/>
        <w:rPr>
          <w:sz w:val="14"/>
          <w:szCs w:val="14"/>
        </w:rPr>
      </w:pPr>
      <w:r>
        <w:rPr>
          <w:b/>
          <w:bCs/>
          <w:color w:val="1F548F"/>
          <w:sz w:val="14"/>
          <w:szCs w:val="14"/>
          <w:lang w:eastAsia="pl-PL"/>
        </w:rPr>
        <w:t>Na jakiej podstawie administrator przetwarza Państwa dane osobowe?</w:t>
      </w:r>
    </w:p>
    <w:p w:rsidR="00C67589">
      <w:pPr>
        <w:shd w:val="clear" w:color="auto" w:fill="FFFFFF"/>
        <w:jc w:val="both"/>
        <w:textAlignment w:val="baseline"/>
        <w:rPr>
          <w:sz w:val="14"/>
          <w:szCs w:val="14"/>
        </w:rPr>
      </w:pPr>
      <w:r>
        <w:rPr>
          <w:color w:val="333333"/>
          <w:sz w:val="14"/>
          <w:szCs w:val="14"/>
          <w:lang w:eastAsia="pl-PL"/>
        </w:rPr>
        <w:t xml:space="preserve">Podstawą prawną przetwarzania danych osobowych jest obowiązek prawny, który ciąży na administratorze. Przetwarzanie danych jest niezbędne do wypełnienia obowiązku prawnego ciążącego na administratorze. </w:t>
      </w:r>
    </w:p>
    <w:p w:rsidR="00C67589">
      <w:pPr>
        <w:shd w:val="clear" w:color="auto" w:fill="FFFFFF"/>
        <w:jc w:val="both"/>
        <w:textAlignment w:val="baseline"/>
        <w:outlineLvl w:val="2"/>
        <w:rPr>
          <w:sz w:val="14"/>
          <w:szCs w:val="14"/>
        </w:rPr>
      </w:pPr>
      <w:r>
        <w:rPr>
          <w:b/>
          <w:bCs/>
          <w:color w:val="1F548F"/>
          <w:sz w:val="14"/>
          <w:szCs w:val="14"/>
          <w:lang w:eastAsia="pl-PL"/>
        </w:rPr>
        <w:t>Źródła danych</w:t>
      </w:r>
    </w:p>
    <w:p w:rsidR="00C67589">
      <w:pPr>
        <w:shd w:val="clear" w:color="auto" w:fill="FFFFFF"/>
        <w:jc w:val="both"/>
        <w:textAlignment w:val="baseline"/>
        <w:rPr>
          <w:sz w:val="14"/>
          <w:szCs w:val="14"/>
        </w:rPr>
      </w:pPr>
      <w:r>
        <w:rPr>
          <w:color w:val="333333"/>
          <w:sz w:val="14"/>
          <w:szCs w:val="14"/>
          <w:lang w:eastAsia="pl-PL"/>
        </w:rPr>
        <w:t>Administrator może pozyskiwać dane osobowe od osoby, której te dane dotyczą, ze źródeł publicznie dostępnych, od organów administracji państwowej, od innych podmiotów, od osób fizycznych zobowiązanych do przekazania danych osobowych.</w:t>
      </w:r>
    </w:p>
    <w:p w:rsidR="00C67589">
      <w:pPr>
        <w:shd w:val="clear" w:color="auto" w:fill="FFFFFF"/>
        <w:jc w:val="both"/>
        <w:textAlignment w:val="baseline"/>
        <w:outlineLvl w:val="2"/>
        <w:rPr>
          <w:sz w:val="14"/>
          <w:szCs w:val="14"/>
        </w:rPr>
      </w:pPr>
      <w:r>
        <w:rPr>
          <w:b/>
          <w:bCs/>
          <w:color w:val="1F548F"/>
          <w:sz w:val="14"/>
          <w:szCs w:val="14"/>
          <w:lang w:eastAsia="pl-PL"/>
        </w:rPr>
        <w:t>Kto będzie mieć dostęp do Państwa danych osobowych?</w:t>
      </w:r>
    </w:p>
    <w:p w:rsidR="00C67589">
      <w:pPr>
        <w:shd w:val="clear" w:color="auto" w:fill="FFFFFF"/>
        <w:jc w:val="both"/>
        <w:textAlignment w:val="baseline"/>
        <w:rPr>
          <w:sz w:val="14"/>
          <w:szCs w:val="14"/>
        </w:rPr>
      </w:pPr>
      <w:r>
        <w:rPr>
          <w:color w:val="333333"/>
          <w:sz w:val="14"/>
          <w:szCs w:val="14"/>
          <w:lang w:eastAsia="pl-PL"/>
        </w:rPr>
        <w:t xml:space="preserve">Administrator może przekazywać (udostępniać) – w celu wskazanym wyżej - Państwa dane osobowe innym kategoriom odbiorców danych osobowych. Odbiorcami tych danych osobowych są strony postępowania, prowadzonego przez wojewodę i ich pełnomocnicy, podmioty działające na prawach strony,  i ich pełnomocnicy, a także uczestnicy postępowań (np. biegli itp.), organy publiczne i urzędy państwowe lub inne podmioty upoważnione na podstawie przepisów prawa lub wykonujący zadania realizowane w interesie publicznym lub w ramach sprawowania władzy publicznej. </w:t>
      </w:r>
    </w:p>
    <w:p w:rsidR="00C67589">
      <w:pPr>
        <w:shd w:val="clear" w:color="auto" w:fill="FFFFFF"/>
        <w:jc w:val="both"/>
        <w:textAlignment w:val="baseline"/>
        <w:outlineLvl w:val="2"/>
        <w:rPr>
          <w:sz w:val="14"/>
          <w:szCs w:val="14"/>
        </w:rPr>
      </w:pPr>
      <w:r>
        <w:rPr>
          <w:b/>
          <w:bCs/>
          <w:color w:val="1F548F"/>
          <w:sz w:val="14"/>
          <w:szCs w:val="14"/>
          <w:lang w:eastAsia="pl-PL"/>
        </w:rPr>
        <w:t>Jak długo administrator będzie przetwarzać Państwa dane?</w:t>
      </w:r>
    </w:p>
    <w:p w:rsidR="00C67589">
      <w:pPr>
        <w:shd w:val="clear" w:color="auto" w:fill="FFFFFF"/>
        <w:jc w:val="both"/>
        <w:textAlignment w:val="baseline"/>
        <w:rPr>
          <w:sz w:val="14"/>
          <w:szCs w:val="14"/>
        </w:rPr>
      </w:pPr>
      <w:r>
        <w:rPr>
          <w:color w:val="333333"/>
          <w:sz w:val="14"/>
          <w:szCs w:val="14"/>
          <w:lang w:eastAsia="pl-PL"/>
        </w:rPr>
        <w:t xml:space="preserve">Administrator będzie przetwarzać Państwa dane do czasu, aż wykona określone zadanie. </w:t>
      </w:r>
    </w:p>
    <w:p w:rsidR="00C67589">
      <w:pPr>
        <w:shd w:val="clear" w:color="auto" w:fill="FFFFFF"/>
        <w:jc w:val="both"/>
        <w:textAlignment w:val="baseline"/>
        <w:rPr>
          <w:sz w:val="14"/>
          <w:szCs w:val="14"/>
        </w:rPr>
      </w:pPr>
      <w:r>
        <w:rPr>
          <w:color w:val="333333"/>
          <w:sz w:val="14"/>
          <w:szCs w:val="14"/>
          <w:lang w:eastAsia="pl-PL"/>
        </w:rPr>
        <w:t>Czas ten obejmuje też archiwizację dokumentów, które administrator zgromadzi w związku z realizacją tego zadania.</w:t>
      </w:r>
    </w:p>
    <w:p w:rsidR="00C67589">
      <w:pPr>
        <w:shd w:val="clear" w:color="auto" w:fill="FFFFFF"/>
        <w:jc w:val="both"/>
        <w:textAlignment w:val="baseline"/>
        <w:outlineLvl w:val="2"/>
        <w:rPr>
          <w:sz w:val="14"/>
          <w:szCs w:val="14"/>
        </w:rPr>
      </w:pPr>
      <w:r>
        <w:rPr>
          <w:b/>
          <w:bCs/>
          <w:color w:val="1F548F"/>
          <w:sz w:val="14"/>
          <w:szCs w:val="14"/>
          <w:lang w:eastAsia="pl-PL"/>
        </w:rPr>
        <w:t>Jakie przysługują Państwu prawa?</w:t>
      </w:r>
    </w:p>
    <w:p w:rsidR="00C67589">
      <w:pPr>
        <w:shd w:val="clear" w:color="auto" w:fill="FFFFFF"/>
        <w:jc w:val="both"/>
        <w:textAlignment w:val="baseline"/>
        <w:rPr>
          <w:sz w:val="14"/>
          <w:szCs w:val="14"/>
        </w:rPr>
      </w:pPr>
      <w:r>
        <w:rPr>
          <w:color w:val="333333"/>
          <w:sz w:val="14"/>
          <w:szCs w:val="14"/>
          <w:lang w:eastAsia="pl-PL"/>
        </w:rPr>
        <w:t>Mają Państwo prawo żądać od administratora danych, aby:</w:t>
      </w:r>
    </w:p>
    <w:p w:rsidR="00C67589">
      <w:pPr>
        <w:shd w:val="clear" w:color="auto" w:fill="FFFFFF"/>
        <w:suppressAutoHyphens w:val="0"/>
        <w:jc w:val="both"/>
        <w:textAlignment w:val="baseline"/>
        <w:rPr>
          <w:sz w:val="14"/>
          <w:szCs w:val="14"/>
        </w:rPr>
      </w:pPr>
      <w:r>
        <w:rPr>
          <w:color w:val="333333"/>
          <w:sz w:val="14"/>
          <w:szCs w:val="14"/>
          <w:lang w:eastAsia="pl-PL"/>
        </w:rPr>
        <w:t>- umożliwił Państwu dostęp do swoich danych osobowych,</w:t>
      </w:r>
    </w:p>
    <w:p w:rsidR="00C67589">
      <w:pPr>
        <w:shd w:val="clear" w:color="auto" w:fill="FFFFFF"/>
        <w:suppressAutoHyphens w:val="0"/>
        <w:jc w:val="both"/>
        <w:textAlignment w:val="baseline"/>
        <w:rPr>
          <w:sz w:val="14"/>
          <w:szCs w:val="14"/>
        </w:rPr>
      </w:pPr>
      <w:r>
        <w:rPr>
          <w:color w:val="333333"/>
          <w:sz w:val="14"/>
          <w:szCs w:val="14"/>
          <w:lang w:eastAsia="pl-PL"/>
        </w:rPr>
        <w:t>- sprostował przetwarzane dane,</w:t>
      </w:r>
    </w:p>
    <w:p w:rsidR="00C67589">
      <w:pPr>
        <w:shd w:val="clear" w:color="auto" w:fill="FFFFFF"/>
        <w:jc w:val="both"/>
        <w:textAlignment w:val="baseline"/>
        <w:rPr>
          <w:sz w:val="14"/>
          <w:szCs w:val="14"/>
        </w:rPr>
      </w:pPr>
      <w:r>
        <w:rPr>
          <w:color w:val="333333"/>
          <w:sz w:val="14"/>
          <w:szCs w:val="14"/>
          <w:lang w:eastAsia="pl-PL"/>
        </w:rPr>
        <w:t>Żądanie realizacji wymienionych praw proszę przesłać w formie pisemnej do administratora danych (dane kontaktowe jak wyżej, z dopiskiem „Ochrona danych osobowych”).</w:t>
      </w:r>
    </w:p>
    <w:p w:rsidR="00C67589">
      <w:pPr>
        <w:shd w:val="clear" w:color="auto" w:fill="FFFFFF"/>
        <w:jc w:val="both"/>
        <w:textAlignment w:val="baseline"/>
        <w:rPr>
          <w:sz w:val="14"/>
          <w:szCs w:val="14"/>
        </w:rPr>
      </w:pPr>
      <w:r>
        <w:rPr>
          <w:color w:val="333333"/>
          <w:sz w:val="14"/>
          <w:szCs w:val="14"/>
          <w:lang w:eastAsia="pl-PL"/>
        </w:rPr>
        <w:t xml:space="preserve">Przysługuje też Państwu prawo, aby wnieść skargę do Prezesa Urzędu Ochrony Danych Osobowych w przypadku, gdy uznają Państwo, że przetwarzanie danych osobowych narusza przepisy. </w:t>
      </w:r>
    </w:p>
    <w:p w:rsidR="00C67589">
      <w:pPr>
        <w:shd w:val="clear" w:color="auto" w:fill="FFFFFF"/>
        <w:jc w:val="both"/>
        <w:textAlignment w:val="baseline"/>
        <w:outlineLvl w:val="2"/>
        <w:rPr>
          <w:sz w:val="14"/>
          <w:szCs w:val="14"/>
        </w:rPr>
      </w:pPr>
      <w:r>
        <w:rPr>
          <w:b/>
          <w:bCs/>
          <w:color w:val="1F548F"/>
          <w:sz w:val="14"/>
          <w:szCs w:val="14"/>
          <w:lang w:eastAsia="pl-PL"/>
        </w:rPr>
        <w:t>Czy Państwa dane są bezpieczne?</w:t>
      </w:r>
    </w:p>
    <w:p w:rsidR="00C67589">
      <w:pPr>
        <w:shd w:val="clear" w:color="auto" w:fill="FFFFFF"/>
        <w:suppressAutoHyphens w:val="0"/>
        <w:snapToGrid w:val="0"/>
        <w:spacing w:line="360" w:lineRule="auto"/>
        <w:jc w:val="both"/>
        <w:textAlignment w:val="baseline"/>
      </w:pPr>
      <w:r>
        <w:rPr>
          <w:color w:val="333333"/>
          <w:kern w:val="0"/>
          <w:sz w:val="14"/>
          <w:szCs w:val="14"/>
          <w:lang w:eastAsia="pl-PL"/>
        </w:rPr>
        <w:t xml:space="preserve">Tak. Administrator nie wykorzystuje ich po to, aby w sposób zautomatyzowany podejmować decyzje lub profilować dane. </w:t>
      </w:r>
    </w:p>
    <w:sectPr>
      <w:headerReference w:type="default" r:id="rId4"/>
      <w:footerReference w:type="default" r:id="rId5"/>
      <w:headerReference w:type="first" r:id="rId6"/>
      <w:footerReference w:type="first" r:id="rId7"/>
      <w:pgSz w:w="11906" w:h="16838"/>
      <w:pgMar w:top="1650" w:right="1398" w:bottom="949" w:left="1418" w:header="707" w:footer="460" w:gutter="0"/>
      <w:pgNumType w:start="1"/>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7589">
    <w:pPr>
      <w:pStyle w:val="Stopka1"/>
      <w:jc w:val="center"/>
    </w:pPr>
    <w:r>
      <w:t xml:space="preserve"> </w:t>
    </w:r>
    <w:r>
      <w:fldChar w:fldCharType="begin"/>
    </w:r>
    <w:r>
      <w:instrText>PAGE</w:instrText>
    </w:r>
    <w:r>
      <w:fldChar w:fldCharType="separate"/>
    </w:r>
    <w:r w:rsidR="005F1A10">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7589">
    <w:pPr>
      <w:pStyle w:val="Stopka1"/>
      <w:jc w:val="center"/>
      <w:rPr>
        <w:sz w:val="14"/>
      </w:rPr>
    </w:pPr>
    <w:r>
      <w:rPr>
        <w:b/>
        <w:sz w:val="14"/>
      </w:rPr>
      <w:t>ŁÓDZKI URZĄD WOJEWÓDZKI W ŁODZI</w:t>
    </w:r>
  </w:p>
  <w:p w:rsidR="00C67589">
    <w:pPr>
      <w:pStyle w:val="Stopka1"/>
      <w:jc w:val="center"/>
    </w:pPr>
    <w:r>
      <w:rPr>
        <w:sz w:val="14"/>
      </w:rPr>
      <w:t xml:space="preserve">90-926 Łódź, ul. Piotrkowska 104, tel.: (+48) 42 664 10 00, fax: (+48) 42 664 10 40 Elektroniczna Skrzynka Podawcza </w:t>
    </w:r>
    <w:r>
      <w:rPr>
        <w:sz w:val="14"/>
      </w:rPr>
      <w:t>ePUAP</w:t>
    </w:r>
    <w:r>
      <w:rPr>
        <w:sz w:val="14"/>
      </w:rPr>
      <w:t>: /</w:t>
    </w:r>
    <w:r>
      <w:rPr>
        <w:sz w:val="14"/>
      </w:rPr>
      <w:t>lodzuw</w:t>
    </w:r>
    <w:r>
      <w:rPr>
        <w:sz w:val="14"/>
      </w:rPr>
      <w:t>/</w:t>
    </w:r>
    <w:r>
      <w:rPr>
        <w:sz w:val="14"/>
      </w:rPr>
      <w:t>SkrytkaESP</w:t>
    </w:r>
  </w:p>
  <w:p w:rsidR="00C67589">
    <w:pPr>
      <w:pStyle w:val="Stopka1"/>
      <w:jc w:val="center"/>
    </w:pPr>
    <w:r>
      <w:fldChar w:fldCharType="begin"/>
    </w:r>
    <w:r>
      <w:instrText xml:space="preserve"> HYPERLINK "http://www.lodzkie.eu/" </w:instrText>
    </w:r>
    <w:r>
      <w:fldChar w:fldCharType="separate"/>
    </w:r>
    <w:r w:rsidR="00B112BC">
      <w:rPr>
        <w:rStyle w:val="czeinternetowe"/>
        <w:sz w:val="16"/>
        <w:szCs w:val="16"/>
      </w:rPr>
      <w:t>https://www.gov.pl/web/uw-lodzki</w:t>
    </w:r>
    <w:r>
      <w:fldChar w:fldCharType="end"/>
    </w:r>
  </w:p>
  <w:p w:rsidR="00C67589">
    <w:pPr>
      <w:pStyle w:val="Stopka1"/>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rPr>
      <w:t>https://www.gov.pl/web/uw-lodzki</w:t>
    </w:r>
    <w:r>
      <w:fldChar w:fldCharType="end"/>
    </w:r>
    <w:r>
      <w:rPr>
        <w:sz w:val="14"/>
      </w:rPr>
      <w:t xml:space="preserve"> w zakładce ochrona danych osobowych.</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7589">
    <w:pPr>
      <w:spacing w:line="360" w:lineRule="auto"/>
      <w:ind w:right="11"/>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7589">
    <w:pPr>
      <w:ind w:right="5235"/>
      <w:jc w:val="center"/>
    </w:pPr>
    <w:r>
      <w:rPr>
        <w:noProof/>
        <w:lang w:eastAsia="pl-PL"/>
      </w:rPr>
      <w:drawing>
        <wp:inline distT="0" distB="0" distL="0" distR="0">
          <wp:extent cx="5753100" cy="819150"/>
          <wp:effectExtent l="0" t="0" r="0"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1"/>
                  <pic:cNvPicPr>
                    <a:picLocks noChangeAspect="1" noChangeArrowheads="1"/>
                  </pic:cNvPicPr>
                </pic:nvPicPr>
                <pic:blipFill>
                  <a:blip xmlns:r="http://schemas.openxmlformats.org/officeDocument/2006/relationships" r:embed="rId1"/>
                  <a:stretch>
                    <a:fillRect/>
                  </a:stretch>
                </pic:blipFill>
                <pic:spPr bwMode="auto">
                  <a:xfrm>
                    <a:off x="0" y="0"/>
                    <a:ext cx="5753100" cy="819150"/>
                  </a:xfrm>
                  <a:prstGeom prst="rect">
                    <a:avLst/>
                  </a:prstGeom>
                </pic:spPr>
              </pic:pic>
            </a:graphicData>
          </a:graphic>
        </wp:inline>
      </w:drawing>
    </w:r>
  </w:p>
  <w:p w:rsidR="00C67589">
    <w:pPr>
      <w:ind w:right="5235"/>
      <w:jc w:val="center"/>
    </w:pPr>
    <w:r>
      <w:rPr>
        <w:noProof/>
        <w:lang w:eastAsia="pl-PL"/>
      </w:rPr>
      <w:drawing>
        <wp:inline distT="0" distB="0" distL="0" distR="0">
          <wp:extent cx="702310" cy="857885"/>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xmlns:r="http://schemas.openxmlformats.org/officeDocument/2006/relationships" r:embed="rId2"/>
                  <a:srcRect l="19367" t="4726" r="20042" b="9738"/>
                  <a:stretch>
                    <a:fillRect/>
                  </a:stretch>
                </pic:blipFill>
                <pic:spPr bwMode="auto">
                  <a:xfrm>
                    <a:off x="0" y="0"/>
                    <a:ext cx="702310" cy="857885"/>
                  </a:xfrm>
                  <a:prstGeom prst="rect">
                    <a:avLst/>
                  </a:prstGeom>
                </pic:spPr>
              </pic:pic>
            </a:graphicData>
          </a:graphic>
        </wp:inline>
      </w:drawing>
    </w:r>
  </w:p>
  <w:p w:rsidR="00C67589">
    <w:pPr>
      <w:ind w:right="5235"/>
      <w:jc w:val="center"/>
    </w:pPr>
    <w:r>
      <w:rPr>
        <w:b/>
        <w:bCs/>
        <w:sz w:val="24"/>
        <w:szCs w:val="24"/>
        <w:lang w:eastAsia="pl-PL"/>
      </w:rPr>
      <w:t>WOJEWODA ŁÓDZKI</w:t>
    </w:r>
    <w:r>
      <w:rPr>
        <w:b/>
        <w:bCs/>
        <w:sz w:val="24"/>
        <w:szCs w:val="24"/>
        <w:lang w:eastAsia="pl-PL"/>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82590F"/>
    <w:multiLevelType w:val="multilevel"/>
    <w:tmpl w:val="A9A0EF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DD5257C"/>
    <w:multiLevelType w:val="multilevel"/>
    <w:tmpl w:val="61D6A5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60C3A64"/>
    <w:multiLevelType w:val="multilevel"/>
    <w:tmpl w:val="B9069564"/>
    <w:lvl w:ilvl="0">
      <w:start w:val="1"/>
      <w:numFmt w:val="bullet"/>
      <w:lvlText w:val=""/>
      <w:lvlJc w:val="left"/>
      <w:pPr>
        <w:tabs>
          <w:tab w:val="num" w:pos="720"/>
        </w:tabs>
        <w:ind w:left="720" w:hanging="360"/>
      </w:pPr>
      <w:rPr>
        <w:rFonts w:ascii="Symbol" w:hAnsi="Symbol" w:cs="Symbol" w:hint="default"/>
        <w:iCs/>
        <w:color w:val="000000"/>
        <w:sz w:val="24"/>
        <w:szCs w:val="24"/>
      </w:rPr>
    </w:lvl>
    <w:lvl w:ilvl="1">
      <w:start w:val="1"/>
      <w:numFmt w:val="decimal"/>
      <w:lvlText w:val="%2."/>
      <w:lvlJc w:val="left"/>
      <w:pPr>
        <w:tabs>
          <w:tab w:val="num" w:pos="1080"/>
        </w:tabs>
        <w:ind w:left="1080" w:hanging="360"/>
      </w:pPr>
      <w:rPr>
        <w:rFonts w:cs="Symbol"/>
        <w:iCs/>
        <w:color w:val="000000"/>
        <w:sz w:val="24"/>
        <w:szCs w:val="24"/>
      </w:rPr>
    </w:lvl>
    <w:lvl w:ilvl="2">
      <w:start w:val="1"/>
      <w:numFmt w:val="decimal"/>
      <w:lvlText w:val="%3."/>
      <w:lvlJc w:val="left"/>
      <w:pPr>
        <w:tabs>
          <w:tab w:val="num" w:pos="1440"/>
        </w:tabs>
        <w:ind w:left="1440" w:hanging="360"/>
      </w:pPr>
      <w:rPr>
        <w:rFonts w:cs="Symbol"/>
        <w:iCs/>
        <w:color w:val="000000"/>
        <w:sz w:val="24"/>
        <w:szCs w:val="24"/>
      </w:rPr>
    </w:lvl>
    <w:lvl w:ilvl="3">
      <w:start w:val="1"/>
      <w:numFmt w:val="decimal"/>
      <w:lvlText w:val="%4."/>
      <w:lvlJc w:val="left"/>
      <w:pPr>
        <w:tabs>
          <w:tab w:val="num" w:pos="1800"/>
        </w:tabs>
        <w:ind w:left="1800" w:hanging="360"/>
      </w:pPr>
      <w:rPr>
        <w:rFonts w:cs="Symbol"/>
        <w:iCs/>
        <w:color w:val="000000"/>
        <w:sz w:val="24"/>
        <w:szCs w:val="24"/>
      </w:rPr>
    </w:lvl>
    <w:lvl w:ilvl="4">
      <w:start w:val="1"/>
      <w:numFmt w:val="decimal"/>
      <w:lvlText w:val="%5."/>
      <w:lvlJc w:val="left"/>
      <w:pPr>
        <w:tabs>
          <w:tab w:val="num" w:pos="2160"/>
        </w:tabs>
        <w:ind w:left="2160" w:hanging="360"/>
      </w:pPr>
      <w:rPr>
        <w:rFonts w:cs="Symbol"/>
        <w:iCs/>
        <w:color w:val="000000"/>
        <w:sz w:val="24"/>
        <w:szCs w:val="24"/>
      </w:rPr>
    </w:lvl>
    <w:lvl w:ilvl="5">
      <w:start w:val="1"/>
      <w:numFmt w:val="decimal"/>
      <w:lvlText w:val="%6."/>
      <w:lvlJc w:val="left"/>
      <w:pPr>
        <w:tabs>
          <w:tab w:val="num" w:pos="2520"/>
        </w:tabs>
        <w:ind w:left="2520" w:hanging="360"/>
      </w:pPr>
      <w:rPr>
        <w:rFonts w:cs="Symbol"/>
        <w:iCs/>
        <w:color w:val="000000"/>
        <w:sz w:val="24"/>
        <w:szCs w:val="24"/>
      </w:rPr>
    </w:lvl>
    <w:lvl w:ilvl="6">
      <w:start w:val="1"/>
      <w:numFmt w:val="decimal"/>
      <w:lvlText w:val="%7."/>
      <w:lvlJc w:val="left"/>
      <w:pPr>
        <w:tabs>
          <w:tab w:val="num" w:pos="2880"/>
        </w:tabs>
        <w:ind w:left="2880" w:hanging="360"/>
      </w:pPr>
      <w:rPr>
        <w:rFonts w:cs="Symbol"/>
        <w:iCs/>
        <w:color w:val="000000"/>
        <w:sz w:val="24"/>
        <w:szCs w:val="24"/>
      </w:rPr>
    </w:lvl>
    <w:lvl w:ilvl="7">
      <w:start w:val="1"/>
      <w:numFmt w:val="decimal"/>
      <w:lvlText w:val="%8."/>
      <w:lvlJc w:val="left"/>
      <w:pPr>
        <w:tabs>
          <w:tab w:val="num" w:pos="3240"/>
        </w:tabs>
        <w:ind w:left="3240" w:hanging="360"/>
      </w:pPr>
      <w:rPr>
        <w:rFonts w:cs="Symbol"/>
        <w:iCs/>
        <w:color w:val="000000"/>
        <w:sz w:val="24"/>
        <w:szCs w:val="24"/>
      </w:rPr>
    </w:lvl>
    <w:lvl w:ilvl="8">
      <w:start w:val="1"/>
      <w:numFmt w:val="decimal"/>
      <w:lvlText w:val="%9."/>
      <w:lvlJc w:val="left"/>
      <w:pPr>
        <w:tabs>
          <w:tab w:val="num" w:pos="3600"/>
        </w:tabs>
        <w:ind w:left="3600" w:hanging="360"/>
      </w:pPr>
      <w:rPr>
        <w:rFonts w:cs="Symbol"/>
        <w:iCs/>
        <w:color w:val="000000"/>
        <w:sz w:val="24"/>
        <w:szCs w:val="24"/>
      </w:rPr>
    </w:lvl>
  </w:abstractNum>
  <w:abstractNum w:abstractNumId="3">
    <w:nsid w:val="38F26C41"/>
    <w:multiLevelType w:val="multilevel"/>
    <w:tmpl w:val="9FAAB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3AE33F6"/>
    <w:multiLevelType w:val="multilevel"/>
    <w:tmpl w:val="210C17F4"/>
    <w:lvl w:ilvl="0">
      <w:start w:val="1"/>
      <w:numFmt w:val="bullet"/>
      <w:lvlText w:val=""/>
      <w:lvlJc w:val="left"/>
      <w:pPr>
        <w:tabs>
          <w:tab w:val="num" w:pos="720"/>
        </w:tabs>
        <w:ind w:left="720" w:hanging="360"/>
      </w:pPr>
      <w:rPr>
        <w:rFonts w:ascii="Symbol" w:hAnsi="Symbol" w:cs="Symbol" w:hint="default"/>
        <w:iCs/>
        <w:color w:val="000000"/>
        <w:sz w:val="24"/>
        <w:szCs w:val="24"/>
      </w:rPr>
    </w:lvl>
    <w:lvl w:ilvl="1">
      <w:start w:val="1"/>
      <w:numFmt w:val="decimal"/>
      <w:lvlText w:val="%2."/>
      <w:lvlJc w:val="left"/>
      <w:pPr>
        <w:tabs>
          <w:tab w:val="num" w:pos="1080"/>
        </w:tabs>
        <w:ind w:left="1080" w:hanging="360"/>
      </w:pPr>
      <w:rPr>
        <w:rFonts w:cs="Symbol"/>
        <w:iCs/>
        <w:color w:val="000000"/>
        <w:sz w:val="24"/>
        <w:szCs w:val="24"/>
      </w:rPr>
    </w:lvl>
    <w:lvl w:ilvl="2">
      <w:start w:val="1"/>
      <w:numFmt w:val="decimal"/>
      <w:lvlText w:val="%3."/>
      <w:lvlJc w:val="left"/>
      <w:pPr>
        <w:tabs>
          <w:tab w:val="num" w:pos="1440"/>
        </w:tabs>
        <w:ind w:left="1440" w:hanging="360"/>
      </w:pPr>
      <w:rPr>
        <w:rFonts w:cs="Symbol"/>
        <w:iCs/>
        <w:color w:val="000000"/>
        <w:sz w:val="24"/>
        <w:szCs w:val="24"/>
      </w:rPr>
    </w:lvl>
    <w:lvl w:ilvl="3">
      <w:start w:val="1"/>
      <w:numFmt w:val="decimal"/>
      <w:lvlText w:val="%4."/>
      <w:lvlJc w:val="left"/>
      <w:pPr>
        <w:tabs>
          <w:tab w:val="num" w:pos="1800"/>
        </w:tabs>
        <w:ind w:left="1800" w:hanging="360"/>
      </w:pPr>
      <w:rPr>
        <w:rFonts w:cs="Symbol"/>
        <w:iCs/>
        <w:color w:val="000000"/>
        <w:sz w:val="24"/>
        <w:szCs w:val="24"/>
      </w:rPr>
    </w:lvl>
    <w:lvl w:ilvl="4">
      <w:start w:val="1"/>
      <w:numFmt w:val="decimal"/>
      <w:lvlText w:val="%5."/>
      <w:lvlJc w:val="left"/>
      <w:pPr>
        <w:tabs>
          <w:tab w:val="num" w:pos="2160"/>
        </w:tabs>
        <w:ind w:left="2160" w:hanging="360"/>
      </w:pPr>
      <w:rPr>
        <w:rFonts w:cs="Symbol"/>
        <w:iCs/>
        <w:color w:val="000000"/>
        <w:sz w:val="24"/>
        <w:szCs w:val="24"/>
      </w:rPr>
    </w:lvl>
    <w:lvl w:ilvl="5">
      <w:start w:val="1"/>
      <w:numFmt w:val="decimal"/>
      <w:lvlText w:val="%6."/>
      <w:lvlJc w:val="left"/>
      <w:pPr>
        <w:tabs>
          <w:tab w:val="num" w:pos="2520"/>
        </w:tabs>
        <w:ind w:left="2520" w:hanging="360"/>
      </w:pPr>
      <w:rPr>
        <w:rFonts w:cs="Symbol"/>
        <w:iCs/>
        <w:color w:val="000000"/>
        <w:sz w:val="24"/>
        <w:szCs w:val="24"/>
      </w:rPr>
    </w:lvl>
    <w:lvl w:ilvl="6">
      <w:start w:val="1"/>
      <w:numFmt w:val="decimal"/>
      <w:lvlText w:val="%7."/>
      <w:lvlJc w:val="left"/>
      <w:pPr>
        <w:tabs>
          <w:tab w:val="num" w:pos="2880"/>
        </w:tabs>
        <w:ind w:left="2880" w:hanging="360"/>
      </w:pPr>
      <w:rPr>
        <w:rFonts w:cs="Symbol"/>
        <w:iCs/>
        <w:color w:val="000000"/>
        <w:sz w:val="24"/>
        <w:szCs w:val="24"/>
      </w:rPr>
    </w:lvl>
    <w:lvl w:ilvl="7">
      <w:start w:val="1"/>
      <w:numFmt w:val="decimal"/>
      <w:lvlText w:val="%8."/>
      <w:lvlJc w:val="left"/>
      <w:pPr>
        <w:tabs>
          <w:tab w:val="num" w:pos="3240"/>
        </w:tabs>
        <w:ind w:left="3240" w:hanging="360"/>
      </w:pPr>
      <w:rPr>
        <w:rFonts w:cs="Symbol"/>
        <w:iCs/>
        <w:color w:val="000000"/>
        <w:sz w:val="24"/>
        <w:szCs w:val="24"/>
      </w:rPr>
    </w:lvl>
    <w:lvl w:ilvl="8">
      <w:start w:val="1"/>
      <w:numFmt w:val="decimal"/>
      <w:lvlText w:val="%9."/>
      <w:lvlJc w:val="left"/>
      <w:pPr>
        <w:tabs>
          <w:tab w:val="num" w:pos="3600"/>
        </w:tabs>
        <w:ind w:left="3600" w:hanging="360"/>
      </w:pPr>
      <w:rPr>
        <w:rFonts w:cs="Symbol"/>
        <w:iCs/>
        <w:color w:val="000000"/>
        <w:sz w:val="24"/>
        <w:szCs w:val="24"/>
      </w:rPr>
    </w:lvl>
  </w:abstractNum>
  <w:abstractNum w:abstractNumId="5">
    <w:nsid w:val="50D26065"/>
    <w:multiLevelType w:val="multilevel"/>
    <w:tmpl w:val="09CE897A"/>
    <w:lvl w:ilvl="0">
      <w:start w:val="1"/>
      <w:numFmt w:val="decimal"/>
      <w:lvlText w:val="%1."/>
      <w:lvlJc w:val="left"/>
      <w:pPr>
        <w:ind w:left="720" w:hanging="360"/>
      </w:pPr>
      <w:rPr>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3CE4B50"/>
    <w:multiLevelType w:val="multilevel"/>
    <w:tmpl w:val="1AE06A14"/>
    <w:lvl w:ilvl="0">
      <w:start w:val="1"/>
      <w:numFmt w:val="none"/>
      <w:suff w:val="nothing"/>
      <w:lvlJc w:val="left"/>
      <w:pPr>
        <w:ind w:left="0" w:firstLine="0"/>
      </w:pPr>
    </w:lvl>
    <w:lvl w:ilvl="1">
      <w:start w:val="1"/>
      <w:numFmt w:val="none"/>
      <w:suff w:val="nothing"/>
      <w:lvlJc w:val="left"/>
      <w:pPr>
        <w:ind w:left="0" w:firstLine="0"/>
      </w:pPr>
    </w:lvl>
    <w:lvl w:ilvl="2">
      <w:start w:val="1"/>
      <w:numFmt w:val="none"/>
      <w:suff w:val="nothing"/>
      <w:lvlJc w:val="left"/>
      <w:pPr>
        <w:ind w:left="0" w:firstLine="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num w:numId="1">
    <w:abstractNumId w:val="3"/>
  </w:num>
  <w:num w:numId="2">
    <w:abstractNumId w:val="2"/>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9"/>
  <w:hyphenationZone w:val="425"/>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Unicode MS"/>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rFonts w:ascii="Times New Roman" w:eastAsia="Times New Roman" w:hAnsi="Times New Roman" w:cs="Times New Roman"/>
      <w:kern w:val="2"/>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gwek11">
    <w:name w:val="Nagłówek 11"/>
    <w:basedOn w:val="Normal"/>
    <w:next w:val="Normal"/>
    <w:qFormat/>
    <w:pPr>
      <w:keepNext/>
      <w:widowControl w:val="0"/>
      <w:tabs>
        <w:tab w:val="center" w:pos="1588"/>
      </w:tabs>
      <w:ind w:left="4536"/>
      <w:jc w:val="center"/>
      <w:outlineLvl w:val="0"/>
    </w:pPr>
    <w:rPr>
      <w:rFonts w:ascii="Georgia" w:hAnsi="Georgia" w:cs="Georgia"/>
      <w:sz w:val="28"/>
    </w:rPr>
  </w:style>
  <w:style w:type="paragraph" w:customStyle="1" w:styleId="Nagwek21">
    <w:name w:val="Nagłówek 21"/>
    <w:basedOn w:val="Normal"/>
    <w:next w:val="Normal"/>
    <w:qFormat/>
    <w:pPr>
      <w:keepNext/>
      <w:outlineLvl w:val="1"/>
    </w:pPr>
    <w:rPr>
      <w:b/>
      <w:sz w:val="28"/>
    </w:rPr>
  </w:style>
  <w:style w:type="paragraph" w:customStyle="1" w:styleId="Nagwek31">
    <w:name w:val="Nagłówek 31"/>
    <w:basedOn w:val="Normal"/>
    <w:next w:val="Normal"/>
    <w:qFormat/>
    <w:pPr>
      <w:keepNext/>
      <w:ind w:left="3969"/>
      <w:outlineLvl w:val="2"/>
    </w:pPr>
    <w:rPr>
      <w:b/>
      <w:sz w:val="28"/>
    </w:rPr>
  </w:style>
  <w:style w:type="paragraph" w:customStyle="1" w:styleId="Nagwek41">
    <w:name w:val="Nagłówek 41"/>
    <w:basedOn w:val="Normal"/>
    <w:next w:val="Normal"/>
    <w:qFormat/>
    <w:pPr>
      <w:keepNext/>
      <w:ind w:left="3969"/>
      <w:outlineLvl w:val="3"/>
    </w:pPr>
    <w:rPr>
      <w:rFonts w:ascii="Georgia" w:hAnsi="Georgia" w:cs="Georgia"/>
      <w:b/>
      <w:i/>
      <w:sz w:val="28"/>
    </w:rPr>
  </w:style>
  <w:style w:type="paragraph" w:customStyle="1" w:styleId="Nagwek51">
    <w:name w:val="Nagłówek 51"/>
    <w:basedOn w:val="Normal"/>
    <w:next w:val="Normal"/>
    <w:qFormat/>
    <w:pPr>
      <w:keepNext/>
      <w:jc w:val="both"/>
      <w:outlineLvl w:val="4"/>
    </w:pPr>
    <w:rPr>
      <w:rFonts w:ascii="Georgia" w:hAnsi="Georgia" w:cs="Georgia"/>
      <w:sz w:val="30"/>
    </w:rPr>
  </w:style>
  <w:style w:type="paragraph" w:customStyle="1" w:styleId="Nagwek61">
    <w:name w:val="Nagłówek 61"/>
    <w:basedOn w:val="Normal"/>
    <w:next w:val="Normal"/>
    <w:qFormat/>
    <w:pPr>
      <w:keepNext/>
      <w:jc w:val="both"/>
      <w:outlineLvl w:val="5"/>
    </w:pPr>
    <w:rPr>
      <w:rFonts w:ascii="Georgia" w:hAnsi="Georgia" w:cs="Georgia"/>
      <w:b/>
      <w:sz w:val="30"/>
    </w:rPr>
  </w:style>
  <w:style w:type="paragraph" w:customStyle="1" w:styleId="Nagwek71">
    <w:name w:val="Nagłówek 71"/>
    <w:basedOn w:val="Normal"/>
    <w:next w:val="Normal"/>
    <w:qFormat/>
    <w:pPr>
      <w:keepNext/>
      <w:jc w:val="both"/>
      <w:outlineLvl w:val="6"/>
    </w:pPr>
    <w:rPr>
      <w:rFonts w:ascii="Georgia" w:hAnsi="Georgia" w:cs="Georgia"/>
      <w:b/>
      <w:i/>
      <w:sz w:val="30"/>
    </w:rPr>
  </w:style>
  <w:style w:type="paragraph" w:customStyle="1" w:styleId="Nagwek81">
    <w:name w:val="Nagłówek 81"/>
    <w:basedOn w:val="Normal"/>
    <w:next w:val="Normal"/>
    <w:qFormat/>
    <w:pPr>
      <w:keepNext/>
      <w:ind w:left="5664"/>
      <w:outlineLvl w:val="7"/>
    </w:pPr>
    <w:rPr>
      <w:sz w:val="24"/>
    </w:rPr>
  </w:style>
  <w:style w:type="paragraph" w:customStyle="1" w:styleId="Nagwek91">
    <w:name w:val="Nagłówek 91"/>
    <w:basedOn w:val="Normal"/>
    <w:next w:val="Normal"/>
    <w:qFormat/>
    <w:pPr>
      <w:keepNext/>
      <w:ind w:left="2694"/>
      <w:jc w:val="both"/>
      <w:outlineLvl w:val="8"/>
    </w:pPr>
    <w:rPr>
      <w:rFonts w:ascii="Georgia" w:hAnsi="Georgia" w:cs="Georgia"/>
      <w:b/>
      <w:sz w:val="26"/>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czeinternetowe">
    <w:name w:val="Łącze internetowe"/>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character" w:customStyle="1" w:styleId="Znakinumeracji">
    <w:name w:val="Znaki numeracji"/>
    <w:qFormat/>
  </w:style>
  <w:style w:type="character" w:customStyle="1" w:styleId="ListLabel1">
    <w:name w:val="ListLabel 1"/>
    <w:qFormat/>
    <w:rPr>
      <w:sz w:val="16"/>
      <w:szCs w:val="16"/>
    </w:rPr>
  </w:style>
  <w:style w:type="character" w:customStyle="1" w:styleId="ListLabel2">
    <w:name w:val="ListLabel 2"/>
    <w:qFormat/>
    <w:rPr>
      <w:sz w:val="14"/>
    </w:rPr>
  </w:style>
  <w:style w:type="character" w:customStyle="1" w:styleId="Mocnowyrniony">
    <w:name w:val="Mocno wyróżniony"/>
    <w:qFormat/>
    <w:rPr>
      <w:b/>
      <w:bCs/>
    </w:rPr>
  </w:style>
  <w:style w:type="character" w:customStyle="1" w:styleId="ListLabel3">
    <w:name w:val="ListLabel 3"/>
    <w:qFormat/>
    <w:rPr>
      <w:iCs/>
      <w:color w:val="000000"/>
      <w:sz w:val="24"/>
      <w:szCs w:val="24"/>
    </w:rPr>
  </w:style>
  <w:style w:type="character" w:customStyle="1" w:styleId="ListLabel4">
    <w:name w:val="ListLabel 4"/>
    <w:qFormat/>
    <w:rPr>
      <w:rFonts w:cs="Symbol"/>
      <w:iCs/>
      <w:color w:val="000000"/>
      <w:sz w:val="24"/>
      <w:szCs w:val="24"/>
    </w:rPr>
  </w:style>
  <w:style w:type="character" w:customStyle="1" w:styleId="ListLabel5">
    <w:name w:val="ListLabel 5"/>
    <w:qFormat/>
    <w:rPr>
      <w:rFonts w:cs="Symbol"/>
      <w:iCs/>
      <w:color w:val="000000"/>
      <w:sz w:val="24"/>
      <w:szCs w:val="24"/>
    </w:rPr>
  </w:style>
  <w:style w:type="character" w:customStyle="1" w:styleId="ListLabel6">
    <w:name w:val="ListLabel 6"/>
    <w:qFormat/>
    <w:rPr>
      <w:rFonts w:cs="Symbol"/>
      <w:iCs/>
      <w:color w:val="000000"/>
      <w:sz w:val="24"/>
      <w:szCs w:val="24"/>
    </w:rPr>
  </w:style>
  <w:style w:type="character" w:customStyle="1" w:styleId="ListLabel7">
    <w:name w:val="ListLabel 7"/>
    <w:qFormat/>
    <w:rPr>
      <w:rFonts w:cs="Symbol"/>
      <w:iCs/>
      <w:color w:val="000000"/>
      <w:sz w:val="24"/>
      <w:szCs w:val="24"/>
    </w:rPr>
  </w:style>
  <w:style w:type="character" w:customStyle="1" w:styleId="ListLabel8">
    <w:name w:val="ListLabel 8"/>
    <w:qFormat/>
    <w:rPr>
      <w:rFonts w:cs="Symbol"/>
      <w:iCs/>
      <w:color w:val="000000"/>
      <w:sz w:val="24"/>
      <w:szCs w:val="24"/>
    </w:rPr>
  </w:style>
  <w:style w:type="character" w:customStyle="1" w:styleId="ListLabel9">
    <w:name w:val="ListLabel 9"/>
    <w:qFormat/>
    <w:rPr>
      <w:rFonts w:cs="Symbol"/>
      <w:iCs/>
      <w:color w:val="000000"/>
      <w:sz w:val="24"/>
      <w:szCs w:val="24"/>
    </w:rPr>
  </w:style>
  <w:style w:type="character" w:customStyle="1" w:styleId="ListLabel10">
    <w:name w:val="ListLabel 10"/>
    <w:qFormat/>
    <w:rPr>
      <w:rFonts w:cs="Symbol"/>
      <w:iCs/>
      <w:color w:val="000000"/>
      <w:sz w:val="24"/>
      <w:szCs w:val="24"/>
    </w:rPr>
  </w:style>
  <w:style w:type="character" w:customStyle="1" w:styleId="ListLabel11">
    <w:name w:val="ListLabel 11"/>
    <w:qFormat/>
    <w:rPr>
      <w:rFonts w:cs="Symbol"/>
      <w:iCs/>
      <w:color w:val="000000"/>
      <w:sz w:val="24"/>
      <w:szCs w:val="24"/>
    </w:rPr>
  </w:style>
  <w:style w:type="character" w:customStyle="1" w:styleId="ListLabel12">
    <w:name w:val="ListLabel 12"/>
    <w:qFormat/>
    <w:rPr>
      <w:rFonts w:cs="Symbol"/>
      <w:iCs/>
      <w:color w:val="000000"/>
      <w:sz w:val="24"/>
      <w:szCs w:val="24"/>
    </w:rPr>
  </w:style>
  <w:style w:type="character" w:customStyle="1" w:styleId="ListLabel13">
    <w:name w:val="ListLabel 13"/>
    <w:qFormat/>
    <w:rPr>
      <w:rFonts w:cs="Symbol"/>
      <w:iCs/>
      <w:color w:val="000000"/>
      <w:sz w:val="24"/>
      <w:szCs w:val="24"/>
    </w:rPr>
  </w:style>
  <w:style w:type="character" w:customStyle="1" w:styleId="ListLabel14">
    <w:name w:val="ListLabel 14"/>
    <w:qFormat/>
    <w:rPr>
      <w:rFonts w:cs="Symbol"/>
      <w:iCs/>
      <w:color w:val="000000"/>
      <w:sz w:val="24"/>
      <w:szCs w:val="24"/>
    </w:rPr>
  </w:style>
  <w:style w:type="character" w:customStyle="1" w:styleId="ListLabel15">
    <w:name w:val="ListLabel 15"/>
    <w:qFormat/>
    <w:rPr>
      <w:rFonts w:cs="Symbol"/>
      <w:iCs/>
      <w:color w:val="000000"/>
      <w:sz w:val="24"/>
      <w:szCs w:val="24"/>
    </w:rPr>
  </w:style>
  <w:style w:type="character" w:customStyle="1" w:styleId="ListLabel16">
    <w:name w:val="ListLabel 16"/>
    <w:qFormat/>
    <w:rPr>
      <w:rFonts w:cs="Symbol"/>
      <w:iCs/>
      <w:color w:val="000000"/>
      <w:sz w:val="24"/>
      <w:szCs w:val="24"/>
    </w:rPr>
  </w:style>
  <w:style w:type="character" w:customStyle="1" w:styleId="ListLabel17">
    <w:name w:val="ListLabel 17"/>
    <w:qFormat/>
    <w:rPr>
      <w:rFonts w:cs="Symbol"/>
      <w:iCs/>
      <w:color w:val="000000"/>
      <w:sz w:val="24"/>
      <w:szCs w:val="24"/>
    </w:rPr>
  </w:style>
  <w:style w:type="character" w:customStyle="1" w:styleId="ListLabel18">
    <w:name w:val="ListLabel 18"/>
    <w:qFormat/>
    <w:rPr>
      <w:rFonts w:cs="Symbol"/>
      <w:iCs/>
      <w:color w:val="000000"/>
      <w:sz w:val="24"/>
      <w:szCs w:val="24"/>
    </w:rPr>
  </w:style>
  <w:style w:type="character" w:customStyle="1" w:styleId="ListLabel19">
    <w:name w:val="ListLabel 19"/>
    <w:qFormat/>
    <w:rPr>
      <w:rFonts w:cs="Symbol"/>
      <w:iCs/>
      <w:color w:val="000000"/>
      <w:sz w:val="24"/>
      <w:szCs w:val="24"/>
    </w:rPr>
  </w:style>
  <w:style w:type="character" w:customStyle="1" w:styleId="ListLabel20">
    <w:name w:val="ListLabel 20"/>
    <w:qFormat/>
    <w:rPr>
      <w:rFonts w:cs="Symbol"/>
      <w:iCs/>
      <w:color w:val="000000"/>
      <w:sz w:val="24"/>
      <w:szCs w:val="24"/>
    </w:rPr>
  </w:style>
  <w:style w:type="character" w:customStyle="1" w:styleId="ListLabel21">
    <w:name w:val="ListLabel 21"/>
    <w:qFormat/>
    <w:rPr>
      <w:sz w:val="16"/>
      <w:szCs w:val="16"/>
    </w:rPr>
  </w:style>
  <w:style w:type="character" w:customStyle="1" w:styleId="ListLabel22">
    <w:name w:val="ListLabel 22"/>
    <w:qFormat/>
    <w:rPr>
      <w:sz w:val="14"/>
    </w:rPr>
  </w:style>
  <w:style w:type="character" w:customStyle="1" w:styleId="ListLabel23">
    <w:name w:val="ListLabel 23"/>
    <w:qFormat/>
    <w:rPr>
      <w:rFonts w:cs="Symbol"/>
      <w:iCs/>
      <w:color w:val="000000"/>
      <w:sz w:val="24"/>
      <w:szCs w:val="24"/>
    </w:rPr>
  </w:style>
  <w:style w:type="character" w:customStyle="1" w:styleId="ListLabel24">
    <w:name w:val="ListLabel 24"/>
    <w:qFormat/>
    <w:rPr>
      <w:rFonts w:cs="Symbol"/>
      <w:iCs/>
      <w:color w:val="000000"/>
      <w:sz w:val="24"/>
      <w:szCs w:val="24"/>
    </w:rPr>
  </w:style>
  <w:style w:type="character" w:customStyle="1" w:styleId="ListLabel25">
    <w:name w:val="ListLabel 25"/>
    <w:qFormat/>
    <w:rPr>
      <w:rFonts w:cs="Symbol"/>
      <w:iCs/>
      <w:color w:val="000000"/>
      <w:sz w:val="24"/>
      <w:szCs w:val="24"/>
    </w:rPr>
  </w:style>
  <w:style w:type="character" w:customStyle="1" w:styleId="ListLabel26">
    <w:name w:val="ListLabel 26"/>
    <w:qFormat/>
    <w:rPr>
      <w:rFonts w:cs="Symbol"/>
      <w:iCs/>
      <w:color w:val="000000"/>
      <w:sz w:val="24"/>
      <w:szCs w:val="24"/>
    </w:rPr>
  </w:style>
  <w:style w:type="character" w:customStyle="1" w:styleId="ListLabel27">
    <w:name w:val="ListLabel 27"/>
    <w:qFormat/>
    <w:rPr>
      <w:rFonts w:cs="Symbol"/>
      <w:iCs/>
      <w:color w:val="000000"/>
      <w:sz w:val="24"/>
      <w:szCs w:val="24"/>
    </w:rPr>
  </w:style>
  <w:style w:type="character" w:customStyle="1" w:styleId="ListLabel28">
    <w:name w:val="ListLabel 28"/>
    <w:qFormat/>
    <w:rPr>
      <w:rFonts w:cs="Symbol"/>
      <w:iCs/>
      <w:color w:val="000000"/>
      <w:sz w:val="24"/>
      <w:szCs w:val="24"/>
    </w:rPr>
  </w:style>
  <w:style w:type="character" w:customStyle="1" w:styleId="ListLabel29">
    <w:name w:val="ListLabel 29"/>
    <w:qFormat/>
    <w:rPr>
      <w:rFonts w:cs="Symbol"/>
      <w:iCs/>
      <w:color w:val="000000"/>
      <w:sz w:val="24"/>
      <w:szCs w:val="24"/>
    </w:rPr>
  </w:style>
  <w:style w:type="character" w:customStyle="1" w:styleId="ListLabel30">
    <w:name w:val="ListLabel 30"/>
    <w:qFormat/>
    <w:rPr>
      <w:rFonts w:cs="Symbol"/>
      <w:iCs/>
      <w:color w:val="000000"/>
      <w:sz w:val="24"/>
      <w:szCs w:val="24"/>
    </w:rPr>
  </w:style>
  <w:style w:type="character" w:customStyle="1" w:styleId="ListLabel31">
    <w:name w:val="ListLabel 31"/>
    <w:qFormat/>
    <w:rPr>
      <w:rFonts w:cs="Symbol"/>
      <w:iCs/>
      <w:color w:val="000000"/>
      <w:sz w:val="24"/>
      <w:szCs w:val="24"/>
    </w:rPr>
  </w:style>
  <w:style w:type="character" w:customStyle="1" w:styleId="ListLabel32">
    <w:name w:val="ListLabel 32"/>
    <w:qFormat/>
    <w:rPr>
      <w:sz w:val="16"/>
      <w:szCs w:val="16"/>
    </w:rPr>
  </w:style>
  <w:style w:type="character" w:customStyle="1" w:styleId="ListLabel33">
    <w:name w:val="ListLabel 33"/>
    <w:qFormat/>
    <w:rPr>
      <w:sz w:val="14"/>
    </w:rPr>
  </w:style>
  <w:style w:type="character" w:customStyle="1" w:styleId="ListLabel34">
    <w:name w:val="ListLabel 34"/>
    <w:qFormat/>
    <w:rPr>
      <w:rFonts w:cs="Symbol"/>
      <w:iCs/>
      <w:color w:val="000000"/>
      <w:sz w:val="24"/>
      <w:szCs w:val="24"/>
    </w:rPr>
  </w:style>
  <w:style w:type="character" w:customStyle="1" w:styleId="ListLabel35">
    <w:name w:val="ListLabel 35"/>
    <w:qFormat/>
    <w:rPr>
      <w:rFonts w:cs="Symbol"/>
      <w:iCs/>
      <w:color w:val="000000"/>
      <w:sz w:val="24"/>
      <w:szCs w:val="24"/>
    </w:rPr>
  </w:style>
  <w:style w:type="character" w:customStyle="1" w:styleId="ListLabel36">
    <w:name w:val="ListLabel 36"/>
    <w:qFormat/>
    <w:rPr>
      <w:rFonts w:cs="Symbol"/>
      <w:iCs/>
      <w:color w:val="000000"/>
      <w:sz w:val="24"/>
      <w:szCs w:val="24"/>
    </w:rPr>
  </w:style>
  <w:style w:type="character" w:customStyle="1" w:styleId="ListLabel37">
    <w:name w:val="ListLabel 37"/>
    <w:qFormat/>
    <w:rPr>
      <w:rFonts w:cs="Symbol"/>
      <w:iCs/>
      <w:color w:val="000000"/>
      <w:sz w:val="24"/>
      <w:szCs w:val="24"/>
    </w:rPr>
  </w:style>
  <w:style w:type="character" w:customStyle="1" w:styleId="ListLabel38">
    <w:name w:val="ListLabel 38"/>
    <w:qFormat/>
    <w:rPr>
      <w:rFonts w:cs="Symbol"/>
      <w:iCs/>
      <w:color w:val="000000"/>
      <w:sz w:val="24"/>
      <w:szCs w:val="24"/>
    </w:rPr>
  </w:style>
  <w:style w:type="character" w:customStyle="1" w:styleId="ListLabel39">
    <w:name w:val="ListLabel 39"/>
    <w:qFormat/>
    <w:rPr>
      <w:rFonts w:cs="Symbol"/>
      <w:iCs/>
      <w:color w:val="000000"/>
      <w:sz w:val="24"/>
      <w:szCs w:val="24"/>
    </w:rPr>
  </w:style>
  <w:style w:type="character" w:customStyle="1" w:styleId="ListLabel40">
    <w:name w:val="ListLabel 40"/>
    <w:qFormat/>
    <w:rPr>
      <w:rFonts w:cs="Symbol"/>
      <w:iCs/>
      <w:color w:val="000000"/>
      <w:sz w:val="24"/>
      <w:szCs w:val="24"/>
    </w:rPr>
  </w:style>
  <w:style w:type="character" w:customStyle="1" w:styleId="ListLabel41">
    <w:name w:val="ListLabel 41"/>
    <w:qFormat/>
    <w:rPr>
      <w:rFonts w:cs="Symbol"/>
      <w:iCs/>
      <w:color w:val="000000"/>
      <w:sz w:val="24"/>
      <w:szCs w:val="24"/>
    </w:rPr>
  </w:style>
  <w:style w:type="character" w:customStyle="1" w:styleId="ListLabel42">
    <w:name w:val="ListLabel 42"/>
    <w:qFormat/>
    <w:rPr>
      <w:rFonts w:cs="Symbol"/>
      <w:iCs/>
      <w:color w:val="000000"/>
      <w:sz w:val="24"/>
      <w:szCs w:val="24"/>
    </w:rPr>
  </w:style>
  <w:style w:type="character" w:customStyle="1" w:styleId="ListLabel43">
    <w:name w:val="ListLabel 43"/>
    <w:qFormat/>
    <w:rPr>
      <w:rFonts w:cs="Symbol"/>
      <w:iCs/>
      <w:color w:val="000000"/>
      <w:sz w:val="24"/>
      <w:szCs w:val="24"/>
    </w:rPr>
  </w:style>
  <w:style w:type="character" w:customStyle="1" w:styleId="ListLabel44">
    <w:name w:val="ListLabel 44"/>
    <w:qFormat/>
    <w:rPr>
      <w:rFonts w:cs="Symbol"/>
      <w:iCs/>
      <w:color w:val="000000"/>
      <w:sz w:val="24"/>
      <w:szCs w:val="24"/>
    </w:rPr>
  </w:style>
  <w:style w:type="character" w:customStyle="1" w:styleId="ListLabel45">
    <w:name w:val="ListLabel 45"/>
    <w:qFormat/>
    <w:rPr>
      <w:rFonts w:cs="Symbol"/>
      <w:iCs/>
      <w:color w:val="000000"/>
      <w:sz w:val="24"/>
      <w:szCs w:val="24"/>
    </w:rPr>
  </w:style>
  <w:style w:type="character" w:customStyle="1" w:styleId="ListLabel46">
    <w:name w:val="ListLabel 46"/>
    <w:qFormat/>
    <w:rPr>
      <w:rFonts w:cs="Symbol"/>
      <w:iCs/>
      <w:color w:val="000000"/>
      <w:sz w:val="24"/>
      <w:szCs w:val="24"/>
    </w:rPr>
  </w:style>
  <w:style w:type="character" w:customStyle="1" w:styleId="ListLabel47">
    <w:name w:val="ListLabel 47"/>
    <w:qFormat/>
    <w:rPr>
      <w:rFonts w:cs="Symbol"/>
      <w:iCs/>
      <w:color w:val="000000"/>
      <w:sz w:val="24"/>
      <w:szCs w:val="24"/>
    </w:rPr>
  </w:style>
  <w:style w:type="character" w:customStyle="1" w:styleId="ListLabel48">
    <w:name w:val="ListLabel 48"/>
    <w:qFormat/>
    <w:rPr>
      <w:rFonts w:cs="Symbol"/>
      <w:iCs/>
      <w:color w:val="000000"/>
      <w:sz w:val="24"/>
      <w:szCs w:val="24"/>
    </w:rPr>
  </w:style>
  <w:style w:type="character" w:customStyle="1" w:styleId="ListLabel49">
    <w:name w:val="ListLabel 49"/>
    <w:qFormat/>
    <w:rPr>
      <w:rFonts w:cs="Symbol"/>
      <w:iCs/>
      <w:color w:val="000000"/>
      <w:sz w:val="24"/>
      <w:szCs w:val="24"/>
    </w:rPr>
  </w:style>
  <w:style w:type="character" w:customStyle="1" w:styleId="ListLabel50">
    <w:name w:val="ListLabel 50"/>
    <w:qFormat/>
    <w:rPr>
      <w:rFonts w:cs="Symbol"/>
      <w:iCs/>
      <w:color w:val="000000"/>
      <w:sz w:val="24"/>
      <w:szCs w:val="24"/>
    </w:rPr>
  </w:style>
  <w:style w:type="character" w:customStyle="1" w:styleId="ListLabel51">
    <w:name w:val="ListLabel 51"/>
    <w:qFormat/>
    <w:rPr>
      <w:rFonts w:cs="Symbol"/>
      <w:iCs/>
      <w:color w:val="000000"/>
      <w:sz w:val="24"/>
      <w:szCs w:val="24"/>
    </w:rPr>
  </w:style>
  <w:style w:type="character" w:customStyle="1" w:styleId="ListLabel52">
    <w:name w:val="ListLabel 52"/>
    <w:qFormat/>
    <w:rPr>
      <w:sz w:val="14"/>
      <w:szCs w:val="14"/>
      <w:highlight w:val="white"/>
    </w:rPr>
  </w:style>
  <w:style w:type="character" w:customStyle="1" w:styleId="ListLabel53">
    <w:name w:val="ListLabel 53"/>
    <w:qFormat/>
    <w:rPr>
      <w:b/>
      <w:bCs/>
      <w:sz w:val="14"/>
      <w:szCs w:val="14"/>
      <w:highlight w:val="white"/>
    </w:rPr>
  </w:style>
  <w:style w:type="character" w:customStyle="1" w:styleId="ListLabel54">
    <w:name w:val="ListLabel 54"/>
    <w:qFormat/>
    <w:rPr>
      <w:sz w:val="16"/>
      <w:szCs w:val="16"/>
    </w:rPr>
  </w:style>
  <w:style w:type="character" w:customStyle="1" w:styleId="ListLabel55">
    <w:name w:val="ListLabel 55"/>
    <w:qFormat/>
    <w:rPr>
      <w:sz w:val="14"/>
    </w:rPr>
  </w:style>
  <w:style w:type="character" w:customStyle="1" w:styleId="ListLabel56">
    <w:name w:val="ListLabel 56"/>
    <w:qFormat/>
    <w:rPr>
      <w:rFonts w:cs="Symbol"/>
      <w:iCs/>
      <w:color w:val="000000"/>
      <w:sz w:val="24"/>
      <w:szCs w:val="24"/>
    </w:rPr>
  </w:style>
  <w:style w:type="character" w:customStyle="1" w:styleId="ListLabel57">
    <w:name w:val="ListLabel 57"/>
    <w:qFormat/>
    <w:rPr>
      <w:rFonts w:cs="Symbol"/>
      <w:iCs/>
      <w:color w:val="000000"/>
      <w:sz w:val="24"/>
      <w:szCs w:val="24"/>
    </w:rPr>
  </w:style>
  <w:style w:type="character" w:customStyle="1" w:styleId="ListLabel58">
    <w:name w:val="ListLabel 58"/>
    <w:qFormat/>
    <w:rPr>
      <w:rFonts w:cs="Symbol"/>
      <w:iCs/>
      <w:color w:val="000000"/>
      <w:sz w:val="24"/>
      <w:szCs w:val="24"/>
    </w:rPr>
  </w:style>
  <w:style w:type="character" w:customStyle="1" w:styleId="ListLabel59">
    <w:name w:val="ListLabel 59"/>
    <w:qFormat/>
    <w:rPr>
      <w:rFonts w:cs="Symbol"/>
      <w:iCs/>
      <w:color w:val="000000"/>
      <w:sz w:val="24"/>
      <w:szCs w:val="24"/>
    </w:rPr>
  </w:style>
  <w:style w:type="character" w:customStyle="1" w:styleId="ListLabel60">
    <w:name w:val="ListLabel 60"/>
    <w:qFormat/>
    <w:rPr>
      <w:rFonts w:cs="Symbol"/>
      <w:iCs/>
      <w:color w:val="000000"/>
      <w:sz w:val="24"/>
      <w:szCs w:val="24"/>
    </w:rPr>
  </w:style>
  <w:style w:type="character" w:customStyle="1" w:styleId="ListLabel61">
    <w:name w:val="ListLabel 61"/>
    <w:qFormat/>
    <w:rPr>
      <w:rFonts w:cs="Symbol"/>
      <w:iCs/>
      <w:color w:val="000000"/>
      <w:sz w:val="24"/>
      <w:szCs w:val="24"/>
    </w:rPr>
  </w:style>
  <w:style w:type="character" w:customStyle="1" w:styleId="ListLabel62">
    <w:name w:val="ListLabel 62"/>
    <w:qFormat/>
    <w:rPr>
      <w:rFonts w:cs="Symbol"/>
      <w:iCs/>
      <w:color w:val="000000"/>
      <w:sz w:val="24"/>
      <w:szCs w:val="24"/>
    </w:rPr>
  </w:style>
  <w:style w:type="character" w:customStyle="1" w:styleId="ListLabel63">
    <w:name w:val="ListLabel 63"/>
    <w:qFormat/>
    <w:rPr>
      <w:rFonts w:cs="Symbol"/>
      <w:iCs/>
      <w:color w:val="000000"/>
      <w:sz w:val="24"/>
      <w:szCs w:val="24"/>
    </w:rPr>
  </w:style>
  <w:style w:type="character" w:customStyle="1" w:styleId="ListLabel64">
    <w:name w:val="ListLabel 64"/>
    <w:qFormat/>
    <w:rPr>
      <w:rFonts w:cs="Symbol"/>
      <w:iCs/>
      <w:color w:val="000000"/>
      <w:sz w:val="24"/>
      <w:szCs w:val="24"/>
    </w:rPr>
  </w:style>
  <w:style w:type="character" w:customStyle="1" w:styleId="ListLabel65">
    <w:name w:val="ListLabel 65"/>
    <w:qFormat/>
    <w:rPr>
      <w:rFonts w:cs="Symbol"/>
      <w:iCs/>
      <w:color w:val="000000"/>
      <w:sz w:val="24"/>
      <w:szCs w:val="24"/>
    </w:rPr>
  </w:style>
  <w:style w:type="character" w:customStyle="1" w:styleId="ListLabel66">
    <w:name w:val="ListLabel 66"/>
    <w:qFormat/>
    <w:rPr>
      <w:rFonts w:cs="Symbol"/>
      <w:iCs/>
      <w:color w:val="000000"/>
      <w:sz w:val="24"/>
      <w:szCs w:val="24"/>
    </w:rPr>
  </w:style>
  <w:style w:type="character" w:customStyle="1" w:styleId="ListLabel67">
    <w:name w:val="ListLabel 67"/>
    <w:qFormat/>
    <w:rPr>
      <w:rFonts w:cs="Symbol"/>
      <w:iCs/>
      <w:color w:val="000000"/>
      <w:sz w:val="24"/>
      <w:szCs w:val="24"/>
    </w:rPr>
  </w:style>
  <w:style w:type="character" w:customStyle="1" w:styleId="ListLabel68">
    <w:name w:val="ListLabel 68"/>
    <w:qFormat/>
    <w:rPr>
      <w:rFonts w:cs="Symbol"/>
      <w:iCs/>
      <w:color w:val="000000"/>
      <w:sz w:val="24"/>
      <w:szCs w:val="24"/>
    </w:rPr>
  </w:style>
  <w:style w:type="character" w:customStyle="1" w:styleId="ListLabel69">
    <w:name w:val="ListLabel 69"/>
    <w:qFormat/>
    <w:rPr>
      <w:rFonts w:cs="Symbol"/>
      <w:iCs/>
      <w:color w:val="000000"/>
      <w:sz w:val="24"/>
      <w:szCs w:val="24"/>
    </w:rPr>
  </w:style>
  <w:style w:type="character" w:customStyle="1" w:styleId="ListLabel70">
    <w:name w:val="ListLabel 70"/>
    <w:qFormat/>
    <w:rPr>
      <w:rFonts w:cs="Symbol"/>
      <w:iCs/>
      <w:color w:val="000000"/>
      <w:sz w:val="24"/>
      <w:szCs w:val="24"/>
    </w:rPr>
  </w:style>
  <w:style w:type="character" w:customStyle="1" w:styleId="ListLabel71">
    <w:name w:val="ListLabel 71"/>
    <w:qFormat/>
    <w:rPr>
      <w:rFonts w:cs="Symbol"/>
      <w:iCs/>
      <w:color w:val="000000"/>
      <w:sz w:val="24"/>
      <w:szCs w:val="24"/>
    </w:rPr>
  </w:style>
  <w:style w:type="character" w:customStyle="1" w:styleId="ListLabel72">
    <w:name w:val="ListLabel 72"/>
    <w:qFormat/>
    <w:rPr>
      <w:rFonts w:cs="Symbol"/>
      <w:iCs/>
      <w:color w:val="000000"/>
      <w:sz w:val="24"/>
      <w:szCs w:val="24"/>
    </w:rPr>
  </w:style>
  <w:style w:type="character" w:customStyle="1" w:styleId="ListLabel73">
    <w:name w:val="ListLabel 73"/>
    <w:qFormat/>
    <w:rPr>
      <w:rFonts w:cs="Symbol"/>
      <w:iCs/>
      <w:color w:val="000000"/>
      <w:sz w:val="24"/>
      <w:szCs w:val="24"/>
    </w:rPr>
  </w:style>
  <w:style w:type="character" w:customStyle="1" w:styleId="ListLabel74">
    <w:name w:val="ListLabel 74"/>
    <w:qFormat/>
    <w:rPr>
      <w:sz w:val="14"/>
      <w:szCs w:val="14"/>
      <w:highlight w:val="white"/>
    </w:rPr>
  </w:style>
  <w:style w:type="character" w:customStyle="1" w:styleId="ListLabel75">
    <w:name w:val="ListLabel 75"/>
    <w:qFormat/>
    <w:rPr>
      <w:b/>
      <w:bCs/>
      <w:sz w:val="14"/>
      <w:szCs w:val="14"/>
      <w:highlight w:val="white"/>
    </w:rPr>
  </w:style>
  <w:style w:type="character" w:customStyle="1" w:styleId="ListLabel76">
    <w:name w:val="ListLabel 76"/>
    <w:qFormat/>
    <w:rPr>
      <w:sz w:val="16"/>
      <w:szCs w:val="16"/>
    </w:rPr>
  </w:style>
  <w:style w:type="character" w:customStyle="1" w:styleId="ListLabel77">
    <w:name w:val="ListLabel 77"/>
    <w:qFormat/>
    <w:rPr>
      <w:sz w:val="14"/>
    </w:rPr>
  </w:style>
  <w:style w:type="paragraph" w:customStyle="1" w:styleId="Nagwek1">
    <w:name w:val="Nagłówek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Pr>
      <w:rFonts w:ascii="Georgia" w:hAnsi="Georgia" w:cs="Georgia"/>
      <w:i/>
      <w:sz w:val="28"/>
    </w:rPr>
  </w:style>
  <w:style w:type="paragraph" w:styleId="List">
    <w:name w:val="List"/>
    <w:basedOn w:val="BodyText"/>
    <w:rPr>
      <w:rFonts w:cs="Tahoma"/>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Tahoma"/>
    </w:rPr>
  </w:style>
  <w:style w:type="paragraph" w:customStyle="1" w:styleId="Gwkaistopka">
    <w:name w:val="Główka i stopka"/>
    <w:basedOn w:val="Normal"/>
    <w:qFormat/>
    <w:pPr>
      <w:suppressLineNumbers/>
      <w:tabs>
        <w:tab w:val="center" w:pos="4819"/>
        <w:tab w:val="right" w:pos="9638"/>
      </w:tabs>
    </w:pPr>
  </w:style>
  <w:style w:type="paragraph" w:customStyle="1" w:styleId="Nagwek2">
    <w:name w:val="Nagłówek2"/>
    <w:basedOn w:val="Normal"/>
    <w:next w:val="BodyText"/>
    <w:pPr>
      <w:keepNext/>
      <w:spacing w:before="240" w:after="120"/>
    </w:pPr>
    <w:rPr>
      <w:rFonts w:ascii="Arial" w:eastAsia="Lucida Sans Unicode" w:hAnsi="Arial" w:cs="Tahoma"/>
      <w:sz w:val="28"/>
      <w:szCs w:val="28"/>
    </w:rPr>
  </w:style>
  <w:style w:type="paragraph" w:customStyle="1" w:styleId="caption1">
    <w:name w:val="caption1"/>
    <w:basedOn w:val="Normal"/>
    <w:qFormat/>
    <w:pPr>
      <w:suppressLineNumbers/>
      <w:spacing w:before="120" w:after="120"/>
    </w:pPr>
    <w:rPr>
      <w:rFonts w:cs="Mangal"/>
      <w:i/>
      <w:iCs/>
      <w:sz w:val="24"/>
      <w:szCs w:val="24"/>
    </w:rPr>
  </w:style>
  <w:style w:type="paragraph" w:customStyle="1" w:styleId="Nagwek3">
    <w:name w:val="Nagłówek3"/>
    <w:basedOn w:val="Normal"/>
    <w:next w:val="BodyText"/>
    <w:qFormat/>
    <w:pPr>
      <w:keepNext/>
      <w:spacing w:before="240" w:after="120"/>
    </w:pPr>
    <w:rPr>
      <w:rFonts w:ascii="Arial" w:eastAsia="Microsoft YaHei" w:hAnsi="Arial" w:cs="Mangal"/>
      <w:sz w:val="28"/>
      <w:szCs w:val="28"/>
    </w:rPr>
  </w:style>
  <w:style w:type="paragraph" w:customStyle="1" w:styleId="Nagwek20">
    <w:name w:val="Nagłówek2_0"/>
    <w:basedOn w:val="Normal"/>
    <w:next w:val="BodyText"/>
    <w:qFormat/>
    <w:pPr>
      <w:keepNext/>
      <w:spacing w:before="240" w:after="120"/>
    </w:pPr>
    <w:rPr>
      <w:rFonts w:ascii="Arial" w:eastAsia="Microsoft YaHei" w:hAnsi="Arial" w:cs="Mangal"/>
      <w:sz w:val="28"/>
      <w:szCs w:val="28"/>
    </w:rPr>
  </w:style>
  <w:style w:type="paragraph" w:customStyle="1" w:styleId="Legenda10">
    <w:name w:val="Legenda1_0"/>
    <w:basedOn w:val="Normal"/>
    <w:qFormat/>
    <w:pPr>
      <w:suppressLineNumbers/>
      <w:spacing w:before="120" w:after="120"/>
    </w:pPr>
    <w:rPr>
      <w:rFonts w:cs="Mangal"/>
      <w:i/>
      <w:iCs/>
      <w:sz w:val="24"/>
      <w:szCs w:val="24"/>
    </w:rPr>
  </w:style>
  <w:style w:type="paragraph" w:customStyle="1" w:styleId="Podpis1">
    <w:name w:val="Podpis1"/>
    <w:basedOn w:val="Normal"/>
    <w:qFormat/>
    <w:pPr>
      <w:suppressLineNumbers/>
      <w:spacing w:before="120" w:after="120"/>
    </w:pPr>
    <w:rPr>
      <w:rFonts w:cs="Tahoma"/>
      <w:i/>
      <w:iCs/>
      <w:sz w:val="24"/>
      <w:szCs w:val="24"/>
    </w:rPr>
  </w:style>
  <w:style w:type="paragraph" w:customStyle="1" w:styleId="Nagwek10">
    <w:name w:val="Nagłówek1_0"/>
    <w:basedOn w:val="Normal"/>
    <w:next w:val="BodyText"/>
    <w:qFormat/>
    <w:pPr>
      <w:keepNext/>
      <w:spacing w:before="240" w:after="120"/>
    </w:pPr>
    <w:rPr>
      <w:rFonts w:ascii="Arial" w:eastAsia="Microsoft YaHei" w:hAnsi="Arial" w:cs="Mangal"/>
      <w:sz w:val="28"/>
      <w:szCs w:val="28"/>
    </w:rPr>
  </w:style>
  <w:style w:type="paragraph" w:customStyle="1" w:styleId="Stopka1">
    <w:name w:val="Stopka1"/>
    <w:basedOn w:val="Normal"/>
    <w:pPr>
      <w:tabs>
        <w:tab w:val="center" w:pos="4536"/>
        <w:tab w:val="right" w:pos="9072"/>
      </w:tabs>
    </w:pPr>
  </w:style>
  <w:style w:type="paragraph" w:styleId="BodyTextIndent">
    <w:name w:val="Body Text Indent"/>
    <w:basedOn w:val="Normal"/>
    <w:pPr>
      <w:ind w:left="4536"/>
    </w:pPr>
    <w:rPr>
      <w:b/>
      <w:sz w:val="28"/>
    </w:rPr>
  </w:style>
  <w:style w:type="paragraph" w:customStyle="1" w:styleId="Tekstpodstawowy21">
    <w:name w:val="Tekst podstawowy 21"/>
    <w:basedOn w:val="Normal"/>
    <w:qFormat/>
    <w:rPr>
      <w:rFonts w:ascii="Trebuchet MS" w:hAnsi="Trebuchet MS" w:cs="Trebuchet MS"/>
      <w:sz w:val="28"/>
    </w:rPr>
  </w:style>
  <w:style w:type="paragraph" w:customStyle="1" w:styleId="Tekstpodstawowywcity21">
    <w:name w:val="Tekst podstawowy wcięty 21"/>
    <w:basedOn w:val="Normal"/>
    <w:qFormat/>
    <w:pPr>
      <w:ind w:firstLine="708"/>
      <w:jc w:val="both"/>
    </w:pPr>
    <w:rPr>
      <w:rFonts w:ascii="Georgia" w:hAnsi="Georgia" w:cs="Georgia"/>
      <w:i/>
      <w:sz w:val="28"/>
    </w:rPr>
  </w:style>
  <w:style w:type="paragraph" w:styleId="BodyText2">
    <w:name w:val="Body Text 2"/>
    <w:basedOn w:val="Normal"/>
    <w:qFormat/>
    <w:pPr>
      <w:widowControl w:val="0"/>
      <w:ind w:right="-1"/>
      <w:jc w:val="both"/>
    </w:pPr>
    <w:rPr>
      <w:sz w:val="28"/>
    </w:rPr>
  </w:style>
  <w:style w:type="paragraph" w:customStyle="1" w:styleId="Tekstpodstawowy31">
    <w:name w:val="Tekst podstawowy 31"/>
    <w:basedOn w:val="Normal"/>
    <w:qFormat/>
    <w:pPr>
      <w:jc w:val="both"/>
    </w:pPr>
    <w:rPr>
      <w:b/>
      <w:i/>
      <w:sz w:val="28"/>
    </w:rPr>
  </w:style>
  <w:style w:type="paragraph" w:customStyle="1" w:styleId="Tekstpodstawowywcity31">
    <w:name w:val="Tekst podstawowy wcięty 31"/>
    <w:basedOn w:val="Normal"/>
    <w:qFormat/>
    <w:pPr>
      <w:ind w:left="4536"/>
    </w:pPr>
    <w:rPr>
      <w:rFonts w:ascii="Arial" w:hAnsi="Arial" w:cs="Arial"/>
      <w:sz w:val="24"/>
    </w:rPr>
  </w:style>
  <w:style w:type="paragraph" w:customStyle="1" w:styleId="Tekstdymka1">
    <w:name w:val="Tekst dymka1"/>
    <w:basedOn w:val="Normal"/>
    <w:qFormat/>
    <w:rPr>
      <w:rFonts w:ascii="Tahoma" w:hAnsi="Tahoma" w:cs="Tahoma"/>
      <w:sz w:val="16"/>
      <w:szCs w:val="16"/>
    </w:rPr>
  </w:style>
  <w:style w:type="paragraph" w:customStyle="1" w:styleId="Zawartoramki">
    <w:name w:val="Zawartość ramki"/>
    <w:basedOn w:val="BodyText"/>
    <w:qFormat/>
  </w:style>
  <w:style w:type="paragraph" w:customStyle="1" w:styleId="Zawartotabeli">
    <w:name w:val="Zawartość tabeli"/>
    <w:basedOn w:val="Normal"/>
    <w:qFormat/>
    <w:pPr>
      <w:suppressLineNumbers/>
    </w:pPr>
  </w:style>
  <w:style w:type="paragraph" w:customStyle="1" w:styleId="Nagwektabeli">
    <w:name w:val="Nagłówek tabeli"/>
    <w:basedOn w:val="Zawartotabeli"/>
    <w:qFormat/>
    <w:pPr>
      <w:jc w:val="center"/>
    </w:pPr>
    <w:rPr>
      <w:b/>
      <w:bCs/>
    </w:rPr>
  </w:style>
  <w:style w:type="paragraph" w:customStyle="1" w:styleId="WW-Listawypunktowana3">
    <w:name w:val="WW-Lista wypunktowana 3"/>
    <w:basedOn w:val="Normal"/>
    <w:qFormat/>
    <w:pPr>
      <w:spacing w:line="360" w:lineRule="auto"/>
      <w:ind w:left="-3060"/>
      <w:jc w:val="both"/>
    </w:pPr>
    <w:rPr>
      <w:kern w:val="0"/>
      <w:sz w:val="24"/>
      <w:lang w:eastAsia="ar-SA"/>
    </w:rPr>
  </w:style>
  <w:style w:type="paragraph" w:styleId="ListParagraph">
    <w:name w:val="List Paragraph"/>
    <w:basedOn w:val="Normal"/>
    <w:qFormat/>
    <w:pPr>
      <w:ind w:left="720"/>
      <w:contextualSpacing/>
    </w:pPr>
  </w:style>
  <w:style w:type="paragraph" w:customStyle="1" w:styleId="western">
    <w:name w:val="western"/>
    <w:basedOn w:val="Normal"/>
    <w:qFormat/>
    <w:pPr>
      <w:suppressAutoHyphens w:val="0"/>
      <w:spacing w:beforeAutospacing="1" w:after="119"/>
    </w:pPr>
    <w:rPr>
      <w:color w:val="000000"/>
      <w:kern w:val="0"/>
      <w:sz w:val="24"/>
      <w:szCs w:val="24"/>
      <w:lang w:eastAsia="pl-PL"/>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5212</Words>
  <Characters>31274</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36414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cp:lastModifiedBy>Magdalena Nurczyńska (mnurczynska)</cp:lastModifiedBy>
  <cp:revision>24</cp:revision>
  <cp:lastPrinted>2024-02-06T13:14:00Z</cp:lastPrinted>
  <dcterms:created xsi:type="dcterms:W3CDTF">2024-01-18T10:45:00Z</dcterms:created>
  <dcterms:modified xsi:type="dcterms:W3CDTF">2024-06-17T13:06:00Z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