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E2" w:rsidRDefault="00A529E2" w:rsidP="00886588">
      <w:pPr>
        <w:tabs>
          <w:tab w:val="num" w:pos="720"/>
        </w:tabs>
        <w:rPr>
          <w:rStyle w:val="readonlytext"/>
          <w:rFonts w:asciiTheme="minorHAnsi" w:hAnsiTheme="minorHAnsi"/>
          <w:b/>
          <w:bCs/>
          <w:color w:val="3F3E3E"/>
          <w:sz w:val="22"/>
          <w:szCs w:val="22"/>
        </w:rPr>
      </w:pPr>
      <w:bookmarkStart w:id="0" w:name="_GoBack"/>
      <w:bookmarkEnd w:id="0"/>
    </w:p>
    <w:p w:rsidR="0063480C" w:rsidRDefault="0063480C" w:rsidP="00886588">
      <w:pPr>
        <w:tabs>
          <w:tab w:val="num" w:pos="720"/>
        </w:tabs>
        <w:rPr>
          <w:rStyle w:val="readonlytext"/>
          <w:rFonts w:asciiTheme="minorHAnsi" w:hAnsiTheme="minorHAnsi"/>
          <w:b/>
          <w:bCs/>
          <w:color w:val="3F3E3E"/>
          <w:sz w:val="22"/>
          <w:szCs w:val="22"/>
        </w:rPr>
      </w:pPr>
    </w:p>
    <w:p w:rsidR="0063480C" w:rsidRDefault="0063480C" w:rsidP="0063480C">
      <w:pPr>
        <w:tabs>
          <w:tab w:val="num" w:pos="720"/>
        </w:tabs>
        <w:jc w:val="center"/>
        <w:rPr>
          <w:rStyle w:val="readonlytext"/>
          <w:rFonts w:asciiTheme="minorHAnsi" w:hAnsiTheme="minorHAnsi"/>
          <w:b/>
          <w:bCs/>
          <w:color w:val="3F3E3E"/>
          <w:sz w:val="22"/>
          <w:szCs w:val="22"/>
        </w:rPr>
      </w:pPr>
      <w:r>
        <w:rPr>
          <w:rStyle w:val="readonlytext"/>
          <w:rFonts w:asciiTheme="minorHAnsi" w:hAnsiTheme="minorHAnsi"/>
          <w:b/>
          <w:bCs/>
          <w:color w:val="3F3E3E"/>
          <w:sz w:val="22"/>
          <w:szCs w:val="22"/>
        </w:rPr>
        <w:t>Wyniki konkursu Ministra Spraw Zagranicznych „Pomoc Humanitarna 2021”</w:t>
      </w:r>
    </w:p>
    <w:p w:rsidR="0063480C" w:rsidRDefault="0063480C" w:rsidP="0063480C">
      <w:pPr>
        <w:tabs>
          <w:tab w:val="num" w:pos="720"/>
        </w:tabs>
        <w:jc w:val="center"/>
        <w:rPr>
          <w:rStyle w:val="readonlytext"/>
          <w:rFonts w:asciiTheme="minorHAnsi" w:hAnsiTheme="minorHAnsi"/>
          <w:b/>
          <w:bCs/>
          <w:color w:val="3F3E3E"/>
          <w:sz w:val="22"/>
          <w:szCs w:val="22"/>
        </w:rPr>
      </w:pPr>
    </w:p>
    <w:p w:rsidR="0063480C" w:rsidRPr="0063480C" w:rsidRDefault="0063480C" w:rsidP="0063480C">
      <w:pPr>
        <w:tabs>
          <w:tab w:val="num" w:pos="720"/>
        </w:tabs>
        <w:rPr>
          <w:rFonts w:asciiTheme="minorHAnsi" w:hAnsiTheme="minorHAnsi"/>
          <w:sz w:val="22"/>
          <w:szCs w:val="22"/>
        </w:rPr>
      </w:pPr>
      <w:r w:rsidRPr="0063480C">
        <w:rPr>
          <w:rStyle w:val="readonlytext"/>
          <w:rFonts w:asciiTheme="minorHAnsi" w:hAnsiTheme="minorHAnsi"/>
          <w:bCs/>
          <w:color w:val="3F3E3E"/>
          <w:sz w:val="22"/>
          <w:szCs w:val="22"/>
        </w:rPr>
        <w:t xml:space="preserve">Decyzją Ministra Spraw Zagranicznych dotacje celowe zostaną </w:t>
      </w:r>
      <w:r w:rsidR="00524DA0">
        <w:rPr>
          <w:rStyle w:val="readonlytext"/>
          <w:rFonts w:asciiTheme="minorHAnsi" w:hAnsiTheme="minorHAnsi"/>
          <w:bCs/>
          <w:color w:val="3F3E3E"/>
          <w:sz w:val="22"/>
          <w:szCs w:val="22"/>
        </w:rPr>
        <w:t xml:space="preserve">przyznane na realizację </w:t>
      </w:r>
      <w:r w:rsidRPr="0063480C">
        <w:rPr>
          <w:rStyle w:val="readonlytext"/>
          <w:rFonts w:asciiTheme="minorHAnsi" w:hAnsiTheme="minorHAnsi"/>
          <w:bCs/>
          <w:color w:val="3F3E3E"/>
          <w:sz w:val="22"/>
          <w:szCs w:val="22"/>
        </w:rPr>
        <w:t xml:space="preserve">10 projektów w ramach otwartego konkursu ofert „Pomoc humanitarna 2021”. </w:t>
      </w:r>
      <w:r>
        <w:rPr>
          <w:rStyle w:val="readonlytext"/>
          <w:rFonts w:asciiTheme="minorHAnsi" w:hAnsiTheme="minorHAnsi"/>
          <w:bCs/>
          <w:color w:val="3F3E3E"/>
          <w:sz w:val="22"/>
          <w:szCs w:val="22"/>
        </w:rPr>
        <w:t xml:space="preserve">Łączna wartość dotacji w 2021 r. wyniesie 9 423 877,49 zł. </w:t>
      </w:r>
    </w:p>
    <w:p w:rsidR="00886588" w:rsidRPr="00886588" w:rsidRDefault="00886588" w:rsidP="00886588">
      <w:pPr>
        <w:spacing w:after="0"/>
        <w:rPr>
          <w:rFonts w:asciiTheme="minorHAnsi" w:hAnsiTheme="minorHAnsi"/>
          <w:sz w:val="20"/>
        </w:rPr>
      </w:pPr>
      <w:r w:rsidRPr="00886588">
        <w:rPr>
          <w:rFonts w:asciiTheme="minorHAnsi" w:hAnsiTheme="minorHAnsi"/>
          <w:sz w:val="20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225"/>
        <w:gridCol w:w="1345"/>
        <w:gridCol w:w="2001"/>
        <w:gridCol w:w="1968"/>
        <w:gridCol w:w="1134"/>
        <w:gridCol w:w="1134"/>
      </w:tblGrid>
      <w:tr w:rsidR="00277A41" w:rsidRPr="00886588" w:rsidTr="0015612B">
        <w:trPr>
          <w:trHeight w:val="558"/>
        </w:trPr>
        <w:tc>
          <w:tcPr>
            <w:tcW w:w="407" w:type="dxa"/>
            <w:vAlign w:val="center"/>
          </w:tcPr>
          <w:p w:rsidR="00277A41" w:rsidRPr="006D27CD" w:rsidRDefault="00277A41" w:rsidP="00330086">
            <w:pPr>
              <w:spacing w:after="0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>Nr oferty 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>Oferent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>Kraj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>Tytuł oferty</w:t>
            </w:r>
          </w:p>
        </w:tc>
        <w:tc>
          <w:tcPr>
            <w:tcW w:w="1134" w:type="dxa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Moduł 1  </w:t>
            </w:r>
            <w:r w:rsidR="0015612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>(PLN)</w:t>
            </w:r>
          </w:p>
        </w:tc>
        <w:tc>
          <w:tcPr>
            <w:tcW w:w="1134" w:type="dxa"/>
          </w:tcPr>
          <w:p w:rsidR="0015612B" w:rsidRDefault="00277A41" w:rsidP="0015612B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>Moduł 2</w:t>
            </w:r>
          </w:p>
          <w:p w:rsidR="0015612B" w:rsidRPr="006D27CD" w:rsidRDefault="0015612B" w:rsidP="0015612B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>(PLN)</w:t>
            </w:r>
          </w:p>
        </w:tc>
      </w:tr>
      <w:tr w:rsidR="00277A41" w:rsidRPr="00886588" w:rsidTr="0015612B">
        <w:trPr>
          <w:trHeight w:val="1257"/>
        </w:trPr>
        <w:tc>
          <w:tcPr>
            <w:tcW w:w="407" w:type="dxa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sz w:val="18"/>
                <w:szCs w:val="18"/>
                <w:lang w:eastAsia="zh-CN"/>
              </w:rPr>
              <w:t>DWR/PH 2021/011/2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Polska Akcja Humanitarna</w:t>
            </w:r>
          </w:p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oraz Caritas Polska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 xml:space="preserve">Jemen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Wsparcie świadczenia niezbędnych usług medycznych ratujących życie i zdrowie ludności dotkniętej przez kryzys humanitarny w prowincji </w:t>
            </w:r>
            <w:proofErr w:type="spellStart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Abjan</w:t>
            </w:r>
            <w:proofErr w:type="spellEnd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 w Jemenie poprzez kompleksowe wsparcie szpitala w </w:t>
            </w:r>
            <w:proofErr w:type="spellStart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Rasad</w:t>
            </w:r>
            <w:proofErr w:type="spellEnd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 oraz funkcjonowania klinik mobilnych</w:t>
            </w:r>
          </w:p>
        </w:tc>
        <w:tc>
          <w:tcPr>
            <w:tcW w:w="1134" w:type="dxa"/>
          </w:tcPr>
          <w:p w:rsidR="00277A41" w:rsidRPr="00FD48E9" w:rsidRDefault="0015612B" w:rsidP="00277A41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1 430 000,0</w:t>
            </w:r>
            <w:r w:rsidR="00277A41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277A41" w:rsidRPr="00FD48E9" w:rsidRDefault="00277A41" w:rsidP="00277A41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1 716 </w:t>
            </w:r>
            <w:r w:rsidR="0015612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000,0</w:t>
            </w:r>
            <w:r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</w:tr>
      <w:tr w:rsidR="00277A41" w:rsidRPr="00FD48E9" w:rsidTr="0015612B">
        <w:trPr>
          <w:trHeight w:val="1560"/>
        </w:trPr>
        <w:tc>
          <w:tcPr>
            <w:tcW w:w="407" w:type="dxa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DWR/PH 2021/006/2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Fundacja "Polskie Centrum Pomocy Międzynarodowej"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 xml:space="preserve">Liban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Zmniejszenie ryzyka eksmisji i zapewnienie bezpiecznego schronienia dla uchodźców syryjskich i rodzin libańskich dotkniętych skutkami kryzysu ekonomicznego.</w:t>
            </w:r>
          </w:p>
        </w:tc>
        <w:tc>
          <w:tcPr>
            <w:tcW w:w="1134" w:type="dxa"/>
          </w:tcPr>
          <w:p w:rsidR="00277A41" w:rsidRPr="00FD48E9" w:rsidRDefault="00277A41" w:rsidP="00277A41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1 491 </w:t>
            </w:r>
            <w:r w:rsidR="0015612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460,0</w:t>
            </w:r>
            <w:r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277A41">
            <w:pPr>
              <w:spacing w:before="0"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277A41" w:rsidRPr="00FD48E9" w:rsidRDefault="0015612B" w:rsidP="00277A41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1 788 440,0</w:t>
            </w:r>
            <w:r w:rsidR="00277A41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</w:tr>
      <w:tr w:rsidR="00277A41" w:rsidRPr="00FD48E9" w:rsidTr="0015612B">
        <w:trPr>
          <w:trHeight w:val="1560"/>
        </w:trPr>
        <w:tc>
          <w:tcPr>
            <w:tcW w:w="407" w:type="dxa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DWR/PH 2021/003/2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Stowarzyszenie Polska Misja Medyczna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>Irak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Pomoc medyczna i dentystyczna dla uchodźców, osób przesiedlonych i ludności lokalnej w guberni </w:t>
            </w:r>
            <w:proofErr w:type="spellStart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Erbil</w:t>
            </w:r>
            <w:proofErr w:type="spellEnd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 i Al-</w:t>
            </w:r>
            <w:proofErr w:type="spellStart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Hamdaniya</w:t>
            </w:r>
            <w:proofErr w:type="spellEnd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 w Iraku</w:t>
            </w:r>
          </w:p>
        </w:tc>
        <w:tc>
          <w:tcPr>
            <w:tcW w:w="1134" w:type="dxa"/>
          </w:tcPr>
          <w:p w:rsidR="00277A41" w:rsidRPr="00FD48E9" w:rsidRDefault="0015612B" w:rsidP="00277A41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800 760,0</w:t>
            </w:r>
            <w:r w:rsidR="00277A41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277A41" w:rsidRPr="00FD48E9" w:rsidRDefault="0015612B" w:rsidP="00277A41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960 720,0</w:t>
            </w:r>
            <w:r w:rsidR="00277A41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</w:tr>
      <w:tr w:rsidR="00277A41" w:rsidRPr="00FD48E9" w:rsidTr="0015612B">
        <w:trPr>
          <w:trHeight w:val="1560"/>
        </w:trPr>
        <w:tc>
          <w:tcPr>
            <w:tcW w:w="407" w:type="dxa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DWR/PH 2021/020/2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Polska Akcja Humanitarna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 xml:space="preserve">Irak 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Pomoc natychmiastowa oraz odbudowa schronienia dla najbardziej potrzebujących osób z dystryktu </w:t>
            </w:r>
            <w:proofErr w:type="spellStart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Sindżar</w:t>
            </w:r>
            <w:proofErr w:type="spellEnd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 w prowincji Niniwa w Iraku</w:t>
            </w:r>
          </w:p>
        </w:tc>
        <w:tc>
          <w:tcPr>
            <w:tcW w:w="1134" w:type="dxa"/>
          </w:tcPr>
          <w:p w:rsidR="00277A41" w:rsidRPr="00FD48E9" w:rsidRDefault="0015612B" w:rsidP="00277A41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1 327 553,0</w:t>
            </w:r>
            <w:r w:rsidR="00277A41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277A41" w:rsidRPr="00FD48E9" w:rsidRDefault="0015612B" w:rsidP="00277A41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1 593 063,6</w:t>
            </w:r>
            <w:r w:rsidR="00277A41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</w:tr>
      <w:tr w:rsidR="00277A41" w:rsidRPr="00FD48E9" w:rsidTr="0015612B">
        <w:trPr>
          <w:trHeight w:val="1560"/>
        </w:trPr>
        <w:tc>
          <w:tcPr>
            <w:tcW w:w="407" w:type="dxa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DWR/PH 2021/016/2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Caritas Polska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>Jordania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Wsparcie miejskich uchodźców syryjskich i najuboższych Jordańczyków w czterech prowincjach Jordanii poprzez zapewnienie środków na przetrwanie zimy i schronienia</w:t>
            </w:r>
          </w:p>
        </w:tc>
        <w:tc>
          <w:tcPr>
            <w:tcW w:w="1134" w:type="dxa"/>
          </w:tcPr>
          <w:p w:rsidR="00277A41" w:rsidRPr="00FD48E9" w:rsidRDefault="0015612B" w:rsidP="0015612B">
            <w:pPr>
              <w:spacing w:before="0"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1 474 800,0</w:t>
            </w:r>
            <w:r w:rsidR="00277A41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77A41" w:rsidRPr="00FD48E9" w:rsidRDefault="00277A41" w:rsidP="00277A41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  <w:r w:rsidR="0015612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768 900,0</w:t>
            </w:r>
            <w:r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</w:tr>
      <w:tr w:rsidR="00277A41" w:rsidRPr="00FD48E9" w:rsidTr="0015612B">
        <w:trPr>
          <w:trHeight w:val="1560"/>
        </w:trPr>
        <w:tc>
          <w:tcPr>
            <w:tcW w:w="407" w:type="dxa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lastRenderedPageBreak/>
              <w:t>6.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DWR/PH 2021/017/2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Caritas Polska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>Palestyna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Wsparcie dla mieszkańców Strefy Gazy w zakresie bezpieczeństwa żywnościowego i schronienia</w:t>
            </w:r>
          </w:p>
        </w:tc>
        <w:tc>
          <w:tcPr>
            <w:tcW w:w="1134" w:type="dxa"/>
          </w:tcPr>
          <w:p w:rsidR="006D27CD" w:rsidRPr="00FD48E9" w:rsidRDefault="0015612B" w:rsidP="006D27CD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978 600,0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6D27CD" w:rsidRPr="00FD48E9" w:rsidRDefault="0015612B" w:rsidP="006D27CD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1 171 300,0</w:t>
            </w:r>
            <w:r w:rsidR="006D27CD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</w:tr>
      <w:tr w:rsidR="00277A41" w:rsidRPr="00FD48E9" w:rsidTr="0015612B">
        <w:trPr>
          <w:trHeight w:val="156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DWR/PH 2021/019/2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Instytut Pracy i Edukacji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>Armenia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proofErr w:type="spellStart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Make</w:t>
            </w:r>
            <w:proofErr w:type="spellEnd"/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 Home not 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D" w:rsidRPr="00FD48E9" w:rsidRDefault="0015612B" w:rsidP="006D27CD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432 750,0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D" w:rsidRPr="00FD48E9" w:rsidRDefault="0015612B" w:rsidP="006D27CD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498 900,0</w:t>
            </w:r>
            <w:r w:rsidR="006D27CD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</w:tr>
      <w:tr w:rsidR="00277A41" w:rsidRPr="00FD48E9" w:rsidTr="0015612B">
        <w:trPr>
          <w:trHeight w:val="156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DWR/PH 2021/028/2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val="en-US"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val="en-US" w:eastAsia="zh-CN"/>
              </w:rPr>
              <w:t>Fundacja ADRA Polska (Adventist Development And Relief Agency Polska)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>Azerbejdżan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A41" w:rsidRPr="006D27CD" w:rsidRDefault="00277A41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6D27CD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Zapewnienie kompleksowego wsparcia ludziom dotkniętym przez konflikt w rejonie Górskiego Karabachu - "Bądź wolny"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D" w:rsidRPr="00FD48E9" w:rsidRDefault="0015612B" w:rsidP="006D27CD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614 658,0</w:t>
            </w:r>
            <w:r w:rsidR="006D27CD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D" w:rsidRPr="00FD48E9" w:rsidRDefault="0015612B" w:rsidP="006D27CD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731 898,0</w:t>
            </w:r>
            <w:r w:rsidR="006D27CD" w:rsidRPr="00FD48E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277A41" w:rsidRPr="00FD48E9" w:rsidRDefault="00277A41" w:rsidP="00330086">
            <w:pPr>
              <w:spacing w:after="0"/>
              <w:jc w:val="center"/>
              <w:rPr>
                <w:rFonts w:asciiTheme="minorHAnsi" w:hAnsiTheme="minorHAnsi"/>
                <w:b/>
                <w:color w:val="262626"/>
                <w:sz w:val="18"/>
                <w:szCs w:val="18"/>
                <w:lang w:eastAsia="zh-CN"/>
              </w:rPr>
            </w:pPr>
          </w:p>
        </w:tc>
      </w:tr>
      <w:tr w:rsidR="00916294" w:rsidRPr="00FD48E9" w:rsidTr="0015612B">
        <w:trPr>
          <w:trHeight w:val="156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4" w:rsidRPr="006D27CD" w:rsidRDefault="00916294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294" w:rsidRPr="006D27CD" w:rsidRDefault="00916294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DWR/PH 2021/002/2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294" w:rsidRPr="00916294" w:rsidRDefault="00916294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916294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Salezjańska Fundacja Misyjna “Don Bosco”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294" w:rsidRPr="006D27CD" w:rsidRDefault="00916294" w:rsidP="00330086">
            <w:pPr>
              <w:spacing w:after="0"/>
              <w:jc w:val="center"/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>Sudan Południowy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294" w:rsidRPr="006D27CD" w:rsidRDefault="00916294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Sudan Południowy – obóz dla uchodźców w </w:t>
            </w:r>
            <w:proofErr w:type="spellStart"/>
            <w:r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Gumbo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4" w:rsidRPr="00FD48E9" w:rsidRDefault="0015612B" w:rsidP="0015612B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597 430,0</w:t>
            </w:r>
            <w:r w:rsidR="00C631D8" w:rsidRPr="00C631D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4" w:rsidRPr="00FD48E9" w:rsidRDefault="0015612B" w:rsidP="0015612B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625 000,0</w:t>
            </w:r>
            <w:r w:rsidR="00C631D8" w:rsidRPr="00C631D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916294" w:rsidRPr="00FD48E9" w:rsidTr="0015612B">
        <w:trPr>
          <w:trHeight w:val="156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4" w:rsidRPr="006D27CD" w:rsidRDefault="00916294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294" w:rsidRPr="006D27CD" w:rsidRDefault="00916294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DWR/PH 2021/024/2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294" w:rsidRPr="00916294" w:rsidRDefault="00916294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 w:rsidRPr="00916294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Fundacja Pomocy Humanitarnej </w:t>
            </w:r>
            <w:proofErr w:type="spellStart"/>
            <w:r w:rsidRPr="00916294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Redemptoris</w:t>
            </w:r>
            <w:proofErr w:type="spellEnd"/>
            <w:r w:rsidRPr="00916294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16294"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  <w:t>Missio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294" w:rsidRPr="006D27CD" w:rsidRDefault="00C631D8" w:rsidP="00330086">
            <w:pPr>
              <w:spacing w:after="0"/>
              <w:jc w:val="center"/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>Kamerun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294" w:rsidRPr="006D27CD" w:rsidRDefault="00C631D8" w:rsidP="00330086">
            <w:pPr>
              <w:spacing w:after="0"/>
              <w:jc w:val="center"/>
              <w:rPr>
                <w:rFonts w:asciiTheme="minorHAnsi" w:hAnsiTheme="minorHAnsi"/>
                <w:color w:val="262626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bCs/>
                <w:color w:val="262626"/>
                <w:sz w:val="18"/>
                <w:szCs w:val="18"/>
                <w:lang w:eastAsia="zh-CN"/>
              </w:rPr>
              <w:t>Doposażenie misyjnych ośrodków medycznych w Kamerunie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4" w:rsidRPr="00FD48E9" w:rsidRDefault="00C631D8" w:rsidP="0015612B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C631D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275 866,49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4" w:rsidRPr="00FD48E9" w:rsidRDefault="0015612B" w:rsidP="0015612B">
            <w:pPr>
              <w:spacing w:before="0" w:after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305 103,0</w:t>
            </w:r>
          </w:p>
        </w:tc>
      </w:tr>
      <w:tr w:rsidR="00277A41" w:rsidRPr="006A6FE7" w:rsidTr="0025422A">
        <w:trPr>
          <w:trHeight w:val="606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1" w:rsidRPr="009A6D62" w:rsidRDefault="00277A41" w:rsidP="0015612B">
            <w:pPr>
              <w:spacing w:after="0"/>
              <w:jc w:val="center"/>
              <w:rPr>
                <w:rFonts w:asciiTheme="minorHAnsi" w:hAnsiTheme="minorHAnsi"/>
                <w:b/>
                <w:szCs w:val="24"/>
                <w:lang w:eastAsia="zh-CN"/>
              </w:rPr>
            </w:pPr>
            <w:r w:rsidRPr="009A6D62">
              <w:rPr>
                <w:rFonts w:asciiTheme="minorHAnsi" w:hAnsiTheme="minorHAnsi"/>
                <w:b/>
                <w:szCs w:val="24"/>
                <w:lang w:eastAsia="zh-CN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7A41" w:rsidRPr="0025422A" w:rsidRDefault="0015612B" w:rsidP="0025422A">
            <w:pPr>
              <w:spacing w:before="0"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9 423 877,49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7A41" w:rsidRPr="0015612B" w:rsidRDefault="0015612B" w:rsidP="0025422A">
            <w:pPr>
              <w:spacing w:before="0"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11 159 324,6</w:t>
            </w:r>
          </w:p>
        </w:tc>
      </w:tr>
    </w:tbl>
    <w:p w:rsidR="00A529E2" w:rsidRPr="0030154A" w:rsidRDefault="00A529E2" w:rsidP="0063480C">
      <w:pPr>
        <w:rPr>
          <w:rFonts w:asciiTheme="minorHAnsi" w:hAnsiTheme="minorHAnsi"/>
          <w:b/>
          <w:sz w:val="22"/>
          <w:szCs w:val="22"/>
        </w:rPr>
      </w:pPr>
    </w:p>
    <w:sectPr w:rsidR="00A529E2" w:rsidRPr="0030154A" w:rsidSect="001A2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8BF" w:rsidRDefault="00C338BF" w:rsidP="00084EB8">
      <w:pPr>
        <w:spacing w:before="0" w:after="0"/>
      </w:pPr>
      <w:r>
        <w:separator/>
      </w:r>
    </w:p>
  </w:endnote>
  <w:endnote w:type="continuationSeparator" w:id="0">
    <w:p w:rsidR="00C338BF" w:rsidRDefault="00C338BF" w:rsidP="00084E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65" w:rsidRDefault="009C4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ajorEastAsia" w:hAnsiTheme="minorHAnsi" w:cstheme="majorBidi"/>
        <w:sz w:val="18"/>
        <w:szCs w:val="18"/>
      </w:rPr>
      <w:id w:val="379675124"/>
      <w:docPartObj>
        <w:docPartGallery w:val="Page Numbers (Bottom of Page)"/>
        <w:docPartUnique/>
      </w:docPartObj>
    </w:sdtPr>
    <w:sdtEndPr/>
    <w:sdtContent>
      <w:p w:rsidR="007C44C5" w:rsidRPr="007C44C5" w:rsidRDefault="007C44C5">
        <w:pPr>
          <w:pStyle w:val="Stopka"/>
          <w:jc w:val="right"/>
          <w:rPr>
            <w:rFonts w:asciiTheme="minorHAnsi" w:eastAsiaTheme="majorEastAsia" w:hAnsiTheme="minorHAnsi" w:cstheme="majorBidi"/>
            <w:sz w:val="18"/>
            <w:szCs w:val="18"/>
          </w:rPr>
        </w:pPr>
        <w:r w:rsidRPr="007C44C5">
          <w:rPr>
            <w:rFonts w:asciiTheme="minorHAnsi" w:eastAsiaTheme="majorEastAsia" w:hAnsiTheme="minorHAnsi" w:cstheme="majorBidi"/>
            <w:sz w:val="18"/>
            <w:szCs w:val="18"/>
          </w:rPr>
          <w:t xml:space="preserve">str. </w:t>
        </w:r>
        <w:r w:rsidRPr="007C44C5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7C44C5">
          <w:rPr>
            <w:rFonts w:asciiTheme="minorHAnsi" w:hAnsiTheme="minorHAnsi"/>
            <w:sz w:val="18"/>
            <w:szCs w:val="18"/>
          </w:rPr>
          <w:instrText>PAGE    \* MERGEFORMAT</w:instrText>
        </w:r>
        <w:r w:rsidRPr="007C44C5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9C4E65" w:rsidRPr="009C4E65">
          <w:rPr>
            <w:rFonts w:asciiTheme="minorHAnsi" w:eastAsiaTheme="majorEastAsia" w:hAnsiTheme="minorHAnsi" w:cstheme="majorBidi"/>
            <w:noProof/>
            <w:sz w:val="18"/>
            <w:szCs w:val="18"/>
          </w:rPr>
          <w:t>1</w:t>
        </w:r>
        <w:r w:rsidRPr="007C44C5">
          <w:rPr>
            <w:rFonts w:asciiTheme="minorHAnsi" w:eastAsiaTheme="majorEastAsia" w:hAnsiTheme="minorHAnsi" w:cstheme="majorBidi"/>
            <w:sz w:val="18"/>
            <w:szCs w:val="18"/>
          </w:rPr>
          <w:fldChar w:fldCharType="end"/>
        </w:r>
      </w:p>
    </w:sdtContent>
  </w:sdt>
  <w:p w:rsidR="007C44C5" w:rsidRDefault="007C44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65" w:rsidRDefault="009C4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8BF" w:rsidRDefault="00C338BF" w:rsidP="00084EB8">
      <w:pPr>
        <w:spacing w:before="0" w:after="0"/>
      </w:pPr>
      <w:r>
        <w:separator/>
      </w:r>
    </w:p>
  </w:footnote>
  <w:footnote w:type="continuationSeparator" w:id="0">
    <w:p w:rsidR="00C338BF" w:rsidRDefault="00C338BF" w:rsidP="00084E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65" w:rsidRDefault="009C4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65" w:rsidRDefault="009C4E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65" w:rsidRDefault="009C4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7BEC"/>
    <w:multiLevelType w:val="hybridMultilevel"/>
    <w:tmpl w:val="C0FE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5506"/>
    <w:multiLevelType w:val="multilevel"/>
    <w:tmpl w:val="2BA4AFD0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aps/>
        <w:smallCaps w:val="0"/>
        <w:strike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1827"/>
        </w:tabs>
        <w:ind w:left="1827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bullet"/>
      <w:lvlText w:val=""/>
      <w:lvlJc w:val="left"/>
      <w:pPr>
        <w:tabs>
          <w:tab w:val="num" w:pos="1787"/>
        </w:tabs>
        <w:ind w:left="1787" w:hanging="794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D006A35"/>
    <w:multiLevelType w:val="hybridMultilevel"/>
    <w:tmpl w:val="5488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07447"/>
    <w:multiLevelType w:val="hybridMultilevel"/>
    <w:tmpl w:val="18D04892"/>
    <w:lvl w:ilvl="0" w:tplc="5E18291C">
      <w:start w:val="1"/>
      <w:numFmt w:val="bullet"/>
      <w:lvlText w:val="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1C46D6"/>
    <w:multiLevelType w:val="hybridMultilevel"/>
    <w:tmpl w:val="61F0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5A"/>
    <w:multiLevelType w:val="hybridMultilevel"/>
    <w:tmpl w:val="D33414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628CA"/>
    <w:multiLevelType w:val="hybridMultilevel"/>
    <w:tmpl w:val="EC3E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D16E1"/>
    <w:multiLevelType w:val="hybridMultilevel"/>
    <w:tmpl w:val="8572D97C"/>
    <w:lvl w:ilvl="0" w:tplc="B5AC288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98487E"/>
    <w:multiLevelType w:val="hybridMultilevel"/>
    <w:tmpl w:val="46046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94DDA"/>
    <w:multiLevelType w:val="hybridMultilevel"/>
    <w:tmpl w:val="938E1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B5F28"/>
    <w:multiLevelType w:val="hybridMultilevel"/>
    <w:tmpl w:val="A90EF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37CB4"/>
    <w:multiLevelType w:val="hybridMultilevel"/>
    <w:tmpl w:val="89BA1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AF"/>
    <w:rsid w:val="00011E44"/>
    <w:rsid w:val="000209A3"/>
    <w:rsid w:val="00022685"/>
    <w:rsid w:val="00050676"/>
    <w:rsid w:val="00057DB0"/>
    <w:rsid w:val="00067DDE"/>
    <w:rsid w:val="00080BA4"/>
    <w:rsid w:val="00082654"/>
    <w:rsid w:val="00084EB8"/>
    <w:rsid w:val="000A04A6"/>
    <w:rsid w:val="000D595B"/>
    <w:rsid w:val="000D624C"/>
    <w:rsid w:val="000F719F"/>
    <w:rsid w:val="000F7D43"/>
    <w:rsid w:val="00100FFC"/>
    <w:rsid w:val="001030DE"/>
    <w:rsid w:val="00106142"/>
    <w:rsid w:val="00134AE3"/>
    <w:rsid w:val="00140FAF"/>
    <w:rsid w:val="00146CDE"/>
    <w:rsid w:val="0015612B"/>
    <w:rsid w:val="00156D91"/>
    <w:rsid w:val="00174FEB"/>
    <w:rsid w:val="001A2DF0"/>
    <w:rsid w:val="001B0B97"/>
    <w:rsid w:val="001B1EC2"/>
    <w:rsid w:val="001C6978"/>
    <w:rsid w:val="001D2564"/>
    <w:rsid w:val="001F3D9F"/>
    <w:rsid w:val="001F6008"/>
    <w:rsid w:val="0021220F"/>
    <w:rsid w:val="00224156"/>
    <w:rsid w:val="00235E85"/>
    <w:rsid w:val="0025422A"/>
    <w:rsid w:val="00277A41"/>
    <w:rsid w:val="00280DD6"/>
    <w:rsid w:val="002830B0"/>
    <w:rsid w:val="002A5124"/>
    <w:rsid w:val="002C5C08"/>
    <w:rsid w:val="002D2384"/>
    <w:rsid w:val="002D435E"/>
    <w:rsid w:val="002F25E0"/>
    <w:rsid w:val="002F76DA"/>
    <w:rsid w:val="0030154A"/>
    <w:rsid w:val="00310334"/>
    <w:rsid w:val="00323CA8"/>
    <w:rsid w:val="00332947"/>
    <w:rsid w:val="003453CE"/>
    <w:rsid w:val="00353040"/>
    <w:rsid w:val="003535A9"/>
    <w:rsid w:val="00365D49"/>
    <w:rsid w:val="00367346"/>
    <w:rsid w:val="003843F0"/>
    <w:rsid w:val="0038538C"/>
    <w:rsid w:val="003C3D9B"/>
    <w:rsid w:val="003D4DE0"/>
    <w:rsid w:val="003E5AE6"/>
    <w:rsid w:val="003E62F8"/>
    <w:rsid w:val="0040078F"/>
    <w:rsid w:val="00435923"/>
    <w:rsid w:val="0043651A"/>
    <w:rsid w:val="00452CB4"/>
    <w:rsid w:val="00454731"/>
    <w:rsid w:val="00460FB3"/>
    <w:rsid w:val="00475280"/>
    <w:rsid w:val="004B37DB"/>
    <w:rsid w:val="004B6767"/>
    <w:rsid w:val="004D53F9"/>
    <w:rsid w:val="004F04D1"/>
    <w:rsid w:val="00500EF0"/>
    <w:rsid w:val="00511FE3"/>
    <w:rsid w:val="005233AA"/>
    <w:rsid w:val="00524DA0"/>
    <w:rsid w:val="00535D34"/>
    <w:rsid w:val="00542329"/>
    <w:rsid w:val="005512CC"/>
    <w:rsid w:val="005574C1"/>
    <w:rsid w:val="00560F80"/>
    <w:rsid w:val="00582C87"/>
    <w:rsid w:val="005843B5"/>
    <w:rsid w:val="005A5DCD"/>
    <w:rsid w:val="005F58D8"/>
    <w:rsid w:val="006044EE"/>
    <w:rsid w:val="0060513B"/>
    <w:rsid w:val="00606EAB"/>
    <w:rsid w:val="00616870"/>
    <w:rsid w:val="00630F3C"/>
    <w:rsid w:val="0063480C"/>
    <w:rsid w:val="00636140"/>
    <w:rsid w:val="006650AC"/>
    <w:rsid w:val="00671397"/>
    <w:rsid w:val="00672BB0"/>
    <w:rsid w:val="006852A5"/>
    <w:rsid w:val="00695512"/>
    <w:rsid w:val="006A6A81"/>
    <w:rsid w:val="006B3B53"/>
    <w:rsid w:val="006B4408"/>
    <w:rsid w:val="006D1A7C"/>
    <w:rsid w:val="006D27CD"/>
    <w:rsid w:val="007028C5"/>
    <w:rsid w:val="0071229F"/>
    <w:rsid w:val="007141E1"/>
    <w:rsid w:val="00715642"/>
    <w:rsid w:val="00716A38"/>
    <w:rsid w:val="00750D86"/>
    <w:rsid w:val="00762FA9"/>
    <w:rsid w:val="007925D1"/>
    <w:rsid w:val="007A3124"/>
    <w:rsid w:val="007A35F8"/>
    <w:rsid w:val="007C2523"/>
    <w:rsid w:val="007C2AA8"/>
    <w:rsid w:val="007C44C5"/>
    <w:rsid w:val="007C58FA"/>
    <w:rsid w:val="007E09A2"/>
    <w:rsid w:val="007F14F2"/>
    <w:rsid w:val="007F1653"/>
    <w:rsid w:val="00816FD0"/>
    <w:rsid w:val="0082635F"/>
    <w:rsid w:val="00834A88"/>
    <w:rsid w:val="00834F00"/>
    <w:rsid w:val="00886588"/>
    <w:rsid w:val="008948B3"/>
    <w:rsid w:val="008F5368"/>
    <w:rsid w:val="008F766C"/>
    <w:rsid w:val="00907FF6"/>
    <w:rsid w:val="00916294"/>
    <w:rsid w:val="00947FBB"/>
    <w:rsid w:val="00956DB7"/>
    <w:rsid w:val="00993ED6"/>
    <w:rsid w:val="009A6D62"/>
    <w:rsid w:val="009B0E72"/>
    <w:rsid w:val="009C2B9D"/>
    <w:rsid w:val="009C4E65"/>
    <w:rsid w:val="009C742B"/>
    <w:rsid w:val="009D4A13"/>
    <w:rsid w:val="00A00A8B"/>
    <w:rsid w:val="00A0333C"/>
    <w:rsid w:val="00A0530A"/>
    <w:rsid w:val="00A17F2A"/>
    <w:rsid w:val="00A529E2"/>
    <w:rsid w:val="00A7686F"/>
    <w:rsid w:val="00A828AF"/>
    <w:rsid w:val="00A84ACC"/>
    <w:rsid w:val="00AB1C74"/>
    <w:rsid w:val="00AF4D6C"/>
    <w:rsid w:val="00B02A5F"/>
    <w:rsid w:val="00B31CB1"/>
    <w:rsid w:val="00B56328"/>
    <w:rsid w:val="00B65E5C"/>
    <w:rsid w:val="00B818FB"/>
    <w:rsid w:val="00B94F68"/>
    <w:rsid w:val="00B979EF"/>
    <w:rsid w:val="00BB0AEE"/>
    <w:rsid w:val="00BC24E2"/>
    <w:rsid w:val="00BD114A"/>
    <w:rsid w:val="00BF0F50"/>
    <w:rsid w:val="00C039A8"/>
    <w:rsid w:val="00C062C4"/>
    <w:rsid w:val="00C1356B"/>
    <w:rsid w:val="00C338BF"/>
    <w:rsid w:val="00C47AD1"/>
    <w:rsid w:val="00C51ECC"/>
    <w:rsid w:val="00C631D8"/>
    <w:rsid w:val="00C96D95"/>
    <w:rsid w:val="00CC2B5D"/>
    <w:rsid w:val="00CE576B"/>
    <w:rsid w:val="00D03187"/>
    <w:rsid w:val="00D11F52"/>
    <w:rsid w:val="00D30F00"/>
    <w:rsid w:val="00D336E3"/>
    <w:rsid w:val="00D3446F"/>
    <w:rsid w:val="00D61FB6"/>
    <w:rsid w:val="00D6509D"/>
    <w:rsid w:val="00D666B9"/>
    <w:rsid w:val="00DB3950"/>
    <w:rsid w:val="00DB523F"/>
    <w:rsid w:val="00DC024D"/>
    <w:rsid w:val="00DD233B"/>
    <w:rsid w:val="00DD5781"/>
    <w:rsid w:val="00DE09F4"/>
    <w:rsid w:val="00DE3F2A"/>
    <w:rsid w:val="00DF76DC"/>
    <w:rsid w:val="00E0745E"/>
    <w:rsid w:val="00E20284"/>
    <w:rsid w:val="00E226D5"/>
    <w:rsid w:val="00E23C7C"/>
    <w:rsid w:val="00E407CA"/>
    <w:rsid w:val="00E46B9E"/>
    <w:rsid w:val="00E91AE0"/>
    <w:rsid w:val="00E91B7F"/>
    <w:rsid w:val="00ED15CB"/>
    <w:rsid w:val="00EE6CCD"/>
    <w:rsid w:val="00EF5DCB"/>
    <w:rsid w:val="00F0069D"/>
    <w:rsid w:val="00F054C4"/>
    <w:rsid w:val="00F1395A"/>
    <w:rsid w:val="00F210D6"/>
    <w:rsid w:val="00F322BE"/>
    <w:rsid w:val="00F65355"/>
    <w:rsid w:val="00F65C87"/>
    <w:rsid w:val="00F66E26"/>
    <w:rsid w:val="00F91F02"/>
    <w:rsid w:val="00FA7FD5"/>
    <w:rsid w:val="00FC6912"/>
    <w:rsid w:val="00FD48E9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FA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653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47F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530A"/>
    <w:rPr>
      <w:color w:val="0000FF" w:themeColor="hyperlink"/>
      <w:u w:val="single"/>
    </w:rPr>
  </w:style>
  <w:style w:type="paragraph" w:styleId="Podtytu">
    <w:name w:val="Subtitle"/>
    <w:basedOn w:val="Normalny"/>
    <w:link w:val="PodtytuZnak"/>
    <w:uiPriority w:val="11"/>
    <w:qFormat/>
    <w:rsid w:val="00A0530A"/>
    <w:pPr>
      <w:spacing w:before="0" w:after="0"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A053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B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B9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2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B9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B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B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eadonlytext">
    <w:name w:val="readonly_text"/>
    <w:basedOn w:val="Domylnaczcionkaakapitu"/>
    <w:rsid w:val="00750D86"/>
  </w:style>
  <w:style w:type="table" w:customStyle="1" w:styleId="Tabela-Siatka1">
    <w:name w:val="Tabela - Siatka1"/>
    <w:basedOn w:val="Standardowy"/>
    <w:next w:val="Tabela-Siatka"/>
    <w:uiPriority w:val="59"/>
    <w:rsid w:val="00C96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6535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9C742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EB8"/>
    <w:pPr>
      <w:spacing w:before="0" w:after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E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E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44C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44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4C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C44C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88658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ABFED-16AC-4BAB-BD2D-443CE0D5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2021-09-29T10:11:00Z</dcterms:created>
  <dcterms:modified xsi:type="dcterms:W3CDTF">2021-09-29T10:11:00Z</dcterms:modified>
</cp:coreProperties>
</file>