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F55C" w14:textId="149922BD" w:rsidR="00965C3A" w:rsidRPr="00163E58" w:rsidRDefault="00965C3A" w:rsidP="00965C3A">
      <w:pPr>
        <w:jc w:val="center"/>
        <w:rPr>
          <w:rFonts w:ascii="Lato" w:hAnsi="Lato"/>
          <w:b/>
          <w:sz w:val="32"/>
          <w:szCs w:val="32"/>
        </w:rPr>
      </w:pPr>
      <w:bookmarkStart w:id="0" w:name="_Hlk178060905"/>
      <w:r>
        <w:rPr>
          <w:rFonts w:ascii="Lato" w:hAnsi="Lato"/>
          <w:b/>
          <w:sz w:val="32"/>
          <w:szCs w:val="32"/>
        </w:rPr>
        <w:br/>
        <w:t>WENEZUELA</w:t>
      </w:r>
    </w:p>
    <w:p w14:paraId="123589D0" w14:textId="77777777" w:rsidR="00965C3A" w:rsidRPr="00163E58" w:rsidRDefault="00965C3A" w:rsidP="00965C3A"/>
    <w:bookmarkEnd w:id="0"/>
    <w:p w14:paraId="0A1CF914" w14:textId="5D1A40FF" w:rsidR="00965C3A" w:rsidRPr="00661C92" w:rsidRDefault="00133911" w:rsidP="0066216E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cstheme="minorHAnsi"/>
        </w:rPr>
      </w:pPr>
      <w:r w:rsidRPr="00661C92">
        <w:rPr>
          <w:rFonts w:cstheme="minorHAnsi"/>
        </w:rPr>
        <w:t>GOSPODARKA I JEJ STRUKTURA</w:t>
      </w:r>
    </w:p>
    <w:p w14:paraId="148C3156" w14:textId="77777777" w:rsidR="00965C3A" w:rsidRPr="00133911" w:rsidRDefault="00965C3A" w:rsidP="00C84849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bookmarkStart w:id="1" w:name="_Hlk177906355"/>
      <w:r w:rsidRPr="00133911">
        <w:rPr>
          <w:rFonts w:asciiTheme="minorHAnsi" w:hAnsiTheme="minorHAnsi" w:cstheme="minorHAnsi"/>
          <w:b/>
          <w:bCs/>
          <w:sz w:val="22"/>
        </w:rPr>
        <w:t>System gospodarczy i najważniejsze strategie gospodarcze</w:t>
      </w:r>
    </w:p>
    <w:p w14:paraId="6CE5612B" w14:textId="2ED4EAE0" w:rsidR="0066216E" w:rsidRDefault="0066216E" w:rsidP="00133911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Od momentu przejęcia władzy przez Hugo </w:t>
      </w:r>
      <w:proofErr w:type="spellStart"/>
      <w:r w:rsidRPr="0066216E">
        <w:rPr>
          <w:rFonts w:asciiTheme="minorHAnsi" w:eastAsia="Times New Roman" w:hAnsiTheme="minorHAnsi" w:cstheme="minorHAnsi"/>
          <w:sz w:val="22"/>
          <w:lang w:eastAsia="pl-PL"/>
        </w:rPr>
        <w:t>Cháveza</w:t>
      </w:r>
      <w:proofErr w:type="spellEnd"/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w 1999 roku udział prywatnych przedsiębiorstw w gospodarce narodowej stopniowo malał. Jednymi z najbardziej charakterystycznych „reform” byłego prezydenta stały się wywłaszczenia i nacjonalizacje dużych, sprawnie działających przedsiębiorstw, często z dużym kapitałem zagranicznym. System wprowadzony przez </w:t>
      </w:r>
      <w:proofErr w:type="spellStart"/>
      <w:r w:rsidRPr="0066216E">
        <w:rPr>
          <w:rFonts w:asciiTheme="minorHAnsi" w:eastAsia="Times New Roman" w:hAnsiTheme="minorHAnsi" w:cstheme="minorHAnsi"/>
          <w:sz w:val="22"/>
          <w:lang w:eastAsia="pl-PL"/>
        </w:rPr>
        <w:t>Cháveza</w:t>
      </w:r>
      <w:proofErr w:type="spellEnd"/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zawierał elementy </w:t>
      </w:r>
      <w:r>
        <w:rPr>
          <w:rFonts w:asciiTheme="minorHAnsi" w:eastAsia="Times New Roman" w:hAnsiTheme="minorHAnsi" w:cstheme="minorHAnsi"/>
          <w:sz w:val="22"/>
          <w:lang w:eastAsia="pl-PL"/>
        </w:rPr>
        <w:t>realnego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socjalizmu (wywłaszczenia, kontrola cen, ceny maksymalne, obowiązkowe dostawy), jak i gospodarki kapitalistycznej (ci, którzy nie „narazili się” państwu, mogli prowadzić działalność gospodarczą</w:t>
      </w:r>
      <w:r w:rsidR="00C84849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brak prawnych ograniczeń własności prywatnej). W 1999 r</w:t>
      </w:r>
      <w:r>
        <w:rPr>
          <w:rFonts w:asciiTheme="minorHAnsi" w:eastAsia="Times New Roman" w:hAnsiTheme="minorHAnsi" w:cstheme="minorHAnsi"/>
          <w:sz w:val="22"/>
          <w:lang w:eastAsia="pl-PL"/>
        </w:rPr>
        <w:t>.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w Wenezueli było 13 tysięcy przedsiębiorstw. Do 2016 roku liczba ta spadła do 4 tysięcy. Model gospodarczy Wenezueli w tym okresie opierał się na dystrybucji dochodów ze sprzedaży ropy naftowej (okres prezydentury </w:t>
      </w:r>
      <w:proofErr w:type="spellStart"/>
      <w:r w:rsidRPr="0066216E">
        <w:rPr>
          <w:rFonts w:asciiTheme="minorHAnsi" w:eastAsia="Times New Roman" w:hAnsiTheme="minorHAnsi" w:cstheme="minorHAnsi"/>
          <w:sz w:val="22"/>
          <w:lang w:eastAsia="pl-PL"/>
        </w:rPr>
        <w:t>Cháveza</w:t>
      </w:r>
      <w:proofErr w:type="spellEnd"/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to ciągły wzrost cen ropy naftowej), niemniej jednak poziom produkcji krajowej i rolnictwa systematycznie malał. W momencie załamania się światowych cen ropy powyższy model </w:t>
      </w:r>
      <w:r w:rsidR="00C84849">
        <w:rPr>
          <w:rFonts w:asciiTheme="minorHAnsi" w:eastAsia="Times New Roman" w:hAnsiTheme="minorHAnsi" w:cstheme="minorHAnsi"/>
          <w:sz w:val="22"/>
          <w:lang w:eastAsia="pl-PL"/>
        </w:rPr>
        <w:t xml:space="preserve">gospodarczy 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>doprowadził do hiperinflacji i braków w zaopatrzeniu. Niewydolna, zbiurokratyzowana gospodarka Wenezueli nie była w stanie wytworzyć wystarczającej ilości dóbr na rynku krajowym, aby zaspokoić konsumpcję, którą w czasach dobrej koniunktury w sektorze ropy naftowej pokrywano z importu.</w:t>
      </w:r>
    </w:p>
    <w:p w14:paraId="0774578C" w14:textId="1A1F4FDC" w:rsidR="0066216E" w:rsidRDefault="0066216E" w:rsidP="00133911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Początkowo </w:t>
      </w:r>
      <w:proofErr w:type="spellStart"/>
      <w:r w:rsidRPr="0066216E">
        <w:rPr>
          <w:rFonts w:asciiTheme="minorHAnsi" w:eastAsia="Times New Roman" w:hAnsiTheme="minorHAnsi" w:cstheme="minorHAnsi"/>
          <w:sz w:val="22"/>
          <w:lang w:eastAsia="pl-PL"/>
        </w:rPr>
        <w:t>Nicolás</w:t>
      </w:r>
      <w:proofErr w:type="spellEnd"/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Maduro kontynuował kurs swojego poprzednika, jednak w wyniku kryzysu politycznego i gospodarczego został zmuszony do jego korekty i przeprowadzenia pewnych reform. W</w:t>
      </w:r>
      <w:r w:rsidR="00A411E0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>2018 r</w:t>
      </w:r>
      <w:r>
        <w:rPr>
          <w:rFonts w:asciiTheme="minorHAnsi" w:eastAsia="Times New Roman" w:hAnsiTheme="minorHAnsi" w:cstheme="minorHAnsi"/>
          <w:sz w:val="22"/>
          <w:lang w:eastAsia="pl-PL"/>
        </w:rPr>
        <w:t>.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zdepenalizowano posługiwanie się dewizami, przeprowadzono reformę walutową oraz wprowadzono program pomocy dla najuboższych w ramach systemu </w:t>
      </w:r>
      <w:proofErr w:type="spellStart"/>
      <w:r w:rsidRPr="0066216E">
        <w:rPr>
          <w:rFonts w:asciiTheme="minorHAnsi" w:eastAsia="Times New Roman" w:hAnsiTheme="minorHAnsi" w:cstheme="minorHAnsi"/>
          <w:i/>
          <w:iCs/>
          <w:sz w:val="22"/>
          <w:lang w:eastAsia="pl-PL"/>
        </w:rPr>
        <w:t>Carnet</w:t>
      </w:r>
      <w:proofErr w:type="spellEnd"/>
      <w:r w:rsidRPr="0066216E">
        <w:rPr>
          <w:rFonts w:asciiTheme="minorHAnsi" w:eastAsia="Times New Roman" w:hAnsiTheme="minorHAnsi" w:cstheme="minorHAnsi"/>
          <w:i/>
          <w:iCs/>
          <w:sz w:val="22"/>
          <w:lang w:eastAsia="pl-PL"/>
        </w:rPr>
        <w:t xml:space="preserve"> de la Patria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. Zrezygnowano z </w:t>
      </w:r>
      <w:proofErr w:type="spellStart"/>
      <w:r w:rsidRPr="0066216E">
        <w:rPr>
          <w:rFonts w:asciiTheme="minorHAnsi" w:eastAsia="Times New Roman" w:hAnsiTheme="minorHAnsi" w:cstheme="minorHAnsi"/>
          <w:sz w:val="22"/>
          <w:lang w:eastAsia="pl-PL"/>
        </w:rPr>
        <w:t>antykorporacyjnej</w:t>
      </w:r>
      <w:proofErr w:type="spellEnd"/>
      <w:r w:rsidRPr="0066216E">
        <w:rPr>
          <w:rFonts w:asciiTheme="minorHAnsi" w:eastAsia="Times New Roman" w:hAnsiTheme="minorHAnsi" w:cstheme="minorHAnsi"/>
          <w:sz w:val="22"/>
          <w:lang w:eastAsia="pl-PL"/>
        </w:rPr>
        <w:t xml:space="preserve"> retoryki, a zaczęto wręcz namawiać do inwestycji w Wenezueli, w szczególności w sektorze węglowodorów. W wyniku nałożenia amerykańskich sankcji na przedstawicieli reżimu oraz na import wenezuelskiej ropy naftowej, Wenezuela zaczęła dostosowywać się do nowego stanu faktycznego. W początkowym okresie sankcje załamały wenezuelską produkcję i eksport ropy, co doprowadziło do zbliżenia z Iranem, Chinami i Rosją.</w:t>
      </w:r>
      <w:r w:rsidR="00C8484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66216E">
        <w:rPr>
          <w:rFonts w:asciiTheme="minorHAnsi" w:eastAsia="Times New Roman" w:hAnsiTheme="minorHAnsi" w:cstheme="minorHAnsi"/>
          <w:sz w:val="22"/>
          <w:lang w:eastAsia="pl-PL"/>
        </w:rPr>
        <w:t>Obecnie Wenezuela porzuciła retorykę „wojującego socjalizmu” na rzecz przyciągania inwestycji zagranicznych z krajów uznanych za przyjazne. Główną zachętą inwestycyjną są specjalne strefy ekonomiczne (obecnie jest ich 5), które oferują szereg ułatwień dla inwestorów, takich jak zwolnienia podatkowe, celne i administracyjne.</w:t>
      </w:r>
    </w:p>
    <w:p w14:paraId="678F95CB" w14:textId="77777777" w:rsidR="0066216E" w:rsidRPr="0066216E" w:rsidRDefault="0066216E" w:rsidP="0066216E">
      <w:pPr>
        <w:pStyle w:val="Akapitzlist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theme="minorHAnsi"/>
          <w:sz w:val="22"/>
          <w:lang w:eastAsia="pl-PL"/>
        </w:rPr>
      </w:pPr>
    </w:p>
    <w:p w14:paraId="41E9E20C" w14:textId="77777777" w:rsidR="00965C3A" w:rsidRPr="00133911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33911">
        <w:rPr>
          <w:rFonts w:asciiTheme="minorHAnsi" w:hAnsiTheme="minorHAnsi" w:cstheme="minorHAnsi"/>
          <w:b/>
          <w:bCs/>
          <w:sz w:val="22"/>
        </w:rPr>
        <w:t>Główne sektory gospodarki i ich udział w PKB</w:t>
      </w:r>
    </w:p>
    <w:p w14:paraId="1744CFD4" w14:textId="4366B2FA" w:rsidR="007D7103" w:rsidRPr="00100C9B" w:rsidRDefault="007D7103" w:rsidP="00965C3A">
      <w:pPr>
        <w:jc w:val="both"/>
        <w:rPr>
          <w:rFonts w:cstheme="minorHAnsi"/>
          <w:u w:val="single"/>
        </w:rPr>
      </w:pPr>
      <w:r w:rsidRPr="00100C9B">
        <w:rPr>
          <w:rFonts w:cstheme="minorHAnsi"/>
          <w:u w:val="single"/>
        </w:rPr>
        <w:t>PKB</w:t>
      </w:r>
    </w:p>
    <w:p w14:paraId="4491BBED" w14:textId="0A7278CC" w:rsidR="00965C3A" w:rsidRPr="0066216E" w:rsidRDefault="00965C3A" w:rsidP="00965C3A">
      <w:pPr>
        <w:jc w:val="both"/>
        <w:rPr>
          <w:rFonts w:cstheme="minorHAnsi"/>
        </w:rPr>
      </w:pPr>
      <w:r w:rsidRPr="0066216E">
        <w:rPr>
          <w:rFonts w:cstheme="minorHAnsi"/>
        </w:rPr>
        <w:t xml:space="preserve">Brakuje aktualnych i wiarygodnych danych </w:t>
      </w:r>
      <w:r w:rsidR="00387579" w:rsidRPr="0066216E">
        <w:rPr>
          <w:rFonts w:cstheme="minorHAnsi"/>
        </w:rPr>
        <w:t>dot. udziału poszczególnych sektorów gospodarki w PKB Wenezueli</w:t>
      </w:r>
      <w:r w:rsidRPr="0066216E">
        <w:rPr>
          <w:rFonts w:cstheme="minorHAnsi"/>
        </w:rPr>
        <w:t xml:space="preserve">. W 2017 r. </w:t>
      </w:r>
      <w:r w:rsidR="00387579" w:rsidRPr="0066216E">
        <w:rPr>
          <w:rFonts w:cstheme="minorHAnsi"/>
        </w:rPr>
        <w:t xml:space="preserve">usługi generowały </w:t>
      </w:r>
      <w:r w:rsidRPr="0066216E">
        <w:rPr>
          <w:rFonts w:cstheme="minorHAnsi"/>
        </w:rPr>
        <w:t>54,9% PKB, przemysł</w:t>
      </w:r>
      <w:r w:rsidR="00387579" w:rsidRPr="0066216E">
        <w:rPr>
          <w:rFonts w:cstheme="minorHAnsi"/>
        </w:rPr>
        <w:t xml:space="preserve"> 40,4%</w:t>
      </w:r>
      <w:r w:rsidRPr="0066216E">
        <w:rPr>
          <w:rFonts w:cstheme="minorHAnsi"/>
        </w:rPr>
        <w:t>, a sektor rolniczy</w:t>
      </w:r>
      <w:r w:rsidR="0066216E">
        <w:rPr>
          <w:rFonts w:cstheme="minorHAnsi"/>
        </w:rPr>
        <w:t xml:space="preserve"> </w:t>
      </w:r>
      <w:r w:rsidR="00387579" w:rsidRPr="0066216E">
        <w:rPr>
          <w:rFonts w:cstheme="minorHAnsi"/>
        </w:rPr>
        <w:t>4,7%</w:t>
      </w:r>
      <w:r w:rsidRPr="0066216E">
        <w:rPr>
          <w:rFonts w:cstheme="minorHAnsi"/>
        </w:rPr>
        <w:t xml:space="preserve">. </w:t>
      </w:r>
    </w:p>
    <w:p w14:paraId="1D8845CF" w14:textId="5C662D51" w:rsidR="007D7103" w:rsidRDefault="00100C9B" w:rsidP="00965C3A">
      <w:pPr>
        <w:jc w:val="both"/>
        <w:rPr>
          <w:rFonts w:cstheme="minorHAnsi"/>
          <w:u w:val="single"/>
        </w:rPr>
      </w:pPr>
      <w:r w:rsidRPr="00100C9B">
        <w:rPr>
          <w:rFonts w:cstheme="minorHAnsi"/>
          <w:u w:val="single"/>
        </w:rPr>
        <w:t>Surowce</w:t>
      </w:r>
    </w:p>
    <w:p w14:paraId="4AF5E1E3" w14:textId="32787E1E" w:rsidR="004545DC" w:rsidRDefault="007B3BED" w:rsidP="004545DC">
      <w:pPr>
        <w:jc w:val="both"/>
        <w:rPr>
          <w:rFonts w:cstheme="minorHAnsi"/>
        </w:rPr>
      </w:pPr>
      <w:r w:rsidRPr="0066216E">
        <w:rPr>
          <w:rFonts w:cstheme="minorHAnsi"/>
        </w:rPr>
        <w:t>Wenezuela ma szóste co do wielkości rozpoznane rezerwy „lekkiej” ropy naftowej na świecie oraz największe na świecie rezerwy „ciężkiej” ropy</w:t>
      </w:r>
      <w:r>
        <w:rPr>
          <w:rFonts w:cstheme="minorHAnsi"/>
        </w:rPr>
        <w:t xml:space="preserve">. Ponadto posiada </w:t>
      </w:r>
      <w:r w:rsidRPr="0066216E">
        <w:rPr>
          <w:rFonts w:cstheme="minorHAnsi"/>
        </w:rPr>
        <w:t>bogate zasoby gazu ziemnego (dziewiąte największe złoża na świecie)</w:t>
      </w:r>
      <w:r>
        <w:rPr>
          <w:rFonts w:cstheme="minorHAnsi"/>
        </w:rPr>
        <w:t>.</w:t>
      </w:r>
      <w:r w:rsidR="004545DC">
        <w:rPr>
          <w:rFonts w:cstheme="minorHAnsi"/>
        </w:rPr>
        <w:t xml:space="preserve"> </w:t>
      </w:r>
      <w:r w:rsidR="004545DC" w:rsidRPr="0066216E">
        <w:rPr>
          <w:rFonts w:cstheme="minorHAnsi"/>
        </w:rPr>
        <w:t xml:space="preserve">Kluczowym sektorem gospodarki pozostaje eksploatacja ropy naftowej, która wg szacunków odpowiada za ponad połowę wenezuelskiego PKB i ponad 90% eksportu. W 2024 r. wydobywano średnio ok. 950 000 baryłek ropy dziennie, co stanowi najwyższy </w:t>
      </w:r>
      <w:r w:rsidR="004545DC" w:rsidRPr="0066216E">
        <w:rPr>
          <w:rFonts w:cstheme="minorHAnsi"/>
        </w:rPr>
        <w:lastRenderedPageBreak/>
        <w:t xml:space="preserve">poziom od momentu wprowadzenia amerykańskich sankcji, niemniej wciąż odbiega to znacząco od historycznych rekordów. </w:t>
      </w:r>
    </w:p>
    <w:p w14:paraId="34BD4AA5" w14:textId="538B167F" w:rsidR="0066216E" w:rsidRPr="0066216E" w:rsidRDefault="0066216E" w:rsidP="007B3BED">
      <w:pPr>
        <w:jc w:val="both"/>
        <w:rPr>
          <w:rFonts w:eastAsia="Times New Roman" w:cstheme="minorHAnsi"/>
          <w:lang w:eastAsia="pl-PL"/>
        </w:rPr>
      </w:pPr>
      <w:r w:rsidRPr="0066216E">
        <w:rPr>
          <w:rFonts w:eastAsia="Times New Roman" w:cstheme="minorHAnsi"/>
          <w:lang w:eastAsia="pl-PL"/>
        </w:rPr>
        <w:t xml:space="preserve">Innym ważnym sektorem gospodarki Wenezueli jest wydobycie minerałów, którego rozwojowi nie sprzyjają takie czynniki jak niewłaściwe zarządzanie, korupcja, brak odpowiedniej infrastruktury oraz niestabilność polityczna i społeczna. Sektor górniczy w Wenezueli jest celem zorganizowanej przestępczości, co komplikuje wysiłki na rzecz regulacji tej branży. Z tego powodu trudno jest </w:t>
      </w:r>
      <w:r>
        <w:rPr>
          <w:rFonts w:eastAsia="Times New Roman" w:cstheme="minorHAnsi"/>
          <w:lang w:eastAsia="pl-PL"/>
        </w:rPr>
        <w:t xml:space="preserve">też </w:t>
      </w:r>
      <w:r w:rsidRPr="0066216E">
        <w:rPr>
          <w:rFonts w:eastAsia="Times New Roman" w:cstheme="minorHAnsi"/>
          <w:lang w:eastAsia="pl-PL"/>
        </w:rPr>
        <w:t>oszacować faktyczną skalę wydobycia.</w:t>
      </w:r>
    </w:p>
    <w:p w14:paraId="36E509A8" w14:textId="3A88B745" w:rsidR="008B58AE" w:rsidRPr="0066216E" w:rsidRDefault="0066216E" w:rsidP="008B58AE">
      <w:pPr>
        <w:jc w:val="both"/>
        <w:rPr>
          <w:rFonts w:cstheme="minorHAnsi"/>
        </w:rPr>
      </w:pPr>
      <w:r w:rsidRPr="0066216E">
        <w:rPr>
          <w:rFonts w:eastAsia="Times New Roman" w:cstheme="minorHAnsi"/>
          <w:lang w:eastAsia="pl-PL"/>
        </w:rPr>
        <w:t>Wenezuela posiada jedne z największych rezerw złota w Ameryce Łacińskiej, skoncentrowane głównie w Łuku Wydobycia Orinoko (</w:t>
      </w:r>
      <w:proofErr w:type="spellStart"/>
      <w:r w:rsidRPr="0066216E">
        <w:rPr>
          <w:rFonts w:eastAsia="Times New Roman" w:cstheme="minorHAnsi"/>
          <w:i/>
          <w:iCs/>
          <w:lang w:eastAsia="pl-PL"/>
        </w:rPr>
        <w:t>Arco</w:t>
      </w:r>
      <w:proofErr w:type="spellEnd"/>
      <w:r w:rsidRPr="0066216E">
        <w:rPr>
          <w:rFonts w:eastAsia="Times New Roman" w:cstheme="minorHAnsi"/>
          <w:i/>
          <w:iCs/>
          <w:lang w:eastAsia="pl-PL"/>
        </w:rPr>
        <w:t xml:space="preserve"> </w:t>
      </w:r>
      <w:proofErr w:type="spellStart"/>
      <w:r w:rsidRPr="0066216E">
        <w:rPr>
          <w:rFonts w:eastAsia="Times New Roman" w:cstheme="minorHAnsi"/>
          <w:i/>
          <w:iCs/>
          <w:lang w:eastAsia="pl-PL"/>
        </w:rPr>
        <w:t>Minero</w:t>
      </w:r>
      <w:proofErr w:type="spellEnd"/>
      <w:r w:rsidRPr="0066216E">
        <w:rPr>
          <w:rFonts w:eastAsia="Times New Roman" w:cstheme="minorHAnsi"/>
          <w:i/>
          <w:iCs/>
          <w:lang w:eastAsia="pl-PL"/>
        </w:rPr>
        <w:t xml:space="preserve"> del </w:t>
      </w:r>
      <w:proofErr w:type="spellStart"/>
      <w:r w:rsidRPr="0066216E">
        <w:rPr>
          <w:rFonts w:eastAsia="Times New Roman" w:cstheme="minorHAnsi"/>
          <w:i/>
          <w:iCs/>
          <w:lang w:eastAsia="pl-PL"/>
        </w:rPr>
        <w:t>Orinoco</w:t>
      </w:r>
      <w:proofErr w:type="spellEnd"/>
      <w:r w:rsidRPr="0066216E">
        <w:rPr>
          <w:rFonts w:eastAsia="Times New Roman" w:cstheme="minorHAnsi"/>
          <w:lang w:eastAsia="pl-PL"/>
        </w:rPr>
        <w:t xml:space="preserve">). Jego wydobycie stało się ważnym sektorem gospodarki, zwłaszcza po </w:t>
      </w:r>
      <w:r w:rsidR="00C84849">
        <w:rPr>
          <w:rFonts w:eastAsia="Times New Roman" w:cstheme="minorHAnsi"/>
          <w:lang w:eastAsia="pl-PL"/>
        </w:rPr>
        <w:t>załamaniu w</w:t>
      </w:r>
      <w:r w:rsidRPr="0066216E">
        <w:rPr>
          <w:rFonts w:eastAsia="Times New Roman" w:cstheme="minorHAnsi"/>
          <w:lang w:eastAsia="pl-PL"/>
        </w:rPr>
        <w:t xml:space="preserve"> sektor</w:t>
      </w:r>
      <w:r w:rsidR="00C84849">
        <w:rPr>
          <w:rFonts w:eastAsia="Times New Roman" w:cstheme="minorHAnsi"/>
          <w:lang w:eastAsia="pl-PL"/>
        </w:rPr>
        <w:t>ze</w:t>
      </w:r>
      <w:r w:rsidRPr="0066216E">
        <w:rPr>
          <w:rFonts w:eastAsia="Times New Roman" w:cstheme="minorHAnsi"/>
          <w:lang w:eastAsia="pl-PL"/>
        </w:rPr>
        <w:t xml:space="preserve"> naftow</w:t>
      </w:r>
      <w:r w:rsidR="00C84849">
        <w:rPr>
          <w:rFonts w:eastAsia="Times New Roman" w:cstheme="minorHAnsi"/>
          <w:lang w:eastAsia="pl-PL"/>
        </w:rPr>
        <w:t>ym</w:t>
      </w:r>
      <w:r w:rsidRPr="0066216E">
        <w:rPr>
          <w:rFonts w:eastAsia="Times New Roman" w:cstheme="minorHAnsi"/>
          <w:lang w:eastAsia="pl-PL"/>
        </w:rPr>
        <w:t>. Istnieją zarówno legalne, jak i nielegalne operacje górnicze, przy czym duża część nielegalnego wydobycia ma miejsce na obszarach chronionych, takich jak parki narodowe i tereny zamieszkiwane przez rdzenne ludności. Nielegalne wydobycie złota wiąże się często z przemocą, eksploatacją oraz powiązaniami z zorganizowaną przestępczością i mafijnymi grupami kontrolującymi obszary górnicze.</w:t>
      </w:r>
      <w:r w:rsidR="008B58AE">
        <w:rPr>
          <w:rFonts w:eastAsia="Times New Roman" w:cstheme="minorHAnsi"/>
          <w:lang w:eastAsia="pl-PL"/>
        </w:rPr>
        <w:t xml:space="preserve"> </w:t>
      </w:r>
      <w:r w:rsidR="008B58AE" w:rsidRPr="0066216E">
        <w:rPr>
          <w:rFonts w:cstheme="minorHAnsi"/>
        </w:rPr>
        <w:t>N</w:t>
      </w:r>
      <w:r w:rsidR="008B58AE">
        <w:rPr>
          <w:rFonts w:cstheme="minorHAnsi"/>
        </w:rPr>
        <w:t xml:space="preserve">iedawno została otwarta największa na świecie </w:t>
      </w:r>
      <w:r w:rsidR="008B58AE" w:rsidRPr="0066216E">
        <w:rPr>
          <w:rFonts w:cstheme="minorHAnsi"/>
        </w:rPr>
        <w:t>kopalni</w:t>
      </w:r>
      <w:r w:rsidR="008B58AE">
        <w:rPr>
          <w:rFonts w:cstheme="minorHAnsi"/>
        </w:rPr>
        <w:t>a</w:t>
      </w:r>
      <w:r w:rsidR="008B58AE" w:rsidRPr="0066216E">
        <w:rPr>
          <w:rFonts w:cstheme="minorHAnsi"/>
        </w:rPr>
        <w:t xml:space="preserve"> złota</w:t>
      </w:r>
      <w:r w:rsidR="008B58AE">
        <w:rPr>
          <w:rFonts w:cstheme="minorHAnsi"/>
        </w:rPr>
        <w:t>, która z</w:t>
      </w:r>
      <w:r w:rsidR="008B58AE" w:rsidRPr="0066216E">
        <w:rPr>
          <w:rFonts w:cstheme="minorHAnsi"/>
        </w:rPr>
        <w:t xml:space="preserve">najduje się w delcie </w:t>
      </w:r>
      <w:proofErr w:type="spellStart"/>
      <w:r w:rsidR="008B58AE" w:rsidRPr="0066216E">
        <w:rPr>
          <w:rFonts w:cstheme="minorHAnsi"/>
        </w:rPr>
        <w:t>Orinoco</w:t>
      </w:r>
      <w:proofErr w:type="spellEnd"/>
      <w:r w:rsidR="008B58AE" w:rsidRPr="0066216E">
        <w:rPr>
          <w:rFonts w:cstheme="minorHAnsi"/>
        </w:rPr>
        <w:t xml:space="preserve"> w stanie Bolivar. </w:t>
      </w:r>
      <w:r w:rsidR="008B58AE">
        <w:rPr>
          <w:rFonts w:cstheme="minorHAnsi"/>
        </w:rPr>
        <w:t>Jej zasoby to</w:t>
      </w:r>
      <w:r w:rsidR="008B58AE" w:rsidRPr="0066216E">
        <w:rPr>
          <w:rFonts w:cstheme="minorHAnsi"/>
        </w:rPr>
        <w:t xml:space="preserve"> ok. 480 tys</w:t>
      </w:r>
      <w:r w:rsidR="008B58AE">
        <w:rPr>
          <w:rFonts w:cstheme="minorHAnsi"/>
        </w:rPr>
        <w:t xml:space="preserve">. kg </w:t>
      </w:r>
      <w:r w:rsidR="008B58AE" w:rsidRPr="0066216E">
        <w:rPr>
          <w:rFonts w:cstheme="minorHAnsi"/>
        </w:rPr>
        <w:t xml:space="preserve">złota (ekwiwalent 52 </w:t>
      </w:r>
      <w:r w:rsidR="008B58AE">
        <w:rPr>
          <w:rFonts w:cstheme="minorHAnsi"/>
        </w:rPr>
        <w:t>mln</w:t>
      </w:r>
      <w:r w:rsidR="008B58AE" w:rsidRPr="0066216E">
        <w:rPr>
          <w:rFonts w:cstheme="minorHAnsi"/>
        </w:rPr>
        <w:t xml:space="preserve"> uncji). Wg. oceny Ministerstwa Rozwoju Kopalnictwa Ekologicznego produkcja będzie wynosić ok. 1,2 </w:t>
      </w:r>
      <w:r w:rsidR="008B58AE">
        <w:rPr>
          <w:rFonts w:cstheme="minorHAnsi"/>
        </w:rPr>
        <w:t>mln</w:t>
      </w:r>
      <w:r w:rsidR="008B58AE" w:rsidRPr="0066216E">
        <w:rPr>
          <w:rFonts w:cstheme="minorHAnsi"/>
        </w:rPr>
        <w:t xml:space="preserve"> uncji złota rocznie przez okres kilkunastu lat. </w:t>
      </w:r>
    </w:p>
    <w:p w14:paraId="699C6E8F" w14:textId="015AA187" w:rsidR="0066216E" w:rsidRPr="0066216E" w:rsidRDefault="0066216E" w:rsidP="008B58AE">
      <w:pPr>
        <w:jc w:val="both"/>
        <w:rPr>
          <w:rFonts w:eastAsia="Times New Roman" w:cstheme="minorHAnsi"/>
          <w:lang w:eastAsia="pl-PL"/>
        </w:rPr>
      </w:pPr>
      <w:r w:rsidRPr="0066216E">
        <w:rPr>
          <w:rFonts w:eastAsia="Times New Roman" w:cstheme="minorHAnsi"/>
          <w:lang w:eastAsia="pl-PL"/>
        </w:rPr>
        <w:t xml:space="preserve">Wenezuela </w:t>
      </w:r>
      <w:r w:rsidR="00C84849">
        <w:rPr>
          <w:rFonts w:eastAsia="Times New Roman" w:cstheme="minorHAnsi"/>
          <w:lang w:eastAsia="pl-PL"/>
        </w:rPr>
        <w:t>posiada</w:t>
      </w:r>
      <w:r w:rsidRPr="0066216E">
        <w:rPr>
          <w:rFonts w:eastAsia="Times New Roman" w:cstheme="minorHAnsi"/>
          <w:lang w:eastAsia="pl-PL"/>
        </w:rPr>
        <w:t xml:space="preserve"> także znaczne złoża diamentów i </w:t>
      </w:r>
      <w:proofErr w:type="spellStart"/>
      <w:r w:rsidR="008B58AE">
        <w:rPr>
          <w:rFonts w:eastAsia="Times New Roman" w:cstheme="minorHAnsi"/>
          <w:lang w:eastAsia="pl-PL"/>
        </w:rPr>
        <w:t>k</w:t>
      </w:r>
      <w:r w:rsidRPr="0066216E">
        <w:rPr>
          <w:rFonts w:eastAsia="Times New Roman" w:cstheme="minorHAnsi"/>
          <w:lang w:eastAsia="pl-PL"/>
        </w:rPr>
        <w:t>oltanu</w:t>
      </w:r>
      <w:proofErr w:type="spellEnd"/>
      <w:r w:rsidRPr="0066216E">
        <w:rPr>
          <w:rFonts w:eastAsia="Times New Roman" w:cstheme="minorHAnsi"/>
          <w:lang w:eastAsia="pl-PL"/>
        </w:rPr>
        <w:t xml:space="preserve">, głównie w regionie Guayana. </w:t>
      </w:r>
      <w:r w:rsidR="00661C92">
        <w:rPr>
          <w:rFonts w:cstheme="minorHAnsi"/>
        </w:rPr>
        <w:t>Jest</w:t>
      </w:r>
      <w:r w:rsidR="008B58AE" w:rsidRPr="0066216E">
        <w:rPr>
          <w:rFonts w:cstheme="minorHAnsi"/>
        </w:rPr>
        <w:t xml:space="preserve"> jednym z siedmiu krajów na świecie, które posiadają złoża </w:t>
      </w:r>
      <w:proofErr w:type="spellStart"/>
      <w:r w:rsidR="008B58AE" w:rsidRPr="0066216E">
        <w:rPr>
          <w:rFonts w:cstheme="minorHAnsi"/>
        </w:rPr>
        <w:t>koltanu</w:t>
      </w:r>
      <w:proofErr w:type="spellEnd"/>
      <w:r w:rsidR="008B58AE">
        <w:rPr>
          <w:rFonts w:cstheme="minorHAnsi"/>
        </w:rPr>
        <w:t>, co s</w:t>
      </w:r>
      <w:r w:rsidRPr="0066216E">
        <w:rPr>
          <w:rFonts w:eastAsia="Times New Roman" w:cstheme="minorHAnsi"/>
          <w:lang w:eastAsia="pl-PL"/>
        </w:rPr>
        <w:t xml:space="preserve">prawia, że </w:t>
      </w:r>
      <w:r w:rsidR="00C84849">
        <w:rPr>
          <w:rFonts w:eastAsia="Times New Roman" w:cstheme="minorHAnsi"/>
          <w:lang w:eastAsia="pl-PL"/>
        </w:rPr>
        <w:t xml:space="preserve">Wenezuela </w:t>
      </w:r>
      <w:r w:rsidRPr="0066216E">
        <w:rPr>
          <w:rFonts w:eastAsia="Times New Roman" w:cstheme="minorHAnsi"/>
          <w:lang w:eastAsia="pl-PL"/>
        </w:rPr>
        <w:t>ma potencjał, by stać się ważnym graczem w globalnym łańcuchu dostaw technologicznych.</w:t>
      </w:r>
    </w:p>
    <w:p w14:paraId="314A57A4" w14:textId="77777777" w:rsidR="0066216E" w:rsidRPr="0066216E" w:rsidRDefault="0066216E" w:rsidP="0066216E">
      <w:pPr>
        <w:spacing w:after="120"/>
        <w:jc w:val="both"/>
        <w:rPr>
          <w:rFonts w:eastAsia="Times New Roman" w:cstheme="minorHAnsi"/>
          <w:lang w:eastAsia="pl-PL"/>
        </w:rPr>
      </w:pPr>
      <w:r w:rsidRPr="0066216E">
        <w:rPr>
          <w:rFonts w:eastAsia="Times New Roman" w:cstheme="minorHAnsi"/>
          <w:lang w:eastAsia="pl-PL"/>
        </w:rPr>
        <w:t xml:space="preserve">W rejonie Guayana, a także w San </w:t>
      </w:r>
      <w:proofErr w:type="spellStart"/>
      <w:r w:rsidRPr="0066216E">
        <w:rPr>
          <w:rFonts w:eastAsia="Times New Roman" w:cstheme="minorHAnsi"/>
          <w:lang w:eastAsia="pl-PL"/>
        </w:rPr>
        <w:t>Isidro</w:t>
      </w:r>
      <w:proofErr w:type="spellEnd"/>
      <w:r w:rsidRPr="0066216E">
        <w:rPr>
          <w:rFonts w:eastAsia="Times New Roman" w:cstheme="minorHAnsi"/>
          <w:lang w:eastAsia="pl-PL"/>
        </w:rPr>
        <w:t xml:space="preserve"> i El Callao, Wenezuela posiada złoża rudy żelaza. W ostatnich latach ich wydobycie jest utrudnione głównie z powodu braku odpowiedniej infrastruktury, złego zarządzania i niedoboru inwestycji. Mimo to Wenezuela nadal produkuje rudę żelaza, choć w znacznie mniejszych ilościach niż w przeszłości.</w:t>
      </w:r>
    </w:p>
    <w:p w14:paraId="0C10F371" w14:textId="45F92612" w:rsidR="0066216E" w:rsidRDefault="0066216E" w:rsidP="0066216E">
      <w:pPr>
        <w:spacing w:after="120"/>
        <w:jc w:val="both"/>
        <w:rPr>
          <w:rFonts w:eastAsia="Times New Roman" w:cstheme="minorHAnsi"/>
          <w:lang w:eastAsia="pl-PL"/>
        </w:rPr>
      </w:pPr>
      <w:r w:rsidRPr="0066216E">
        <w:rPr>
          <w:rFonts w:eastAsia="Times New Roman" w:cstheme="minorHAnsi"/>
          <w:lang w:eastAsia="pl-PL"/>
        </w:rPr>
        <w:t>Wenezuela jest także producentem boksytu, szczególnie w regionie Guayana, gdzie znajdują się jedne z największych zakładów aluminium na świecie. Produkcja aluminium była kiedyś ważnym sektorem w Wenezueli, ale podobnie jak inne branże, zmaga się z problemami spowodowanymi brakiem inwestycji, korupcją i kryzysem gospodarczym.</w:t>
      </w:r>
    </w:p>
    <w:p w14:paraId="4E01FD48" w14:textId="02081636" w:rsidR="008B58AE" w:rsidRPr="0066216E" w:rsidRDefault="007B3BED" w:rsidP="008B58AE">
      <w:pPr>
        <w:jc w:val="both"/>
        <w:rPr>
          <w:rFonts w:cstheme="minorHAnsi"/>
        </w:rPr>
      </w:pPr>
      <w:r>
        <w:rPr>
          <w:rFonts w:cstheme="minorHAnsi"/>
        </w:rPr>
        <w:t>Ponadto</w:t>
      </w:r>
      <w:r w:rsidR="008B58AE">
        <w:rPr>
          <w:rFonts w:cstheme="minorHAnsi"/>
        </w:rPr>
        <w:t xml:space="preserve"> </w:t>
      </w:r>
      <w:r w:rsidR="008B58AE" w:rsidRPr="0066216E">
        <w:rPr>
          <w:rFonts w:cstheme="minorHAnsi"/>
        </w:rPr>
        <w:t>Wenezuela posiada zasoby niklu, węgla, boksytów, fosfatów, cynku</w:t>
      </w:r>
      <w:r w:rsidR="004545DC">
        <w:rPr>
          <w:rFonts w:cstheme="minorHAnsi"/>
        </w:rPr>
        <w:t xml:space="preserve"> i</w:t>
      </w:r>
      <w:r w:rsidR="008B58AE" w:rsidRPr="0066216E">
        <w:rPr>
          <w:rFonts w:cstheme="minorHAnsi"/>
        </w:rPr>
        <w:t xml:space="preserve"> miedzi.</w:t>
      </w:r>
    </w:p>
    <w:p w14:paraId="4C7DF101" w14:textId="21B081E5" w:rsidR="007D7103" w:rsidRPr="00100C9B" w:rsidRDefault="007D7103" w:rsidP="000B68F8">
      <w:pPr>
        <w:spacing w:after="120"/>
        <w:rPr>
          <w:rFonts w:cstheme="minorHAnsi"/>
          <w:u w:val="single"/>
        </w:rPr>
      </w:pPr>
      <w:r w:rsidRPr="00100C9B">
        <w:rPr>
          <w:rFonts w:cstheme="minorHAnsi"/>
          <w:u w:val="single"/>
        </w:rPr>
        <w:t>Polityka kursowa</w:t>
      </w:r>
    </w:p>
    <w:p w14:paraId="04C53EB2" w14:textId="70230955" w:rsidR="00133911" w:rsidRPr="00133911" w:rsidRDefault="00133911" w:rsidP="008B687D">
      <w:pPr>
        <w:spacing w:after="120"/>
        <w:jc w:val="both"/>
        <w:rPr>
          <w:rFonts w:eastAsia="Times New Roman" w:cstheme="minorHAnsi"/>
          <w:lang w:eastAsia="pl-PL"/>
        </w:rPr>
      </w:pPr>
      <w:r w:rsidRPr="00133911">
        <w:rPr>
          <w:rFonts w:eastAsia="Times New Roman" w:cstheme="minorHAnsi"/>
          <w:lang w:eastAsia="pl-PL"/>
        </w:rPr>
        <w:t xml:space="preserve">Walutą Wenezueli jest </w:t>
      </w:r>
      <w:proofErr w:type="spellStart"/>
      <w:r w:rsidRPr="00133911">
        <w:rPr>
          <w:rFonts w:eastAsia="Times New Roman" w:cstheme="minorHAnsi"/>
          <w:lang w:eastAsia="pl-PL"/>
        </w:rPr>
        <w:t>bolívar</w:t>
      </w:r>
      <w:proofErr w:type="spellEnd"/>
      <w:r w:rsidRPr="00133911">
        <w:rPr>
          <w:rFonts w:eastAsia="Times New Roman" w:cstheme="minorHAnsi"/>
          <w:lang w:eastAsia="pl-PL"/>
        </w:rPr>
        <w:t xml:space="preserve"> </w:t>
      </w:r>
      <w:proofErr w:type="spellStart"/>
      <w:r w:rsidRPr="00133911">
        <w:rPr>
          <w:rFonts w:eastAsia="Times New Roman" w:cstheme="minorHAnsi"/>
          <w:lang w:eastAsia="pl-PL"/>
        </w:rPr>
        <w:t>soberano</w:t>
      </w:r>
      <w:proofErr w:type="spellEnd"/>
      <w:r w:rsidRPr="00133911">
        <w:rPr>
          <w:rFonts w:eastAsia="Times New Roman" w:cstheme="minorHAnsi"/>
          <w:lang w:eastAsia="pl-PL"/>
        </w:rPr>
        <w:t xml:space="preserve"> (</w:t>
      </w:r>
      <w:proofErr w:type="spellStart"/>
      <w:r w:rsidRPr="00133911">
        <w:rPr>
          <w:rFonts w:eastAsia="Times New Roman" w:cstheme="minorHAnsi"/>
          <w:lang w:eastAsia="pl-PL"/>
        </w:rPr>
        <w:t>Bs</w:t>
      </w:r>
      <w:proofErr w:type="spellEnd"/>
      <w:r w:rsidRPr="00133911">
        <w:rPr>
          <w:rFonts w:eastAsia="Times New Roman" w:cstheme="minorHAnsi"/>
          <w:lang w:eastAsia="pl-PL"/>
        </w:rPr>
        <w:t>, VES) – boliwar, który obowiązuje od 2018 r. Na początku grudnia 2024 r</w:t>
      </w:r>
      <w:r>
        <w:rPr>
          <w:rFonts w:eastAsia="Times New Roman" w:cstheme="minorHAnsi"/>
          <w:lang w:eastAsia="pl-PL"/>
        </w:rPr>
        <w:t>.</w:t>
      </w:r>
      <w:r w:rsidRPr="00133911">
        <w:rPr>
          <w:rFonts w:eastAsia="Times New Roman" w:cstheme="minorHAnsi"/>
          <w:lang w:eastAsia="pl-PL"/>
        </w:rPr>
        <w:t xml:space="preserve"> kurs wynosił ok</w:t>
      </w:r>
      <w:r>
        <w:rPr>
          <w:rFonts w:eastAsia="Times New Roman" w:cstheme="minorHAnsi"/>
          <w:lang w:eastAsia="pl-PL"/>
        </w:rPr>
        <w:t>.</w:t>
      </w:r>
      <w:r w:rsidRPr="00133911">
        <w:rPr>
          <w:rFonts w:eastAsia="Times New Roman" w:cstheme="minorHAnsi"/>
          <w:lang w:eastAsia="pl-PL"/>
        </w:rPr>
        <w:t xml:space="preserve"> 47,55 </w:t>
      </w:r>
      <w:proofErr w:type="spellStart"/>
      <w:r w:rsidRPr="00133911">
        <w:rPr>
          <w:rFonts w:eastAsia="Times New Roman" w:cstheme="minorHAnsi"/>
          <w:lang w:eastAsia="pl-PL"/>
        </w:rPr>
        <w:t>Bs</w:t>
      </w:r>
      <w:proofErr w:type="spellEnd"/>
      <w:r w:rsidRPr="00133911">
        <w:rPr>
          <w:rFonts w:eastAsia="Times New Roman" w:cstheme="minorHAnsi"/>
          <w:lang w:eastAsia="pl-PL"/>
        </w:rPr>
        <w:t xml:space="preserve"> za 1 USD.</w:t>
      </w:r>
    </w:p>
    <w:p w14:paraId="1E02F5BA" w14:textId="62ADE42B" w:rsidR="00133911" w:rsidRPr="00133911" w:rsidRDefault="00133911" w:rsidP="008B687D">
      <w:pPr>
        <w:spacing w:after="120"/>
        <w:jc w:val="both"/>
        <w:rPr>
          <w:rFonts w:eastAsia="Times New Roman" w:cstheme="minorHAnsi"/>
          <w:lang w:eastAsia="pl-PL"/>
        </w:rPr>
      </w:pPr>
      <w:r w:rsidRPr="00133911">
        <w:rPr>
          <w:rFonts w:eastAsia="Times New Roman" w:cstheme="minorHAnsi"/>
          <w:lang w:eastAsia="pl-PL"/>
        </w:rPr>
        <w:t>Cechą charakterystyczną wenezuelskiej waluty jest jej wysoka inflacja, utrzymująca się nieprzerwanie od 2016 r. W grudniu 2024 r</w:t>
      </w:r>
      <w:r>
        <w:rPr>
          <w:rFonts w:eastAsia="Times New Roman" w:cstheme="minorHAnsi"/>
          <w:lang w:eastAsia="pl-PL"/>
        </w:rPr>
        <w:t>.</w:t>
      </w:r>
      <w:r w:rsidRPr="00133911">
        <w:rPr>
          <w:rFonts w:eastAsia="Times New Roman" w:cstheme="minorHAnsi"/>
          <w:lang w:eastAsia="pl-PL"/>
        </w:rPr>
        <w:t xml:space="preserve"> skumulowana inflacja od początku roku wyniosła 43%, jednak zauważalne jest jej przyspieszenie po wyborach prezydenckich w lipcu 2024 r.</w:t>
      </w:r>
    </w:p>
    <w:p w14:paraId="7299A9D9" w14:textId="333D653F" w:rsidR="00133911" w:rsidRPr="00133911" w:rsidRDefault="00133911" w:rsidP="008B687D">
      <w:pPr>
        <w:spacing w:after="120"/>
        <w:jc w:val="both"/>
        <w:rPr>
          <w:rFonts w:eastAsia="Times New Roman" w:cstheme="minorHAnsi"/>
          <w:lang w:eastAsia="pl-PL"/>
        </w:rPr>
      </w:pPr>
      <w:r w:rsidRPr="00133911">
        <w:rPr>
          <w:rFonts w:eastAsia="Times New Roman" w:cstheme="minorHAnsi"/>
          <w:lang w:eastAsia="pl-PL"/>
        </w:rPr>
        <w:t xml:space="preserve">Wymiana waluty odbywa się za pośrednictwem banków autoryzowanych przez Bank Centralny Wenezueli (tzw. </w:t>
      </w:r>
      <w:proofErr w:type="spellStart"/>
      <w:r w:rsidRPr="00133911">
        <w:rPr>
          <w:rFonts w:eastAsia="Times New Roman" w:cstheme="minorHAnsi"/>
          <w:i/>
          <w:iCs/>
          <w:lang w:eastAsia="pl-PL"/>
        </w:rPr>
        <w:t>mesas</w:t>
      </w:r>
      <w:proofErr w:type="spellEnd"/>
      <w:r w:rsidRPr="00133911">
        <w:rPr>
          <w:rFonts w:eastAsia="Times New Roman" w:cstheme="minorHAnsi"/>
          <w:i/>
          <w:iCs/>
          <w:lang w:eastAsia="pl-PL"/>
        </w:rPr>
        <w:t xml:space="preserve"> de </w:t>
      </w:r>
      <w:proofErr w:type="spellStart"/>
      <w:r w:rsidRPr="00133911">
        <w:rPr>
          <w:rFonts w:eastAsia="Times New Roman" w:cstheme="minorHAnsi"/>
          <w:i/>
          <w:iCs/>
          <w:lang w:eastAsia="pl-PL"/>
        </w:rPr>
        <w:t>cambio</w:t>
      </w:r>
      <w:proofErr w:type="spellEnd"/>
      <w:r w:rsidRPr="00133911">
        <w:rPr>
          <w:rFonts w:eastAsia="Times New Roman" w:cstheme="minorHAnsi"/>
          <w:lang w:eastAsia="pl-PL"/>
        </w:rPr>
        <w:t>). Rynek w Wenezueli jest zdolaryzowany – ceny są podawane w USD</w:t>
      </w:r>
      <w:r>
        <w:rPr>
          <w:rFonts w:eastAsia="Times New Roman" w:cstheme="minorHAnsi"/>
          <w:lang w:eastAsia="pl-PL"/>
        </w:rPr>
        <w:t xml:space="preserve"> i </w:t>
      </w:r>
      <w:r w:rsidRPr="00133911">
        <w:rPr>
          <w:rFonts w:eastAsia="Times New Roman" w:cstheme="minorHAnsi"/>
          <w:lang w:eastAsia="pl-PL"/>
        </w:rPr>
        <w:t>za większość produktów i usług można płacić dolarami amerykańskimi (gotówką). W urzędach państwowych obowiązują opłaty w boliwarach.</w:t>
      </w:r>
    </w:p>
    <w:p w14:paraId="0C15DC67" w14:textId="05FB18FF" w:rsidR="00133911" w:rsidRPr="00133911" w:rsidRDefault="00133911" w:rsidP="008B687D">
      <w:pPr>
        <w:spacing w:after="120"/>
        <w:jc w:val="both"/>
        <w:rPr>
          <w:rFonts w:eastAsia="Times New Roman" w:cstheme="minorHAnsi"/>
          <w:lang w:eastAsia="pl-PL"/>
        </w:rPr>
      </w:pPr>
      <w:r w:rsidRPr="00133911">
        <w:rPr>
          <w:rFonts w:eastAsia="Times New Roman" w:cstheme="minorHAnsi"/>
          <w:lang w:eastAsia="pl-PL"/>
        </w:rPr>
        <w:t xml:space="preserve">Poza oficjalnym kursem USD/VES ustalanym przez Bank Centralny Wenezueli, istnieje także kurs rynkowy, który obecnie (w grudniu 2024 r.) jest o 10-20% wyższy niż kurs oficjalny. Rozbieżność tych kursów wynika z niedostatecznej dostępności USD w oficjalnych punktach wymiany (popyt przewyższa podaż), co prowadzi do wyższego kursu rynkowego. </w:t>
      </w:r>
      <w:r w:rsidR="00661C92">
        <w:rPr>
          <w:rFonts w:eastAsia="Times New Roman" w:cstheme="minorHAnsi"/>
          <w:lang w:eastAsia="pl-PL"/>
        </w:rPr>
        <w:t>Ponadto c</w:t>
      </w:r>
      <w:r w:rsidRPr="00133911">
        <w:rPr>
          <w:rFonts w:eastAsia="Times New Roman" w:cstheme="minorHAnsi"/>
          <w:lang w:eastAsia="pl-PL"/>
        </w:rPr>
        <w:t xml:space="preserve">zęsto osoby mające dostęp do </w:t>
      </w:r>
      <w:r w:rsidRPr="00133911">
        <w:rPr>
          <w:rFonts w:eastAsia="Times New Roman" w:cstheme="minorHAnsi"/>
          <w:lang w:eastAsia="pl-PL"/>
        </w:rPr>
        <w:lastRenderedPageBreak/>
        <w:t>oficjalnych punktów wymiany sprzedają USD nielegalnie po cenie rynkowej, co uniemożliwia zakup dolarów amerykańskich w oficjalnym obiegu.</w:t>
      </w:r>
    </w:p>
    <w:p w14:paraId="08B3A2C8" w14:textId="77777777" w:rsidR="00965C3A" w:rsidRPr="00100C9B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00C9B">
        <w:rPr>
          <w:rFonts w:asciiTheme="minorHAnsi" w:hAnsiTheme="minorHAnsi" w:cstheme="minorHAnsi"/>
          <w:b/>
          <w:bCs/>
          <w:sz w:val="22"/>
        </w:rPr>
        <w:t>Stan infrastruktury</w:t>
      </w:r>
    </w:p>
    <w:p w14:paraId="6E787918" w14:textId="0DF272E0" w:rsidR="00965C3A" w:rsidRPr="0066216E" w:rsidRDefault="00965C3A" w:rsidP="008B687D">
      <w:pPr>
        <w:spacing w:after="120"/>
        <w:jc w:val="both"/>
        <w:rPr>
          <w:rFonts w:cstheme="minorHAnsi"/>
        </w:rPr>
      </w:pPr>
      <w:r w:rsidRPr="0066216E">
        <w:rPr>
          <w:rFonts w:cstheme="minorHAnsi"/>
        </w:rPr>
        <w:t xml:space="preserve">Główne miasta Wenezueli łączy sieć autostrad. W ostatnich latach stan infrastruktury drogowej zdecydowanie się pogorszył. Ze względu na brak sieci </w:t>
      </w:r>
      <w:r w:rsidR="00661C92" w:rsidRPr="0066216E">
        <w:rPr>
          <w:rFonts w:cstheme="minorHAnsi"/>
        </w:rPr>
        <w:t>kole</w:t>
      </w:r>
      <w:r w:rsidR="00661C92">
        <w:rPr>
          <w:rFonts w:cstheme="minorHAnsi"/>
        </w:rPr>
        <w:t>jowej</w:t>
      </w:r>
      <w:r w:rsidRPr="0066216E">
        <w:rPr>
          <w:rFonts w:cstheme="minorHAnsi"/>
        </w:rPr>
        <w:t xml:space="preserve"> oraz niski koszt paliwa, transport odbywa się zasadniczo </w:t>
      </w:r>
      <w:r w:rsidR="00C84849">
        <w:rPr>
          <w:rFonts w:cstheme="minorHAnsi"/>
        </w:rPr>
        <w:t>drogami</w:t>
      </w:r>
      <w:r w:rsidRPr="0066216E">
        <w:rPr>
          <w:rFonts w:cstheme="minorHAnsi"/>
        </w:rPr>
        <w:t xml:space="preserve">. </w:t>
      </w:r>
      <w:r w:rsidRPr="00C84849">
        <w:rPr>
          <w:rFonts w:cstheme="minorHAnsi"/>
        </w:rPr>
        <w:t xml:space="preserve">Do niektórych części kraju możliwe jest dotarcie jedynie drogą </w:t>
      </w:r>
      <w:r w:rsidR="00C84849" w:rsidRPr="00C84849">
        <w:rPr>
          <w:rFonts w:cstheme="minorHAnsi"/>
        </w:rPr>
        <w:t>wodną</w:t>
      </w:r>
      <w:r w:rsidRPr="00C84849">
        <w:rPr>
          <w:rFonts w:cstheme="minorHAnsi"/>
        </w:rPr>
        <w:t xml:space="preserve"> (wysepki i niektóre osady na wybrzeżu</w:t>
      </w:r>
      <w:r w:rsidR="00C84849" w:rsidRPr="00C84849">
        <w:rPr>
          <w:rFonts w:cstheme="minorHAnsi"/>
        </w:rPr>
        <w:t xml:space="preserve"> ora</w:t>
      </w:r>
      <w:r w:rsidR="008B687D">
        <w:rPr>
          <w:rFonts w:cstheme="minorHAnsi"/>
        </w:rPr>
        <w:t>z</w:t>
      </w:r>
      <w:r w:rsidR="00C84849" w:rsidRPr="00C84849">
        <w:rPr>
          <w:rFonts w:cstheme="minorHAnsi"/>
        </w:rPr>
        <w:t xml:space="preserve"> </w:t>
      </w:r>
      <w:r w:rsidR="008B687D">
        <w:rPr>
          <w:rFonts w:cstheme="minorHAnsi"/>
        </w:rPr>
        <w:t>w stanach</w:t>
      </w:r>
      <w:r w:rsidR="00C84849" w:rsidRPr="00C84849">
        <w:rPr>
          <w:rFonts w:cstheme="minorHAnsi"/>
        </w:rPr>
        <w:t xml:space="preserve"> </w:t>
      </w:r>
      <w:r w:rsidRPr="00C84849">
        <w:rPr>
          <w:rFonts w:cstheme="minorHAnsi"/>
        </w:rPr>
        <w:t xml:space="preserve">Delta </w:t>
      </w:r>
      <w:proofErr w:type="spellStart"/>
      <w:r w:rsidRPr="00C84849">
        <w:rPr>
          <w:rFonts w:cstheme="minorHAnsi"/>
        </w:rPr>
        <w:t>Amacuro</w:t>
      </w:r>
      <w:proofErr w:type="spellEnd"/>
      <w:r w:rsidR="00C84849" w:rsidRPr="00C84849">
        <w:rPr>
          <w:rFonts w:cstheme="minorHAnsi"/>
        </w:rPr>
        <w:t xml:space="preserve"> i</w:t>
      </w:r>
      <w:r w:rsidRPr="00C84849">
        <w:rPr>
          <w:rFonts w:cstheme="minorHAnsi"/>
        </w:rPr>
        <w:t xml:space="preserve"> Zulia) lub lotniczą (stan</w:t>
      </w:r>
      <w:r w:rsidR="00C84849" w:rsidRPr="00C84849">
        <w:rPr>
          <w:rFonts w:cstheme="minorHAnsi"/>
        </w:rPr>
        <w:t>y</w:t>
      </w:r>
      <w:r w:rsidRPr="00C84849">
        <w:rPr>
          <w:rFonts w:cstheme="minorHAnsi"/>
        </w:rPr>
        <w:t xml:space="preserve"> Bolivar</w:t>
      </w:r>
      <w:r w:rsidR="00C84849" w:rsidRPr="00C84849">
        <w:rPr>
          <w:rFonts w:cstheme="minorHAnsi"/>
        </w:rPr>
        <w:t xml:space="preserve"> i</w:t>
      </w:r>
      <w:r w:rsidRPr="00C84849">
        <w:rPr>
          <w:rFonts w:cstheme="minorHAnsi"/>
        </w:rPr>
        <w:t xml:space="preserve"> Amazonas).</w:t>
      </w:r>
    </w:p>
    <w:p w14:paraId="1ECA6E87" w14:textId="708FB82F" w:rsidR="00965C3A" w:rsidRPr="0066216E" w:rsidRDefault="00965C3A" w:rsidP="008B687D">
      <w:pPr>
        <w:spacing w:after="120"/>
        <w:jc w:val="both"/>
        <w:rPr>
          <w:rFonts w:cstheme="minorHAnsi"/>
        </w:rPr>
      </w:pPr>
      <w:r w:rsidRPr="0066216E">
        <w:rPr>
          <w:rFonts w:cstheme="minorHAnsi"/>
        </w:rPr>
        <w:t xml:space="preserve">Jakość autostrad znacznie pogorszyła się z powodu braku inwestycji, bieżącej konserwacji oraz z </w:t>
      </w:r>
      <w:r w:rsidR="00C84849">
        <w:rPr>
          <w:rFonts w:cstheme="minorHAnsi"/>
        </w:rPr>
        <w:t>powodu</w:t>
      </w:r>
      <w:r w:rsidRPr="0066216E">
        <w:rPr>
          <w:rFonts w:cstheme="minorHAnsi"/>
        </w:rPr>
        <w:t xml:space="preserve"> duże</w:t>
      </w:r>
      <w:r w:rsidR="00C84849">
        <w:rPr>
          <w:rFonts w:cstheme="minorHAnsi"/>
        </w:rPr>
        <w:t>go</w:t>
      </w:r>
      <w:r w:rsidRPr="0066216E">
        <w:rPr>
          <w:rFonts w:cstheme="minorHAnsi"/>
        </w:rPr>
        <w:t xml:space="preserve"> obciążeni</w:t>
      </w:r>
      <w:r w:rsidR="00C84849">
        <w:rPr>
          <w:rFonts w:cstheme="minorHAnsi"/>
        </w:rPr>
        <w:t>a</w:t>
      </w:r>
      <w:r w:rsidRPr="0066216E">
        <w:rPr>
          <w:rFonts w:cstheme="minorHAnsi"/>
        </w:rPr>
        <w:t xml:space="preserve"> transportem ciężarowym (</w:t>
      </w:r>
      <w:r w:rsidR="00661C92">
        <w:rPr>
          <w:rFonts w:cstheme="minorHAnsi"/>
        </w:rPr>
        <w:t>k</w:t>
      </w:r>
      <w:r w:rsidRPr="0066216E">
        <w:rPr>
          <w:rFonts w:cstheme="minorHAnsi"/>
        </w:rPr>
        <w:t>oszt paliwa był bardzo niski, stąd transport</w:t>
      </w:r>
      <w:r w:rsidR="008B687D">
        <w:rPr>
          <w:rFonts w:cstheme="minorHAnsi"/>
        </w:rPr>
        <w:t xml:space="preserve"> </w:t>
      </w:r>
      <w:r w:rsidRPr="0066216E">
        <w:rPr>
          <w:rFonts w:cstheme="minorHAnsi"/>
        </w:rPr>
        <w:t xml:space="preserve"> osobowy </w:t>
      </w:r>
      <w:r w:rsidR="008B687D">
        <w:rPr>
          <w:rFonts w:cstheme="minorHAnsi"/>
        </w:rPr>
        <w:t>oraz</w:t>
      </w:r>
      <w:r w:rsidRPr="0066216E">
        <w:rPr>
          <w:rFonts w:cstheme="minorHAnsi"/>
        </w:rPr>
        <w:t xml:space="preserve"> ciężarowy był praktycznie </w:t>
      </w:r>
      <w:r w:rsidR="00C84849">
        <w:rPr>
          <w:rFonts w:cstheme="minorHAnsi"/>
        </w:rPr>
        <w:t>za darmo</w:t>
      </w:r>
      <w:r w:rsidRPr="0066216E">
        <w:rPr>
          <w:rFonts w:cstheme="minorHAnsi"/>
        </w:rPr>
        <w:t xml:space="preserve"> i nie przywiązywano wagi do rozwoju infrastruktury kolejowej</w:t>
      </w:r>
      <w:r w:rsidR="00C84849">
        <w:rPr>
          <w:rFonts w:cstheme="minorHAnsi"/>
        </w:rPr>
        <w:t>)</w:t>
      </w:r>
      <w:r w:rsidRPr="0066216E">
        <w:rPr>
          <w:rFonts w:cstheme="minorHAnsi"/>
        </w:rPr>
        <w:t xml:space="preserve">. W 2020 r. doszło do załamania krajowej produkcji benzyny, co </w:t>
      </w:r>
      <w:r w:rsidR="00C84849">
        <w:rPr>
          <w:rFonts w:cstheme="minorHAnsi"/>
        </w:rPr>
        <w:t>spowodowało</w:t>
      </w:r>
      <w:r w:rsidRPr="0066216E">
        <w:rPr>
          <w:rFonts w:cstheme="minorHAnsi"/>
        </w:rPr>
        <w:t xml:space="preserve"> bardzo długie kolejki na stacjach benzynowych i rozkwit czarnego rynku paliw</w:t>
      </w:r>
      <w:r w:rsidR="00C84849">
        <w:rPr>
          <w:rFonts w:cstheme="minorHAnsi"/>
        </w:rPr>
        <w:t>owego</w:t>
      </w:r>
      <w:r w:rsidRPr="0066216E">
        <w:rPr>
          <w:rFonts w:cstheme="minorHAnsi"/>
        </w:rPr>
        <w:t>. Wenezuela zaczęła sprowadzać paliwo i rozpoczę</w:t>
      </w:r>
      <w:r w:rsidR="00A411E0">
        <w:rPr>
          <w:rFonts w:cstheme="minorHAnsi"/>
        </w:rPr>
        <w:t>to</w:t>
      </w:r>
      <w:r w:rsidRPr="0066216E">
        <w:rPr>
          <w:rFonts w:cstheme="minorHAnsi"/>
        </w:rPr>
        <w:t xml:space="preserve"> plan</w:t>
      </w:r>
      <w:r w:rsidR="00A411E0">
        <w:rPr>
          <w:rFonts w:cstheme="minorHAnsi"/>
        </w:rPr>
        <w:t xml:space="preserve"> jego</w:t>
      </w:r>
      <w:r w:rsidRPr="0066216E">
        <w:rPr>
          <w:rFonts w:cstheme="minorHAnsi"/>
        </w:rPr>
        <w:t xml:space="preserve"> dystrybucji, w którym mają współistnieć dwa systemy: paliwo subsydiowane dla osób zarejestrowanych w systemie Patria (tylko dla obywateli Wenezueli) oraz benzyna „w cenie międzynarodowej” sprzedawana w cenie 0,5 USD za litr. Dostawy paliwa są bardzo nieregularne. Poza Caracas okresowe braki paliwa są zjawiskiem normalnym. W niektórych stanach „przydziały paliwa” są niewystarczające i sprzedawane są nielegalnie po wyższych cenach, co powoduje wyprowadzenie paliwa z oficjalnego obiegu (np. stan Bolivar). </w:t>
      </w:r>
    </w:p>
    <w:p w14:paraId="2C1EAA3B" w14:textId="77777777" w:rsidR="00A411E0" w:rsidRDefault="00A411E0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</w:p>
    <w:p w14:paraId="56FEFE98" w14:textId="5499D21E" w:rsidR="00965C3A" w:rsidRPr="00100C9B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00C9B">
        <w:rPr>
          <w:rFonts w:asciiTheme="minorHAnsi" w:hAnsiTheme="minorHAnsi" w:cstheme="minorHAnsi"/>
          <w:b/>
          <w:bCs/>
          <w:sz w:val="22"/>
        </w:rPr>
        <w:t>Kalendarz dni wolnych od pracy</w:t>
      </w:r>
    </w:p>
    <w:p w14:paraId="73D669DF" w14:textId="77777777" w:rsidR="007D7103" w:rsidRPr="0066216E" w:rsidRDefault="00965C3A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1 stycznia - Nowy Rok</w:t>
      </w:r>
    </w:p>
    <w:p w14:paraId="72AED6CD" w14:textId="455F8372" w:rsidR="007D7103" w:rsidRPr="0066216E" w:rsidRDefault="007D7103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2 ostatnie dni Karnawału</w:t>
      </w:r>
      <w:r w:rsidR="00661C92">
        <w:rPr>
          <w:rFonts w:cstheme="minorHAnsi"/>
          <w:color w:val="1B1B1B"/>
          <w:shd w:val="clear" w:color="auto" w:fill="FFFFFF"/>
        </w:rPr>
        <w:t xml:space="preserve"> – święto ruchome </w:t>
      </w:r>
    </w:p>
    <w:p w14:paraId="1829601A" w14:textId="313B2926" w:rsidR="007D7103" w:rsidRPr="0066216E" w:rsidRDefault="007D7103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 xml:space="preserve">Wielki Czwartek i Wielki Piątek </w:t>
      </w:r>
      <w:r w:rsidR="00965C3A" w:rsidRPr="0066216E">
        <w:rPr>
          <w:rFonts w:cstheme="minorHAnsi"/>
          <w:color w:val="1B1B1B"/>
          <w:shd w:val="clear" w:color="auto" w:fill="FFFFFF"/>
        </w:rPr>
        <w:t>przed Wielkanocą</w:t>
      </w:r>
      <w:r w:rsidR="00661C92">
        <w:rPr>
          <w:rFonts w:cstheme="minorHAnsi"/>
          <w:color w:val="1B1B1B"/>
          <w:shd w:val="clear" w:color="auto" w:fill="FFFFFF"/>
        </w:rPr>
        <w:t xml:space="preserve"> – święto ruchome</w:t>
      </w:r>
    </w:p>
    <w:p w14:paraId="12E6B6D1" w14:textId="77777777" w:rsidR="007D7103" w:rsidRPr="0066216E" w:rsidRDefault="00965C3A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19 kwietnia  – Deklaracja Niepodległości</w:t>
      </w:r>
    </w:p>
    <w:p w14:paraId="706239E7" w14:textId="77777777" w:rsidR="007D7103" w:rsidRPr="0066216E" w:rsidRDefault="00965C3A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1 Maja –  Święto Pracy</w:t>
      </w:r>
    </w:p>
    <w:p w14:paraId="150FCE29" w14:textId="77777777" w:rsidR="007D7103" w:rsidRPr="0066216E" w:rsidRDefault="00965C3A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24 czerwca – rocznica bitwy pod Carabobo</w:t>
      </w:r>
    </w:p>
    <w:p w14:paraId="4AC4DAC9" w14:textId="77777777" w:rsidR="007D7103" w:rsidRPr="0066216E" w:rsidRDefault="00965C3A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5 lipca – Dzień Niepodległości</w:t>
      </w:r>
    </w:p>
    <w:p w14:paraId="3A9777D5" w14:textId="77777777" w:rsidR="007D7103" w:rsidRPr="0066216E" w:rsidRDefault="00965C3A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24 lipca – rocznica urodzin Simona Boliwara</w:t>
      </w:r>
    </w:p>
    <w:p w14:paraId="2BF96BBA" w14:textId="77777777" w:rsidR="007D7103" w:rsidRPr="0066216E" w:rsidRDefault="007D7103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1</w:t>
      </w:r>
      <w:r w:rsidR="00965C3A" w:rsidRPr="0066216E">
        <w:rPr>
          <w:rFonts w:cstheme="minorHAnsi"/>
          <w:color w:val="1B1B1B"/>
          <w:shd w:val="clear" w:color="auto" w:fill="FFFFFF"/>
        </w:rPr>
        <w:t>2 października – Dzień Indiańskiego Oporu</w:t>
      </w:r>
    </w:p>
    <w:p w14:paraId="2716C3F2" w14:textId="45A65A17" w:rsidR="007D7103" w:rsidRPr="0066216E" w:rsidRDefault="00965C3A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25 grudnia – Boże Narodzenie.</w:t>
      </w:r>
    </w:p>
    <w:p w14:paraId="0F79E6FC" w14:textId="550BE1DE" w:rsidR="00965C3A" w:rsidRDefault="007D7103" w:rsidP="00C84849">
      <w:pPr>
        <w:spacing w:after="12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Ponadto w n</w:t>
      </w:r>
      <w:r w:rsidR="00965C3A" w:rsidRPr="0066216E">
        <w:rPr>
          <w:rFonts w:cstheme="minorHAnsi"/>
          <w:color w:val="1B1B1B"/>
          <w:shd w:val="clear" w:color="auto" w:fill="FFFFFF"/>
        </w:rPr>
        <w:t xml:space="preserve">iektóre poniedziałki </w:t>
      </w:r>
      <w:r w:rsidRPr="0066216E">
        <w:rPr>
          <w:rFonts w:cstheme="minorHAnsi"/>
          <w:color w:val="1B1B1B"/>
          <w:shd w:val="clear" w:color="auto" w:fill="FFFFFF"/>
        </w:rPr>
        <w:t xml:space="preserve">wszystkie banki są nieczynne </w:t>
      </w:r>
      <w:r w:rsidR="00965C3A" w:rsidRPr="0066216E">
        <w:rPr>
          <w:rFonts w:cstheme="minorHAnsi"/>
          <w:color w:val="1B1B1B"/>
          <w:shd w:val="clear" w:color="auto" w:fill="FFFFFF"/>
        </w:rPr>
        <w:t>(mniej więcej raz na 6 tygodni)</w:t>
      </w:r>
      <w:r w:rsidRPr="0066216E">
        <w:rPr>
          <w:rFonts w:cstheme="minorHAnsi"/>
          <w:color w:val="1B1B1B"/>
          <w:shd w:val="clear" w:color="auto" w:fill="FFFFFF"/>
        </w:rPr>
        <w:t xml:space="preserve"> - s</w:t>
      </w:r>
      <w:r w:rsidR="00965C3A" w:rsidRPr="0066216E">
        <w:rPr>
          <w:rFonts w:cstheme="minorHAnsi"/>
          <w:color w:val="1B1B1B"/>
          <w:shd w:val="clear" w:color="auto" w:fill="FFFFFF"/>
        </w:rPr>
        <w:t xml:space="preserve">ą tzw. </w:t>
      </w:r>
      <w:r w:rsidR="00133911" w:rsidRPr="0066216E">
        <w:rPr>
          <w:rFonts w:cstheme="minorHAnsi"/>
          <w:color w:val="1B1B1B"/>
          <w:shd w:val="clear" w:color="auto" w:fill="FFFFFF"/>
        </w:rPr>
        <w:t xml:space="preserve">bankowe </w:t>
      </w:r>
      <w:r w:rsidR="00965C3A" w:rsidRPr="0066216E">
        <w:rPr>
          <w:rFonts w:cstheme="minorHAnsi"/>
          <w:color w:val="1B1B1B"/>
          <w:shd w:val="clear" w:color="auto" w:fill="FFFFFF"/>
        </w:rPr>
        <w:t>poniedziałk</w:t>
      </w:r>
      <w:r w:rsidRPr="0066216E">
        <w:rPr>
          <w:rFonts w:cstheme="minorHAnsi"/>
          <w:color w:val="1B1B1B"/>
          <w:shd w:val="clear" w:color="auto" w:fill="FFFFFF"/>
        </w:rPr>
        <w:t>i</w:t>
      </w:r>
      <w:r w:rsidR="00965C3A" w:rsidRPr="0066216E">
        <w:rPr>
          <w:rFonts w:cstheme="minorHAnsi"/>
          <w:color w:val="1B1B1B"/>
          <w:shd w:val="clear" w:color="auto" w:fill="FFFFFF"/>
        </w:rPr>
        <w:t>.</w:t>
      </w:r>
    </w:p>
    <w:p w14:paraId="43E4E441" w14:textId="77777777" w:rsidR="00C84849" w:rsidRPr="0066216E" w:rsidRDefault="00C84849" w:rsidP="00C84849">
      <w:pPr>
        <w:spacing w:after="120" w:line="240" w:lineRule="auto"/>
        <w:jc w:val="both"/>
        <w:rPr>
          <w:rFonts w:cstheme="minorHAnsi"/>
        </w:rPr>
      </w:pPr>
    </w:p>
    <w:bookmarkEnd w:id="1"/>
    <w:p w14:paraId="529F1C40" w14:textId="547BC9A4" w:rsidR="00965C3A" w:rsidRPr="00661C92" w:rsidRDefault="00100C9B" w:rsidP="00661C92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cstheme="minorHAnsi"/>
        </w:rPr>
      </w:pPr>
      <w:r w:rsidRPr="00661C92">
        <w:rPr>
          <w:rFonts w:cstheme="minorHAnsi"/>
        </w:rPr>
        <w:t xml:space="preserve">PODSTAWOWE DANE MAKROEKONOMICZNE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497"/>
        <w:gridCol w:w="1452"/>
        <w:gridCol w:w="1559"/>
        <w:gridCol w:w="1552"/>
      </w:tblGrid>
      <w:tr w:rsidR="00965C3A" w:rsidRPr="0066216E" w14:paraId="022326B2" w14:textId="77777777" w:rsidTr="009C1A81">
        <w:trPr>
          <w:trHeight w:val="312"/>
        </w:trPr>
        <w:tc>
          <w:tcPr>
            <w:tcW w:w="9060" w:type="dxa"/>
            <w:gridSpan w:val="4"/>
            <w:noWrap/>
            <w:hideMark/>
          </w:tcPr>
          <w:p w14:paraId="3D0BA0C3" w14:textId="77777777" w:rsidR="00965C3A" w:rsidRPr="0066216E" w:rsidRDefault="00965C3A" w:rsidP="009C1A81">
            <w:pPr>
              <w:rPr>
                <w:rFonts w:cstheme="minorHAnsi"/>
                <w:b/>
                <w:bCs/>
              </w:rPr>
            </w:pPr>
            <w:r w:rsidRPr="0066216E">
              <w:rPr>
                <w:rFonts w:cstheme="minorHAnsi"/>
                <w:b/>
                <w:bCs/>
              </w:rPr>
              <w:t>Podstawowe dane makroekonomiczne</w:t>
            </w:r>
          </w:p>
        </w:tc>
      </w:tr>
      <w:tr w:rsidR="00965C3A" w:rsidRPr="0066216E" w14:paraId="4FF4D37E" w14:textId="77777777" w:rsidTr="009C1A81">
        <w:trPr>
          <w:trHeight w:val="324"/>
        </w:trPr>
        <w:tc>
          <w:tcPr>
            <w:tcW w:w="4497" w:type="dxa"/>
            <w:noWrap/>
            <w:hideMark/>
          </w:tcPr>
          <w:p w14:paraId="19902394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</w:t>
            </w:r>
          </w:p>
        </w:tc>
        <w:tc>
          <w:tcPr>
            <w:tcW w:w="1452" w:type="dxa"/>
            <w:noWrap/>
            <w:hideMark/>
          </w:tcPr>
          <w:p w14:paraId="49B19EFD" w14:textId="77777777" w:rsidR="00965C3A" w:rsidRPr="0066216E" w:rsidRDefault="00965C3A" w:rsidP="009C1A81">
            <w:pPr>
              <w:rPr>
                <w:rFonts w:cstheme="minorHAnsi"/>
                <w:b/>
                <w:bCs/>
              </w:rPr>
            </w:pPr>
            <w:r w:rsidRPr="0066216E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1559" w:type="dxa"/>
            <w:noWrap/>
            <w:hideMark/>
          </w:tcPr>
          <w:p w14:paraId="3E2D1F8F" w14:textId="77777777" w:rsidR="00965C3A" w:rsidRPr="0066216E" w:rsidRDefault="00965C3A" w:rsidP="009C1A81">
            <w:pPr>
              <w:rPr>
                <w:rFonts w:cstheme="minorHAnsi"/>
                <w:b/>
                <w:bCs/>
              </w:rPr>
            </w:pPr>
            <w:r w:rsidRPr="0066216E">
              <w:rPr>
                <w:rFonts w:cstheme="minorHAnsi"/>
                <w:b/>
                <w:bCs/>
              </w:rPr>
              <w:t>2024 (prognoza)</w:t>
            </w:r>
          </w:p>
        </w:tc>
        <w:tc>
          <w:tcPr>
            <w:tcW w:w="1552" w:type="dxa"/>
            <w:noWrap/>
            <w:hideMark/>
          </w:tcPr>
          <w:p w14:paraId="64208E02" w14:textId="77777777" w:rsidR="00965C3A" w:rsidRPr="0066216E" w:rsidRDefault="00965C3A" w:rsidP="009C1A81">
            <w:pPr>
              <w:rPr>
                <w:rFonts w:cstheme="minorHAnsi"/>
                <w:b/>
                <w:bCs/>
              </w:rPr>
            </w:pPr>
            <w:r w:rsidRPr="0066216E">
              <w:rPr>
                <w:rFonts w:cstheme="minorHAnsi"/>
                <w:b/>
                <w:bCs/>
              </w:rPr>
              <w:t>2025 (prognoza)</w:t>
            </w:r>
          </w:p>
        </w:tc>
      </w:tr>
      <w:tr w:rsidR="00965C3A" w:rsidRPr="0066216E" w14:paraId="11796682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7E6270C5" w14:textId="77777777" w:rsidR="00965C3A" w:rsidRPr="0066216E" w:rsidRDefault="00BC009E" w:rsidP="009C1A81">
            <w:pPr>
              <w:rPr>
                <w:rFonts w:cstheme="minorHAnsi"/>
              </w:rPr>
            </w:pPr>
            <w:hyperlink r:id="rId7" w:history="1">
              <w:r w:rsidR="00965C3A" w:rsidRPr="0066216E">
                <w:rPr>
                  <w:rStyle w:val="Hipercze"/>
                  <w:rFonts w:cstheme="minorHAnsi"/>
                </w:rPr>
                <w:t>PKB nominalne</w:t>
              </w:r>
            </w:hyperlink>
            <w:r w:rsidR="00965C3A" w:rsidRPr="0066216E">
              <w:rPr>
                <w:rFonts w:cstheme="minorHAnsi"/>
              </w:rPr>
              <w:t xml:space="preserve"> (USD ceny bieżące)</w:t>
            </w:r>
          </w:p>
        </w:tc>
        <w:tc>
          <w:tcPr>
            <w:tcW w:w="1452" w:type="dxa"/>
            <w:noWrap/>
            <w:hideMark/>
          </w:tcPr>
          <w:p w14:paraId="218D3A44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99,2 mld</w:t>
            </w:r>
          </w:p>
        </w:tc>
        <w:tc>
          <w:tcPr>
            <w:tcW w:w="1559" w:type="dxa"/>
            <w:noWrap/>
            <w:hideMark/>
          </w:tcPr>
          <w:p w14:paraId="4201108E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106,33 mld</w:t>
            </w:r>
          </w:p>
        </w:tc>
        <w:tc>
          <w:tcPr>
            <w:tcW w:w="1552" w:type="dxa"/>
            <w:noWrap/>
            <w:hideMark/>
          </w:tcPr>
          <w:p w14:paraId="3DE4E6DC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109,96 mld</w:t>
            </w:r>
          </w:p>
        </w:tc>
      </w:tr>
      <w:tr w:rsidR="00965C3A" w:rsidRPr="0066216E" w14:paraId="28D0C001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795E41DF" w14:textId="77777777" w:rsidR="00965C3A" w:rsidRPr="0066216E" w:rsidRDefault="00BC009E" w:rsidP="009C1A81">
            <w:pPr>
              <w:rPr>
                <w:rFonts w:cstheme="minorHAnsi"/>
              </w:rPr>
            </w:pPr>
            <w:hyperlink r:id="rId8" w:history="1">
              <w:r w:rsidR="00965C3A" w:rsidRPr="0066216E">
                <w:rPr>
                  <w:rStyle w:val="Hipercze"/>
                  <w:rFonts w:cstheme="minorHAnsi"/>
                </w:rPr>
                <w:t>PKB</w:t>
              </w:r>
            </w:hyperlink>
            <w:r w:rsidR="00965C3A" w:rsidRPr="0066216E">
              <w:rPr>
                <w:rFonts w:cstheme="minorHAnsi"/>
              </w:rPr>
              <w:t xml:space="preserve"> (PPP)</w:t>
            </w:r>
          </w:p>
        </w:tc>
        <w:tc>
          <w:tcPr>
            <w:tcW w:w="1452" w:type="dxa"/>
            <w:noWrap/>
            <w:hideMark/>
          </w:tcPr>
          <w:p w14:paraId="3011EE24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210,82 mld</w:t>
            </w:r>
          </w:p>
        </w:tc>
        <w:tc>
          <w:tcPr>
            <w:tcW w:w="1559" w:type="dxa"/>
            <w:noWrap/>
            <w:hideMark/>
          </w:tcPr>
          <w:p w14:paraId="3AE9A4BC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222,36 mld</w:t>
            </w:r>
          </w:p>
        </w:tc>
        <w:tc>
          <w:tcPr>
            <w:tcW w:w="1552" w:type="dxa"/>
            <w:noWrap/>
            <w:hideMark/>
          </w:tcPr>
          <w:p w14:paraId="306188FB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233,18 mld</w:t>
            </w:r>
          </w:p>
        </w:tc>
      </w:tr>
      <w:tr w:rsidR="00965C3A" w:rsidRPr="0066216E" w14:paraId="7F7D0C2E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6B62B064" w14:textId="77777777" w:rsidR="00965C3A" w:rsidRPr="0066216E" w:rsidRDefault="00BC009E" w:rsidP="009C1A81">
            <w:pPr>
              <w:rPr>
                <w:rFonts w:cstheme="minorHAnsi"/>
              </w:rPr>
            </w:pPr>
            <w:hyperlink r:id="rId9" w:history="1">
              <w:r w:rsidR="00965C3A" w:rsidRPr="0066216E">
                <w:rPr>
                  <w:rStyle w:val="Hipercze"/>
                  <w:rFonts w:cstheme="minorHAnsi"/>
                </w:rPr>
                <w:t>Stopa wzrostu PKB</w:t>
              </w:r>
            </w:hyperlink>
            <w:r w:rsidR="00965C3A" w:rsidRPr="0066216E">
              <w:rPr>
                <w:rFonts w:cstheme="minorHAnsi"/>
              </w:rPr>
              <w:t xml:space="preserve"> (realna)</w:t>
            </w:r>
          </w:p>
        </w:tc>
        <w:tc>
          <w:tcPr>
            <w:tcW w:w="1452" w:type="dxa"/>
            <w:noWrap/>
            <w:hideMark/>
          </w:tcPr>
          <w:p w14:paraId="4415D7DA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4</w:t>
            </w:r>
          </w:p>
        </w:tc>
        <w:tc>
          <w:tcPr>
            <w:tcW w:w="1559" w:type="dxa"/>
            <w:noWrap/>
            <w:hideMark/>
          </w:tcPr>
          <w:p w14:paraId="150692DA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3</w:t>
            </w:r>
          </w:p>
        </w:tc>
        <w:tc>
          <w:tcPr>
            <w:tcW w:w="1552" w:type="dxa"/>
            <w:noWrap/>
            <w:hideMark/>
          </w:tcPr>
          <w:p w14:paraId="383C61B4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3</w:t>
            </w:r>
          </w:p>
        </w:tc>
      </w:tr>
      <w:tr w:rsidR="00965C3A" w:rsidRPr="0066216E" w14:paraId="67DD9CB7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7B494016" w14:textId="77777777" w:rsidR="00965C3A" w:rsidRPr="0066216E" w:rsidRDefault="00BC009E" w:rsidP="009C1A81">
            <w:pPr>
              <w:rPr>
                <w:rFonts w:cstheme="minorHAnsi"/>
              </w:rPr>
            </w:pPr>
            <w:hyperlink r:id="rId10" w:history="1">
              <w:r w:rsidR="00965C3A" w:rsidRPr="0066216E">
                <w:rPr>
                  <w:rStyle w:val="Hipercze"/>
                  <w:rFonts w:cstheme="minorHAnsi"/>
                </w:rPr>
                <w:t>PKB per capita</w:t>
              </w:r>
            </w:hyperlink>
            <w:r w:rsidR="00965C3A" w:rsidRPr="0066216E">
              <w:rPr>
                <w:rFonts w:cstheme="minorHAnsi"/>
              </w:rPr>
              <w:t xml:space="preserve"> (nominalne)</w:t>
            </w:r>
          </w:p>
        </w:tc>
        <w:tc>
          <w:tcPr>
            <w:tcW w:w="1452" w:type="dxa"/>
            <w:noWrap/>
            <w:hideMark/>
          </w:tcPr>
          <w:p w14:paraId="442C841A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3740 USD</w:t>
            </w:r>
          </w:p>
        </w:tc>
        <w:tc>
          <w:tcPr>
            <w:tcW w:w="1559" w:type="dxa"/>
            <w:noWrap/>
            <w:hideMark/>
          </w:tcPr>
          <w:p w14:paraId="7AD4B9E0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4020 USD</w:t>
            </w:r>
          </w:p>
        </w:tc>
        <w:tc>
          <w:tcPr>
            <w:tcW w:w="1552" w:type="dxa"/>
            <w:noWrap/>
            <w:hideMark/>
          </w:tcPr>
          <w:p w14:paraId="4DEBBDCF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4120 USD</w:t>
            </w:r>
          </w:p>
        </w:tc>
      </w:tr>
      <w:tr w:rsidR="00965C3A" w:rsidRPr="0066216E" w14:paraId="44666071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3BD2159C" w14:textId="77777777" w:rsidR="00965C3A" w:rsidRPr="0066216E" w:rsidRDefault="00BC009E" w:rsidP="009C1A81">
            <w:pPr>
              <w:rPr>
                <w:rFonts w:cstheme="minorHAnsi"/>
              </w:rPr>
            </w:pPr>
            <w:hyperlink r:id="rId11" w:history="1">
              <w:r w:rsidR="00965C3A" w:rsidRPr="0066216E">
                <w:rPr>
                  <w:rStyle w:val="Hipercze"/>
                  <w:rFonts w:cstheme="minorHAnsi"/>
                </w:rPr>
                <w:t>PKB per capita</w:t>
              </w:r>
            </w:hyperlink>
            <w:r w:rsidR="00965C3A" w:rsidRPr="0066216E">
              <w:rPr>
                <w:rFonts w:cstheme="minorHAnsi"/>
              </w:rPr>
              <w:t xml:space="preserve"> (PPP)</w:t>
            </w:r>
          </w:p>
        </w:tc>
        <w:tc>
          <w:tcPr>
            <w:tcW w:w="1452" w:type="dxa"/>
            <w:noWrap/>
            <w:hideMark/>
          </w:tcPr>
          <w:p w14:paraId="0593E88D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7940 USD</w:t>
            </w:r>
          </w:p>
        </w:tc>
        <w:tc>
          <w:tcPr>
            <w:tcW w:w="1559" w:type="dxa"/>
            <w:noWrap/>
            <w:hideMark/>
          </w:tcPr>
          <w:p w14:paraId="164D2BC3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8400 USD</w:t>
            </w:r>
          </w:p>
        </w:tc>
        <w:tc>
          <w:tcPr>
            <w:tcW w:w="1552" w:type="dxa"/>
            <w:noWrap/>
            <w:hideMark/>
          </w:tcPr>
          <w:p w14:paraId="299496B5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8740 USD</w:t>
            </w:r>
          </w:p>
        </w:tc>
      </w:tr>
      <w:tr w:rsidR="00965C3A" w:rsidRPr="0066216E" w14:paraId="6DED8AC8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268E9BDB" w14:textId="77777777" w:rsidR="00965C3A" w:rsidRPr="0066216E" w:rsidRDefault="00BC009E" w:rsidP="009C1A81">
            <w:pPr>
              <w:rPr>
                <w:rFonts w:cstheme="minorHAnsi"/>
              </w:rPr>
            </w:pPr>
            <w:hyperlink r:id="rId12" w:history="1">
              <w:r w:rsidR="00965C3A" w:rsidRPr="0066216E">
                <w:rPr>
                  <w:rStyle w:val="Hipercze"/>
                  <w:rFonts w:cstheme="minorHAnsi"/>
                </w:rPr>
                <w:t>Stopa inflacji</w:t>
              </w:r>
            </w:hyperlink>
            <w:r w:rsidR="00965C3A" w:rsidRPr="0066216E">
              <w:rPr>
                <w:rFonts w:cstheme="minorHAnsi"/>
              </w:rPr>
              <w:t xml:space="preserve"> (CPI)</w:t>
            </w:r>
          </w:p>
        </w:tc>
        <w:tc>
          <w:tcPr>
            <w:tcW w:w="1452" w:type="dxa"/>
            <w:noWrap/>
            <w:hideMark/>
          </w:tcPr>
          <w:p w14:paraId="47FDDB01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337,5</w:t>
            </w:r>
          </w:p>
        </w:tc>
        <w:tc>
          <w:tcPr>
            <w:tcW w:w="1559" w:type="dxa"/>
            <w:noWrap/>
            <w:hideMark/>
          </w:tcPr>
          <w:p w14:paraId="70C782E9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59,6</w:t>
            </w:r>
          </w:p>
        </w:tc>
        <w:tc>
          <w:tcPr>
            <w:tcW w:w="1552" w:type="dxa"/>
            <w:noWrap/>
            <w:hideMark/>
          </w:tcPr>
          <w:p w14:paraId="30F624C6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71,7</w:t>
            </w:r>
          </w:p>
        </w:tc>
      </w:tr>
      <w:tr w:rsidR="00965C3A" w:rsidRPr="0066216E" w14:paraId="1EE0173F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4CF2061A" w14:textId="77777777" w:rsidR="00965C3A" w:rsidRPr="0066216E" w:rsidRDefault="00BC009E" w:rsidP="009C1A81">
            <w:pPr>
              <w:rPr>
                <w:rFonts w:cstheme="minorHAnsi"/>
              </w:rPr>
            </w:pPr>
            <w:hyperlink r:id="rId13" w:history="1">
              <w:r w:rsidR="00965C3A" w:rsidRPr="0066216E">
                <w:rPr>
                  <w:rStyle w:val="Hipercze"/>
                  <w:rFonts w:cstheme="minorHAnsi"/>
                </w:rPr>
                <w:t>Stopa bezrobocia</w:t>
              </w:r>
            </w:hyperlink>
          </w:p>
        </w:tc>
        <w:tc>
          <w:tcPr>
            <w:tcW w:w="1452" w:type="dxa"/>
            <w:noWrap/>
            <w:hideMark/>
          </w:tcPr>
          <w:p w14:paraId="7BE0FF90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 Brak danych</w:t>
            </w:r>
          </w:p>
        </w:tc>
        <w:tc>
          <w:tcPr>
            <w:tcW w:w="1559" w:type="dxa"/>
            <w:noWrap/>
            <w:hideMark/>
          </w:tcPr>
          <w:p w14:paraId="01B93BA4" w14:textId="478C3956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Brak danych</w:t>
            </w:r>
          </w:p>
        </w:tc>
        <w:tc>
          <w:tcPr>
            <w:tcW w:w="1552" w:type="dxa"/>
            <w:noWrap/>
            <w:hideMark/>
          </w:tcPr>
          <w:p w14:paraId="3A31ADAA" w14:textId="7DC556E5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Brak danych</w:t>
            </w:r>
          </w:p>
        </w:tc>
      </w:tr>
      <w:tr w:rsidR="00965C3A" w:rsidRPr="0066216E" w14:paraId="15AD6499" w14:textId="77777777" w:rsidTr="009C1A81">
        <w:trPr>
          <w:trHeight w:val="312"/>
        </w:trPr>
        <w:tc>
          <w:tcPr>
            <w:tcW w:w="4497" w:type="dxa"/>
            <w:noWrap/>
            <w:hideMark/>
          </w:tcPr>
          <w:p w14:paraId="15E8971E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r w:rsidRPr="0066216E">
              <w:rPr>
                <w:rFonts w:cstheme="minorHAnsi"/>
                <w:lang w:val="en-US"/>
              </w:rPr>
              <w:t xml:space="preserve">Rating </w:t>
            </w:r>
            <w:proofErr w:type="spellStart"/>
            <w:r w:rsidRPr="0066216E">
              <w:rPr>
                <w:rFonts w:cstheme="minorHAnsi"/>
                <w:lang w:val="en-US"/>
              </w:rPr>
              <w:t>kredytowy</w:t>
            </w:r>
            <w:proofErr w:type="spellEnd"/>
            <w:r w:rsidRPr="0066216E">
              <w:rPr>
                <w:rFonts w:cstheme="minorHAnsi"/>
                <w:lang w:val="en-US"/>
              </w:rPr>
              <w:t xml:space="preserve"> Fitch / Moody's / S&amp;P</w:t>
            </w:r>
          </w:p>
        </w:tc>
        <w:tc>
          <w:tcPr>
            <w:tcW w:w="1452" w:type="dxa"/>
            <w:noWrap/>
            <w:hideMark/>
          </w:tcPr>
          <w:p w14:paraId="16FA1B77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r w:rsidRPr="0066216E">
              <w:rPr>
                <w:rFonts w:cstheme="minorHAnsi"/>
                <w:lang w:val="en-US"/>
              </w:rPr>
              <w:t> RD/WR/SD</w:t>
            </w:r>
          </w:p>
        </w:tc>
        <w:tc>
          <w:tcPr>
            <w:tcW w:w="1559" w:type="dxa"/>
            <w:noWrap/>
            <w:hideMark/>
          </w:tcPr>
          <w:p w14:paraId="13FC553D" w14:textId="2F75716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proofErr w:type="spellStart"/>
            <w:r w:rsidRPr="0066216E">
              <w:rPr>
                <w:rFonts w:cstheme="minorHAnsi"/>
                <w:lang w:val="en-US"/>
              </w:rPr>
              <w:t>Brak</w:t>
            </w:r>
            <w:proofErr w:type="spellEnd"/>
            <w:r w:rsidRPr="0066216E">
              <w:rPr>
                <w:rFonts w:cstheme="minorHAnsi"/>
                <w:lang w:val="en-US"/>
              </w:rPr>
              <w:t xml:space="preserve"> danych</w:t>
            </w:r>
          </w:p>
        </w:tc>
        <w:tc>
          <w:tcPr>
            <w:tcW w:w="1552" w:type="dxa"/>
            <w:noWrap/>
            <w:hideMark/>
          </w:tcPr>
          <w:p w14:paraId="525EB0B1" w14:textId="69806591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proofErr w:type="spellStart"/>
            <w:r w:rsidRPr="0066216E">
              <w:rPr>
                <w:rFonts w:cstheme="minorHAnsi"/>
                <w:lang w:val="en-US"/>
              </w:rPr>
              <w:t>Brak</w:t>
            </w:r>
            <w:proofErr w:type="spellEnd"/>
            <w:r w:rsidRPr="0066216E">
              <w:rPr>
                <w:rFonts w:cstheme="minorHAnsi"/>
                <w:lang w:val="en-US"/>
              </w:rPr>
              <w:t xml:space="preserve"> danych</w:t>
            </w:r>
          </w:p>
        </w:tc>
      </w:tr>
      <w:tr w:rsidR="00965C3A" w:rsidRPr="0066216E" w14:paraId="072EEFCB" w14:textId="77777777" w:rsidTr="009C1A81">
        <w:trPr>
          <w:trHeight w:val="312"/>
        </w:trPr>
        <w:tc>
          <w:tcPr>
            <w:tcW w:w="4497" w:type="dxa"/>
            <w:noWrap/>
          </w:tcPr>
          <w:p w14:paraId="37F90372" w14:textId="77777777" w:rsidR="00965C3A" w:rsidRPr="0066216E" w:rsidRDefault="00BC009E" w:rsidP="009C1A81">
            <w:pPr>
              <w:rPr>
                <w:rFonts w:cstheme="minorHAnsi"/>
                <w:lang w:val="en-US"/>
              </w:rPr>
            </w:pPr>
            <w:hyperlink r:id="rId14" w:history="1">
              <w:r w:rsidR="00965C3A" w:rsidRPr="0066216E">
                <w:rPr>
                  <w:rStyle w:val="Hipercze"/>
                  <w:rFonts w:cstheme="minorHAnsi"/>
                </w:rPr>
                <w:t>Deficyt i nadwyżki budżetowe</w:t>
              </w:r>
            </w:hyperlink>
          </w:p>
        </w:tc>
        <w:tc>
          <w:tcPr>
            <w:tcW w:w="1452" w:type="dxa"/>
            <w:noWrap/>
          </w:tcPr>
          <w:p w14:paraId="6705F94A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r w:rsidRPr="0066216E">
              <w:rPr>
                <w:rFonts w:cstheme="minorHAnsi"/>
                <w:lang w:val="en-US"/>
              </w:rPr>
              <w:t xml:space="preserve">-4,2 </w:t>
            </w:r>
          </w:p>
        </w:tc>
        <w:tc>
          <w:tcPr>
            <w:tcW w:w="1559" w:type="dxa"/>
            <w:noWrap/>
          </w:tcPr>
          <w:p w14:paraId="6B3973A8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proofErr w:type="spellStart"/>
            <w:r w:rsidRPr="0066216E">
              <w:rPr>
                <w:rFonts w:cstheme="minorHAnsi"/>
                <w:lang w:val="en-US"/>
              </w:rPr>
              <w:t>Brak</w:t>
            </w:r>
            <w:proofErr w:type="spellEnd"/>
            <w:r w:rsidRPr="0066216E">
              <w:rPr>
                <w:rFonts w:cstheme="minorHAnsi"/>
                <w:lang w:val="en-US"/>
              </w:rPr>
              <w:t xml:space="preserve"> danych</w:t>
            </w:r>
          </w:p>
        </w:tc>
        <w:tc>
          <w:tcPr>
            <w:tcW w:w="1552" w:type="dxa"/>
            <w:noWrap/>
          </w:tcPr>
          <w:p w14:paraId="1616E3D4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proofErr w:type="spellStart"/>
            <w:r w:rsidRPr="0066216E">
              <w:rPr>
                <w:rFonts w:cstheme="minorHAnsi"/>
                <w:lang w:val="en-US"/>
              </w:rPr>
              <w:t>Brak</w:t>
            </w:r>
            <w:proofErr w:type="spellEnd"/>
            <w:r w:rsidRPr="0066216E">
              <w:rPr>
                <w:rFonts w:cstheme="minorHAnsi"/>
                <w:lang w:val="en-US"/>
              </w:rPr>
              <w:t xml:space="preserve"> danych</w:t>
            </w:r>
          </w:p>
        </w:tc>
      </w:tr>
      <w:tr w:rsidR="00965C3A" w:rsidRPr="0066216E" w14:paraId="62ED405A" w14:textId="77777777" w:rsidTr="009C1A81">
        <w:trPr>
          <w:trHeight w:val="312"/>
        </w:trPr>
        <w:tc>
          <w:tcPr>
            <w:tcW w:w="4497" w:type="dxa"/>
            <w:noWrap/>
          </w:tcPr>
          <w:p w14:paraId="2EB205EE" w14:textId="77777777" w:rsidR="00965C3A" w:rsidRPr="0066216E" w:rsidRDefault="00BC009E" w:rsidP="009C1A81">
            <w:pPr>
              <w:rPr>
                <w:rFonts w:cstheme="minorHAnsi"/>
                <w:lang w:val="en-US"/>
              </w:rPr>
            </w:pPr>
            <w:hyperlink r:id="rId15" w:history="1">
              <w:r w:rsidR="00965C3A" w:rsidRPr="0066216E">
                <w:rPr>
                  <w:rStyle w:val="Hipercze"/>
                  <w:rFonts w:cstheme="minorHAnsi"/>
                </w:rPr>
                <w:t>Dług publiczny</w:t>
              </w:r>
            </w:hyperlink>
            <w:r w:rsidR="00965C3A" w:rsidRPr="0066216E">
              <w:rPr>
                <w:rFonts w:cstheme="minorHAnsi"/>
              </w:rPr>
              <w:t xml:space="preserve"> (% PKB)</w:t>
            </w:r>
          </w:p>
        </w:tc>
        <w:tc>
          <w:tcPr>
            <w:tcW w:w="1452" w:type="dxa"/>
            <w:noWrap/>
          </w:tcPr>
          <w:p w14:paraId="7E9A445D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r w:rsidRPr="0066216E">
              <w:rPr>
                <w:rFonts w:cstheme="minorHAnsi"/>
                <w:lang w:val="en-US"/>
              </w:rPr>
              <w:t>146,3</w:t>
            </w:r>
          </w:p>
        </w:tc>
        <w:tc>
          <w:tcPr>
            <w:tcW w:w="1559" w:type="dxa"/>
            <w:noWrap/>
          </w:tcPr>
          <w:p w14:paraId="7F3D99DE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proofErr w:type="spellStart"/>
            <w:r w:rsidRPr="0066216E">
              <w:rPr>
                <w:rFonts w:cstheme="minorHAnsi"/>
                <w:lang w:val="en-US"/>
              </w:rPr>
              <w:t>Brak</w:t>
            </w:r>
            <w:proofErr w:type="spellEnd"/>
            <w:r w:rsidRPr="0066216E">
              <w:rPr>
                <w:rFonts w:cstheme="minorHAnsi"/>
                <w:lang w:val="en-US"/>
              </w:rPr>
              <w:t xml:space="preserve"> danych</w:t>
            </w:r>
          </w:p>
        </w:tc>
        <w:tc>
          <w:tcPr>
            <w:tcW w:w="1552" w:type="dxa"/>
            <w:noWrap/>
          </w:tcPr>
          <w:p w14:paraId="7944E40A" w14:textId="77777777" w:rsidR="00965C3A" w:rsidRPr="0066216E" w:rsidRDefault="00965C3A" w:rsidP="009C1A81">
            <w:pPr>
              <w:rPr>
                <w:rFonts w:cstheme="minorHAnsi"/>
                <w:lang w:val="en-US"/>
              </w:rPr>
            </w:pPr>
            <w:proofErr w:type="spellStart"/>
            <w:r w:rsidRPr="0066216E">
              <w:rPr>
                <w:rFonts w:cstheme="minorHAnsi"/>
                <w:lang w:val="en-US"/>
              </w:rPr>
              <w:t>Brak</w:t>
            </w:r>
            <w:proofErr w:type="spellEnd"/>
            <w:r w:rsidRPr="0066216E">
              <w:rPr>
                <w:rFonts w:cstheme="minorHAnsi"/>
                <w:lang w:val="en-US"/>
              </w:rPr>
              <w:t xml:space="preserve"> danych</w:t>
            </w:r>
          </w:p>
        </w:tc>
      </w:tr>
    </w:tbl>
    <w:p w14:paraId="42CAAC1D" w14:textId="77777777" w:rsidR="00965C3A" w:rsidRPr="0066216E" w:rsidRDefault="00965C3A" w:rsidP="00965C3A">
      <w:pPr>
        <w:rPr>
          <w:rFonts w:cstheme="minorHAnsi"/>
          <w:lang w:val="en-US"/>
        </w:rPr>
      </w:pPr>
    </w:p>
    <w:p w14:paraId="7439B231" w14:textId="1CEBCC75" w:rsidR="00965C3A" w:rsidRPr="0066216E" w:rsidRDefault="00661C92" w:rsidP="00661C9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cstheme="minorHAnsi"/>
        </w:rPr>
      </w:pPr>
      <w:r w:rsidRPr="0066216E">
        <w:rPr>
          <w:rFonts w:cstheme="minorHAnsi"/>
        </w:rPr>
        <w:t>DANE DEMOGRAFICZNE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856"/>
      </w:tblGrid>
      <w:tr w:rsidR="00965C3A" w:rsidRPr="0066216E" w14:paraId="1E826EC0" w14:textId="77777777" w:rsidTr="009C1A81">
        <w:trPr>
          <w:trHeight w:val="312"/>
        </w:trPr>
        <w:tc>
          <w:tcPr>
            <w:tcW w:w="6387" w:type="dxa"/>
            <w:gridSpan w:val="2"/>
            <w:noWrap/>
            <w:hideMark/>
          </w:tcPr>
          <w:p w14:paraId="647603F3" w14:textId="77777777" w:rsidR="00965C3A" w:rsidRPr="0066216E" w:rsidRDefault="00965C3A" w:rsidP="009C1A81">
            <w:pPr>
              <w:pStyle w:val="Akapitzlist"/>
              <w:ind w:left="108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6216E">
              <w:rPr>
                <w:rFonts w:asciiTheme="minorHAnsi" w:hAnsiTheme="minorHAnsi" w:cstheme="minorHAnsi"/>
                <w:b/>
                <w:bCs/>
                <w:sz w:val="22"/>
              </w:rPr>
              <w:t>Dane demograficzne (aktualne)</w:t>
            </w:r>
          </w:p>
        </w:tc>
      </w:tr>
      <w:tr w:rsidR="00965C3A" w:rsidRPr="0066216E" w14:paraId="27BC8850" w14:textId="77777777" w:rsidTr="009C1A81">
        <w:trPr>
          <w:trHeight w:val="312"/>
        </w:trPr>
        <w:tc>
          <w:tcPr>
            <w:tcW w:w="4531" w:type="dxa"/>
            <w:noWrap/>
            <w:hideMark/>
          </w:tcPr>
          <w:p w14:paraId="0CDF7DB1" w14:textId="77777777" w:rsidR="00965C3A" w:rsidRPr="0066216E" w:rsidRDefault="00BC009E" w:rsidP="009C1A81">
            <w:pPr>
              <w:pStyle w:val="Akapitzlist"/>
              <w:ind w:left="176"/>
              <w:rPr>
                <w:rFonts w:asciiTheme="minorHAnsi" w:hAnsiTheme="minorHAnsi" w:cstheme="minorHAnsi"/>
                <w:sz w:val="22"/>
              </w:rPr>
            </w:pPr>
            <w:hyperlink r:id="rId16" w:history="1">
              <w:r w:rsidR="00965C3A" w:rsidRPr="0066216E">
                <w:rPr>
                  <w:rStyle w:val="Hipercze"/>
                  <w:rFonts w:asciiTheme="minorHAnsi" w:hAnsiTheme="minorHAnsi" w:cstheme="minorHAnsi"/>
                  <w:sz w:val="22"/>
                </w:rPr>
                <w:t>Liczba ludności</w:t>
              </w:r>
            </w:hyperlink>
            <w:r w:rsidR="00965C3A" w:rsidRPr="0066216E">
              <w:rPr>
                <w:rFonts w:asciiTheme="minorHAnsi" w:hAnsiTheme="minorHAnsi" w:cstheme="minorHAnsi"/>
                <w:sz w:val="22"/>
              </w:rPr>
              <w:t xml:space="preserve"> (w tys.)</w:t>
            </w:r>
          </w:p>
        </w:tc>
        <w:tc>
          <w:tcPr>
            <w:tcW w:w="1856" w:type="dxa"/>
            <w:noWrap/>
            <w:hideMark/>
          </w:tcPr>
          <w:p w14:paraId="74E59CC8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26 460 </w:t>
            </w:r>
          </w:p>
        </w:tc>
      </w:tr>
      <w:tr w:rsidR="00965C3A" w:rsidRPr="0066216E" w14:paraId="22F5CA6D" w14:textId="77777777" w:rsidTr="009C1A81">
        <w:trPr>
          <w:trHeight w:val="312"/>
        </w:trPr>
        <w:tc>
          <w:tcPr>
            <w:tcW w:w="4531" w:type="dxa"/>
            <w:noWrap/>
            <w:hideMark/>
          </w:tcPr>
          <w:p w14:paraId="06C62F05" w14:textId="77777777" w:rsidR="00965C3A" w:rsidRPr="0066216E" w:rsidRDefault="00965C3A" w:rsidP="009C1A81">
            <w:pPr>
              <w:pStyle w:val="Akapitzlist"/>
              <w:ind w:left="1080" w:hanging="904"/>
              <w:rPr>
                <w:rFonts w:asciiTheme="minorHAnsi" w:hAnsiTheme="minorHAnsi" w:cstheme="minorHAnsi"/>
                <w:sz w:val="22"/>
              </w:rPr>
            </w:pPr>
            <w:r w:rsidRPr="0066216E">
              <w:rPr>
                <w:rFonts w:asciiTheme="minorHAnsi" w:hAnsiTheme="minorHAnsi" w:cstheme="minorHAnsi"/>
                <w:sz w:val="22"/>
              </w:rPr>
              <w:t>Siła robocza (w tys./mln, dane krajowe)</w:t>
            </w:r>
          </w:p>
        </w:tc>
        <w:tc>
          <w:tcPr>
            <w:tcW w:w="1856" w:type="dxa"/>
            <w:noWrap/>
            <w:hideMark/>
          </w:tcPr>
          <w:p w14:paraId="7C069101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Brak danych </w:t>
            </w:r>
          </w:p>
        </w:tc>
      </w:tr>
      <w:tr w:rsidR="00965C3A" w:rsidRPr="0066216E" w14:paraId="1AAED697" w14:textId="77777777" w:rsidTr="009C1A81">
        <w:trPr>
          <w:trHeight w:val="312"/>
        </w:trPr>
        <w:tc>
          <w:tcPr>
            <w:tcW w:w="4531" w:type="dxa"/>
            <w:noWrap/>
            <w:hideMark/>
          </w:tcPr>
          <w:p w14:paraId="4A638333" w14:textId="77777777" w:rsidR="00965C3A" w:rsidRPr="0066216E" w:rsidRDefault="00965C3A" w:rsidP="009C1A81">
            <w:pPr>
              <w:pStyle w:val="Akapitzlist"/>
              <w:ind w:left="1080" w:hanging="904"/>
              <w:rPr>
                <w:rFonts w:asciiTheme="minorHAnsi" w:hAnsiTheme="minorHAnsi" w:cstheme="minorHAnsi"/>
                <w:sz w:val="22"/>
              </w:rPr>
            </w:pPr>
            <w:r w:rsidRPr="0066216E">
              <w:rPr>
                <w:rFonts w:asciiTheme="minorHAnsi" w:hAnsiTheme="minorHAnsi" w:cstheme="minorHAnsi"/>
                <w:sz w:val="22"/>
              </w:rPr>
              <w:t>Rozmiar klasy średniej (w tys./mln)</w:t>
            </w:r>
          </w:p>
        </w:tc>
        <w:tc>
          <w:tcPr>
            <w:tcW w:w="1856" w:type="dxa"/>
            <w:noWrap/>
            <w:hideMark/>
          </w:tcPr>
          <w:p w14:paraId="66AD1FEE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Brak danych </w:t>
            </w:r>
          </w:p>
        </w:tc>
      </w:tr>
      <w:tr w:rsidR="00965C3A" w:rsidRPr="0066216E" w14:paraId="68923177" w14:textId="77777777" w:rsidTr="009C1A81">
        <w:trPr>
          <w:trHeight w:val="312"/>
        </w:trPr>
        <w:tc>
          <w:tcPr>
            <w:tcW w:w="4531" w:type="dxa"/>
            <w:noWrap/>
            <w:hideMark/>
          </w:tcPr>
          <w:p w14:paraId="406B0C43" w14:textId="77777777" w:rsidR="00965C3A" w:rsidRPr="0066216E" w:rsidRDefault="00BC009E" w:rsidP="009C1A81">
            <w:pPr>
              <w:pStyle w:val="Akapitzlist"/>
              <w:ind w:left="176"/>
              <w:rPr>
                <w:rFonts w:asciiTheme="minorHAnsi" w:hAnsiTheme="minorHAnsi" w:cstheme="minorHAnsi"/>
                <w:sz w:val="22"/>
              </w:rPr>
            </w:pPr>
            <w:hyperlink r:id="rId17" w:history="1">
              <w:r w:rsidR="00965C3A" w:rsidRPr="0066216E">
                <w:rPr>
                  <w:rStyle w:val="Hipercze"/>
                  <w:rFonts w:asciiTheme="minorHAnsi" w:hAnsiTheme="minorHAnsi" w:cstheme="minorHAnsi"/>
                  <w:sz w:val="22"/>
                </w:rPr>
                <w:t>Poziom ubóstwa</w:t>
              </w:r>
            </w:hyperlink>
            <w:r w:rsidR="00965C3A" w:rsidRPr="0066216E">
              <w:rPr>
                <w:rFonts w:asciiTheme="minorHAnsi" w:hAnsiTheme="minorHAnsi" w:cstheme="minorHAnsi"/>
                <w:sz w:val="22"/>
              </w:rPr>
              <w:t xml:space="preserve"> (% populacji żyjącej poniżej progu ubóstwa)</w:t>
            </w:r>
          </w:p>
        </w:tc>
        <w:tc>
          <w:tcPr>
            <w:tcW w:w="1856" w:type="dxa"/>
            <w:noWrap/>
            <w:hideMark/>
          </w:tcPr>
          <w:p w14:paraId="65C24306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82%</w:t>
            </w:r>
            <w:r w:rsidRPr="0066216E">
              <w:rPr>
                <w:rStyle w:val="Odwoanieprzypisudolnego"/>
                <w:rFonts w:cstheme="minorHAnsi"/>
              </w:rPr>
              <w:footnoteReference w:id="1"/>
            </w:r>
            <w:r w:rsidRPr="0066216E">
              <w:rPr>
                <w:rFonts w:cstheme="minorHAnsi"/>
              </w:rPr>
              <w:t> </w:t>
            </w:r>
          </w:p>
        </w:tc>
      </w:tr>
      <w:tr w:rsidR="00965C3A" w:rsidRPr="0066216E" w14:paraId="445D2E46" w14:textId="77777777" w:rsidTr="009C1A81">
        <w:trPr>
          <w:trHeight w:val="312"/>
        </w:trPr>
        <w:tc>
          <w:tcPr>
            <w:tcW w:w="4531" w:type="dxa"/>
            <w:noWrap/>
            <w:hideMark/>
          </w:tcPr>
          <w:p w14:paraId="4B809ED6" w14:textId="77777777" w:rsidR="00965C3A" w:rsidRPr="0066216E" w:rsidRDefault="00BC009E" w:rsidP="009C1A81">
            <w:pPr>
              <w:pStyle w:val="Akapitzlist"/>
              <w:ind w:left="1080" w:hanging="904"/>
              <w:rPr>
                <w:rFonts w:asciiTheme="minorHAnsi" w:hAnsiTheme="minorHAnsi" w:cstheme="minorHAnsi"/>
                <w:sz w:val="22"/>
              </w:rPr>
            </w:pPr>
            <w:hyperlink r:id="rId18" w:history="1">
              <w:r w:rsidR="00965C3A" w:rsidRPr="0066216E">
                <w:rPr>
                  <w:rStyle w:val="Hipercze"/>
                  <w:rFonts w:asciiTheme="minorHAnsi" w:hAnsiTheme="minorHAnsi" w:cstheme="minorHAnsi"/>
                  <w:sz w:val="22"/>
                </w:rPr>
                <w:t xml:space="preserve">Współczynnik </w:t>
              </w:r>
              <w:proofErr w:type="spellStart"/>
              <w:r w:rsidR="00965C3A" w:rsidRPr="0066216E">
                <w:rPr>
                  <w:rStyle w:val="Hipercze"/>
                  <w:rFonts w:asciiTheme="minorHAnsi" w:hAnsiTheme="minorHAnsi" w:cstheme="minorHAnsi"/>
                  <w:sz w:val="22"/>
                </w:rPr>
                <w:t>Giniego</w:t>
              </w:r>
              <w:proofErr w:type="spellEnd"/>
            </w:hyperlink>
          </w:p>
        </w:tc>
        <w:tc>
          <w:tcPr>
            <w:tcW w:w="1856" w:type="dxa"/>
            <w:noWrap/>
            <w:hideMark/>
          </w:tcPr>
          <w:p w14:paraId="205A5435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0,448 (2006 r.)</w:t>
            </w:r>
          </w:p>
        </w:tc>
      </w:tr>
      <w:tr w:rsidR="00965C3A" w:rsidRPr="0066216E" w14:paraId="3E014E42" w14:textId="77777777" w:rsidTr="009C1A81">
        <w:trPr>
          <w:trHeight w:val="324"/>
        </w:trPr>
        <w:tc>
          <w:tcPr>
            <w:tcW w:w="4531" w:type="dxa"/>
            <w:noWrap/>
            <w:hideMark/>
          </w:tcPr>
          <w:p w14:paraId="45C51609" w14:textId="77777777" w:rsidR="00965C3A" w:rsidRPr="0066216E" w:rsidRDefault="00BC009E" w:rsidP="009C1A81">
            <w:pPr>
              <w:pStyle w:val="Akapitzlist"/>
              <w:ind w:left="1080" w:hanging="904"/>
              <w:rPr>
                <w:rFonts w:asciiTheme="minorHAnsi" w:hAnsiTheme="minorHAnsi" w:cstheme="minorHAnsi"/>
                <w:sz w:val="22"/>
              </w:rPr>
            </w:pPr>
            <w:hyperlink r:id="rId19" w:anchor="/indicies/HDI" w:history="1">
              <w:r w:rsidR="00965C3A" w:rsidRPr="0066216E">
                <w:rPr>
                  <w:rStyle w:val="Hipercze"/>
                  <w:rFonts w:asciiTheme="minorHAnsi" w:hAnsiTheme="minorHAnsi" w:cstheme="minorHAnsi"/>
                  <w:sz w:val="22"/>
                </w:rPr>
                <w:t>Współczynnik HDI</w:t>
              </w:r>
            </w:hyperlink>
          </w:p>
        </w:tc>
        <w:tc>
          <w:tcPr>
            <w:tcW w:w="1856" w:type="dxa"/>
            <w:noWrap/>
            <w:hideMark/>
          </w:tcPr>
          <w:p w14:paraId="34EB329C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0,699 (119/193 kraje, 2022 r.)  </w:t>
            </w:r>
          </w:p>
        </w:tc>
      </w:tr>
    </w:tbl>
    <w:p w14:paraId="53240DAC" w14:textId="77777777" w:rsidR="00965C3A" w:rsidRPr="0066216E" w:rsidRDefault="00965C3A" w:rsidP="00965C3A">
      <w:pPr>
        <w:pStyle w:val="Akapitzlist"/>
        <w:ind w:left="1080"/>
        <w:contextualSpacing w:val="0"/>
        <w:rPr>
          <w:rFonts w:asciiTheme="minorHAnsi" w:hAnsiTheme="minorHAnsi" w:cstheme="minorHAnsi"/>
          <w:sz w:val="22"/>
        </w:rPr>
      </w:pPr>
    </w:p>
    <w:p w14:paraId="292D5534" w14:textId="038477A2" w:rsidR="00965C3A" w:rsidRPr="00661C92" w:rsidRDefault="00133911" w:rsidP="00133911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cstheme="minorHAnsi"/>
        </w:rPr>
      </w:pPr>
      <w:r w:rsidRPr="00661C92">
        <w:rPr>
          <w:rFonts w:cstheme="minorHAnsi"/>
        </w:rPr>
        <w:t>HANDEL ZAGRANICZNY I INWESTYCJE</w:t>
      </w:r>
    </w:p>
    <w:p w14:paraId="4B2A7DF0" w14:textId="77777777" w:rsidR="00965C3A" w:rsidRPr="00133911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33911">
        <w:rPr>
          <w:rFonts w:asciiTheme="minorHAnsi" w:hAnsiTheme="minorHAnsi" w:cstheme="minorHAnsi"/>
          <w:b/>
          <w:bCs/>
          <w:sz w:val="22"/>
        </w:rPr>
        <w:t>Najważniejsi partnerzy handlowi</w:t>
      </w:r>
    </w:p>
    <w:p w14:paraId="382E360E" w14:textId="77777777" w:rsidR="00965C3A" w:rsidRPr="0066216E" w:rsidRDefault="00965C3A" w:rsidP="00965C3A">
      <w:pPr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 xml:space="preserve">Głównymi partnerami handlowymi Wenezueli są (2022 r.): </w:t>
      </w:r>
    </w:p>
    <w:p w14:paraId="5FDC9711" w14:textId="77777777" w:rsidR="00965C3A" w:rsidRPr="0066216E" w:rsidRDefault="00965C3A" w:rsidP="0013391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</w:rPr>
      </w:pP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 xml:space="preserve">Chiny – 16,3% eksportu, 31,4% importu (1,70 mld USD eksportu, 3,01 mld USD importu); </w:t>
      </w:r>
    </w:p>
    <w:p w14:paraId="2C9C5B2B" w14:textId="77777777" w:rsidR="00965C3A" w:rsidRPr="0066216E" w:rsidRDefault="00965C3A" w:rsidP="0013391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</w:rPr>
      </w:pP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 xml:space="preserve">Stany Zjednoczone – 10,2% eksportu, 23% importu (438 mln USD eksportu, 2,21 mld USD importu); </w:t>
      </w:r>
    </w:p>
    <w:p w14:paraId="05623AFE" w14:textId="77777777" w:rsidR="00965C3A" w:rsidRPr="0066216E" w:rsidRDefault="00965C3A" w:rsidP="0013391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</w:rPr>
      </w:pP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 xml:space="preserve">Brazylia – 8,38 % eksportu, 13,8% importu (361 mln USD eksportu, 1,33 mld USD importu); </w:t>
      </w:r>
    </w:p>
    <w:p w14:paraId="247DE8DC" w14:textId="77777777" w:rsidR="00965C3A" w:rsidRPr="0066216E" w:rsidRDefault="00965C3A" w:rsidP="0013391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</w:rPr>
      </w:pP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>Turcja – 13,9% eksportu, 3,82% importu (597 mln USD eksportu, 366 mln USD importu);</w:t>
      </w:r>
    </w:p>
    <w:p w14:paraId="0D5AF772" w14:textId="77777777" w:rsidR="00965C3A" w:rsidRPr="0066216E" w:rsidRDefault="00965C3A" w:rsidP="0013391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</w:rPr>
      </w:pP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>Hiszpania – 12% eksportu, 1,33% importu (518 mln USD eksportu, 127 mln USD importu);</w:t>
      </w:r>
    </w:p>
    <w:p w14:paraId="75D39ABD" w14:textId="67A236D3" w:rsidR="00965C3A" w:rsidRDefault="00965C3A" w:rsidP="00133911">
      <w:pPr>
        <w:pStyle w:val="Akapitzlis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</w:rPr>
      </w:pP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>Kolumbia – 2,32% eksportu, 6,59% importu (100 mln USD eksportu, 632 mln importu)</w:t>
      </w:r>
      <w:r w:rsidRPr="0066216E">
        <w:rPr>
          <w:rStyle w:val="Odwoanieprzypisudolnego"/>
          <w:rFonts w:asciiTheme="minorHAnsi" w:hAnsiTheme="minorHAnsi" w:cstheme="minorHAnsi"/>
          <w:color w:val="1B1B1B"/>
          <w:sz w:val="22"/>
          <w:shd w:val="clear" w:color="auto" w:fill="FFFFFF"/>
        </w:rPr>
        <w:footnoteReference w:id="2"/>
      </w: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>;</w:t>
      </w:r>
    </w:p>
    <w:p w14:paraId="551E3C55" w14:textId="77777777" w:rsidR="002E395A" w:rsidRPr="0066216E" w:rsidRDefault="002E395A" w:rsidP="002E395A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</w:rPr>
      </w:pPr>
    </w:p>
    <w:p w14:paraId="3E46979E" w14:textId="77777777" w:rsidR="00965C3A" w:rsidRPr="002E395A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bookmarkStart w:id="2" w:name="_Hlk178437933"/>
      <w:r w:rsidRPr="002E395A">
        <w:rPr>
          <w:rFonts w:asciiTheme="minorHAnsi" w:hAnsiTheme="minorHAnsi" w:cstheme="minorHAnsi"/>
          <w:b/>
          <w:bCs/>
          <w:sz w:val="22"/>
        </w:rPr>
        <w:t>Podstawowe produkty i usługi importowe i eksportowe,</w:t>
      </w:r>
    </w:p>
    <w:p w14:paraId="35335CC5" w14:textId="16296548" w:rsidR="00965C3A" w:rsidRPr="0066216E" w:rsidRDefault="00C11E93" w:rsidP="00A028C9">
      <w:pPr>
        <w:jc w:val="both"/>
        <w:rPr>
          <w:rFonts w:cstheme="minorHAnsi"/>
        </w:rPr>
      </w:pPr>
      <w:r w:rsidRPr="0066216E">
        <w:rPr>
          <w:rFonts w:cstheme="minorHAnsi"/>
        </w:rPr>
        <w:t>W 2022 r. n</w:t>
      </w:r>
      <w:r w:rsidR="00965C3A" w:rsidRPr="0066216E">
        <w:rPr>
          <w:rFonts w:cstheme="minorHAnsi"/>
        </w:rPr>
        <w:t>ajważniejsz</w:t>
      </w:r>
      <w:r w:rsidRPr="0066216E">
        <w:rPr>
          <w:rFonts w:cstheme="minorHAnsi"/>
        </w:rPr>
        <w:t>ymi</w:t>
      </w:r>
      <w:r w:rsidR="00965C3A" w:rsidRPr="0066216E">
        <w:rPr>
          <w:rFonts w:cstheme="minorHAnsi"/>
        </w:rPr>
        <w:t xml:space="preserve"> towar</w:t>
      </w:r>
      <w:r w:rsidRPr="0066216E">
        <w:rPr>
          <w:rFonts w:cstheme="minorHAnsi"/>
        </w:rPr>
        <w:t>ami</w:t>
      </w:r>
      <w:r w:rsidR="00965C3A" w:rsidRPr="0066216E">
        <w:rPr>
          <w:rFonts w:cstheme="minorHAnsi"/>
        </w:rPr>
        <w:t xml:space="preserve"> eksportow</w:t>
      </w:r>
      <w:r w:rsidRPr="0066216E">
        <w:rPr>
          <w:rFonts w:cstheme="minorHAnsi"/>
        </w:rPr>
        <w:t>ymi w</w:t>
      </w:r>
      <w:r w:rsidR="00965C3A" w:rsidRPr="0066216E">
        <w:rPr>
          <w:rFonts w:cstheme="minorHAnsi"/>
        </w:rPr>
        <w:t xml:space="preserve"> Wenezueli </w:t>
      </w:r>
      <w:r w:rsidRPr="0066216E">
        <w:rPr>
          <w:rFonts w:cstheme="minorHAnsi"/>
        </w:rPr>
        <w:t xml:space="preserve">były: </w:t>
      </w:r>
      <w:r w:rsidR="00965C3A" w:rsidRPr="0066216E">
        <w:rPr>
          <w:rFonts w:cstheme="minorHAnsi"/>
        </w:rPr>
        <w:t xml:space="preserve">złom żelaza (564 mln USD), koks naftowy (509 mln USD), ropa naftowa (495 mln USD), alkohole alifatyczne (418 mln USD) i surowe aluminium (337 mln USD). </w:t>
      </w:r>
    </w:p>
    <w:p w14:paraId="0E7AB947" w14:textId="0219F96C" w:rsidR="00965C3A" w:rsidRPr="0066216E" w:rsidRDefault="00C11E93" w:rsidP="00A028C9">
      <w:pPr>
        <w:jc w:val="both"/>
        <w:rPr>
          <w:rFonts w:cstheme="minorHAnsi"/>
        </w:rPr>
      </w:pPr>
      <w:r w:rsidRPr="0066216E">
        <w:rPr>
          <w:rFonts w:cstheme="minorHAnsi"/>
        </w:rPr>
        <w:t xml:space="preserve">W 2022 r. najważniejszymi towarami </w:t>
      </w:r>
      <w:r w:rsidR="00965C3A" w:rsidRPr="0066216E">
        <w:rPr>
          <w:rFonts w:cstheme="minorHAnsi"/>
        </w:rPr>
        <w:t>importowan</w:t>
      </w:r>
      <w:r w:rsidRPr="0066216E">
        <w:rPr>
          <w:rFonts w:cstheme="minorHAnsi"/>
        </w:rPr>
        <w:t xml:space="preserve">ymi </w:t>
      </w:r>
      <w:r w:rsidR="00965C3A" w:rsidRPr="0066216E">
        <w:rPr>
          <w:rFonts w:cstheme="minorHAnsi"/>
        </w:rPr>
        <w:t xml:space="preserve">do Wenezueli </w:t>
      </w:r>
      <w:r w:rsidRPr="0066216E">
        <w:rPr>
          <w:rFonts w:cstheme="minorHAnsi"/>
        </w:rPr>
        <w:t xml:space="preserve">były: </w:t>
      </w:r>
      <w:r w:rsidR="00965C3A" w:rsidRPr="0066216E">
        <w:rPr>
          <w:rFonts w:cstheme="minorHAnsi"/>
        </w:rPr>
        <w:t>olej sojowy (365 mln USD), mączka sojowa (305 mln USD), kukurydza (286 mln USD), ryż (244 mln USD) i cukier surowy (241 mln USD).</w:t>
      </w:r>
    </w:p>
    <w:p w14:paraId="152285C1" w14:textId="77777777" w:rsidR="00965C3A" w:rsidRPr="002E395A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2E395A">
        <w:rPr>
          <w:rFonts w:asciiTheme="minorHAnsi" w:hAnsiTheme="minorHAnsi" w:cstheme="minorHAnsi"/>
          <w:b/>
          <w:bCs/>
          <w:sz w:val="22"/>
        </w:rPr>
        <w:lastRenderedPageBreak/>
        <w:t>Główni inwestorzy</w:t>
      </w:r>
    </w:p>
    <w:p w14:paraId="775F9F4E" w14:textId="493A9D61" w:rsidR="00965C3A" w:rsidRPr="0066216E" w:rsidRDefault="00965C3A" w:rsidP="00965C3A">
      <w:pPr>
        <w:jc w:val="both"/>
        <w:rPr>
          <w:rFonts w:cstheme="minorHAnsi"/>
        </w:rPr>
      </w:pPr>
      <w:r w:rsidRPr="0066216E">
        <w:rPr>
          <w:rFonts w:cstheme="minorHAnsi"/>
        </w:rPr>
        <w:t>W latach 2020-</w:t>
      </w:r>
      <w:r w:rsidR="00C11E93" w:rsidRPr="0066216E">
        <w:rPr>
          <w:rFonts w:cstheme="minorHAnsi"/>
        </w:rPr>
        <w:t>20</w:t>
      </w:r>
      <w:r w:rsidRPr="0066216E">
        <w:rPr>
          <w:rFonts w:cstheme="minorHAnsi"/>
        </w:rPr>
        <w:t>23 poziom rocznych bezpośrednich inwestycji zagranicznych oscyluje w przedziale (0,5-1,5) mld USD</w:t>
      </w:r>
      <w:r w:rsidRPr="0066216E">
        <w:rPr>
          <w:rStyle w:val="Odwoanieprzypisudolnego"/>
          <w:rFonts w:cstheme="minorHAnsi"/>
        </w:rPr>
        <w:footnoteReference w:id="3"/>
      </w:r>
      <w:r w:rsidRPr="0066216E">
        <w:rPr>
          <w:rFonts w:cstheme="minorHAnsi"/>
        </w:rPr>
        <w:t xml:space="preserve">. Niemniej dane te należy traktować z rezerwą, gdyż na mocy ustawy </w:t>
      </w:r>
      <w:proofErr w:type="spellStart"/>
      <w:r w:rsidRPr="0066216E">
        <w:rPr>
          <w:rFonts w:cstheme="minorHAnsi"/>
        </w:rPr>
        <w:t>antysankcyjnej</w:t>
      </w:r>
      <w:proofErr w:type="spellEnd"/>
      <w:r w:rsidRPr="0066216E">
        <w:rPr>
          <w:rFonts w:cstheme="minorHAnsi"/>
        </w:rPr>
        <w:t xml:space="preserve"> z 2020 r. (</w:t>
      </w:r>
      <w:proofErr w:type="spellStart"/>
      <w:r w:rsidRPr="0066216E">
        <w:rPr>
          <w:rFonts w:cstheme="minorHAnsi"/>
          <w:i/>
          <w:iCs/>
        </w:rPr>
        <w:t>Ley</w:t>
      </w:r>
      <w:proofErr w:type="spellEnd"/>
      <w:r w:rsidRPr="0066216E">
        <w:rPr>
          <w:rFonts w:cstheme="minorHAnsi"/>
          <w:i/>
          <w:iCs/>
        </w:rPr>
        <w:t xml:space="preserve"> </w:t>
      </w:r>
      <w:proofErr w:type="spellStart"/>
      <w:r w:rsidRPr="0066216E">
        <w:rPr>
          <w:rFonts w:cstheme="minorHAnsi"/>
          <w:i/>
          <w:iCs/>
        </w:rPr>
        <w:t>Antibloqueo</w:t>
      </w:r>
      <w:proofErr w:type="spellEnd"/>
      <w:r w:rsidRPr="0066216E">
        <w:rPr>
          <w:rFonts w:cstheme="minorHAnsi"/>
        </w:rPr>
        <w:t xml:space="preserve">) inwestorzy z krajów uważanych za przyjazne mogą liczyć na nieupublicznienie kwoty zainwestowanych środków, ani na nieujawnienie pozostałych szczegółów inwestycji. </w:t>
      </w:r>
      <w:r w:rsidR="00C11E93" w:rsidRPr="0066216E">
        <w:rPr>
          <w:rFonts w:cstheme="minorHAnsi"/>
        </w:rPr>
        <w:t xml:space="preserve">Głównymi inwestorami zagranicznymi w Wenezueli są: </w:t>
      </w:r>
      <w:r w:rsidRPr="0066216E">
        <w:rPr>
          <w:rFonts w:cstheme="minorHAnsi"/>
        </w:rPr>
        <w:t>Turcj</w:t>
      </w:r>
      <w:r w:rsidR="00C11E93" w:rsidRPr="0066216E">
        <w:rPr>
          <w:rFonts w:cstheme="minorHAnsi"/>
        </w:rPr>
        <w:t>a</w:t>
      </w:r>
      <w:r w:rsidRPr="0066216E">
        <w:rPr>
          <w:rFonts w:cstheme="minorHAnsi"/>
        </w:rPr>
        <w:t>, Iran i Rosj</w:t>
      </w:r>
      <w:r w:rsidR="00C11E93" w:rsidRPr="0066216E">
        <w:rPr>
          <w:rFonts w:cstheme="minorHAnsi"/>
        </w:rPr>
        <w:t>a</w:t>
      </w:r>
      <w:r w:rsidRPr="0066216E">
        <w:rPr>
          <w:rFonts w:cstheme="minorHAnsi"/>
        </w:rPr>
        <w:t xml:space="preserve">. Hiszpański </w:t>
      </w:r>
      <w:proofErr w:type="spellStart"/>
      <w:r w:rsidRPr="0066216E">
        <w:rPr>
          <w:rFonts w:cstheme="minorHAnsi"/>
        </w:rPr>
        <w:t>Repsol</w:t>
      </w:r>
      <w:proofErr w:type="spellEnd"/>
      <w:r w:rsidRPr="0066216E">
        <w:rPr>
          <w:rFonts w:cstheme="minorHAnsi"/>
        </w:rPr>
        <w:t xml:space="preserve"> i amerykański </w:t>
      </w:r>
      <w:proofErr w:type="spellStart"/>
      <w:r w:rsidRPr="0066216E">
        <w:rPr>
          <w:rFonts w:cstheme="minorHAnsi"/>
        </w:rPr>
        <w:t>Chevron</w:t>
      </w:r>
      <w:proofErr w:type="spellEnd"/>
      <w:r w:rsidRPr="0066216E">
        <w:rPr>
          <w:rFonts w:cstheme="minorHAnsi"/>
        </w:rPr>
        <w:t xml:space="preserve"> prowadzą projekty joint venture z wenezuelską PDVSA (państwowy koncern naftowy) w zakresie wydobycia i eksploatacji pól naftowych. </w:t>
      </w:r>
    </w:p>
    <w:p w14:paraId="2A6F6501" w14:textId="77777777" w:rsidR="00965C3A" w:rsidRPr="002E395A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2E395A">
        <w:rPr>
          <w:rFonts w:asciiTheme="minorHAnsi" w:hAnsiTheme="minorHAnsi" w:cstheme="minorHAnsi"/>
          <w:b/>
          <w:bCs/>
          <w:sz w:val="22"/>
        </w:rPr>
        <w:t xml:space="preserve">Główne kierunki </w:t>
      </w:r>
      <w:bookmarkEnd w:id="2"/>
      <w:r w:rsidRPr="002E395A">
        <w:rPr>
          <w:rFonts w:asciiTheme="minorHAnsi" w:hAnsiTheme="minorHAnsi" w:cstheme="minorHAnsi"/>
          <w:b/>
          <w:bCs/>
          <w:sz w:val="22"/>
        </w:rPr>
        <w:t>inwestycji zagranicznych</w:t>
      </w:r>
    </w:p>
    <w:p w14:paraId="197C46E5" w14:textId="77777777" w:rsidR="008B687D" w:rsidRDefault="00965C3A" w:rsidP="008B687D">
      <w:pPr>
        <w:jc w:val="both"/>
        <w:rPr>
          <w:rFonts w:cstheme="minorHAnsi"/>
        </w:rPr>
      </w:pPr>
      <w:r w:rsidRPr="0066216E">
        <w:rPr>
          <w:rFonts w:cstheme="minorHAnsi"/>
        </w:rPr>
        <w:t xml:space="preserve">W wyniku całkowitej zapaści gospodarczej Wenezueli w latach 2017-20 i przewlekłego kryzysu politycznego wenezuelskie inwestycje zagraniczne są znikome. </w:t>
      </w:r>
    </w:p>
    <w:p w14:paraId="443FC74F" w14:textId="5A26B1B5" w:rsidR="00965C3A" w:rsidRPr="002E395A" w:rsidRDefault="00965C3A" w:rsidP="008B687D">
      <w:pPr>
        <w:jc w:val="both"/>
        <w:rPr>
          <w:rFonts w:cstheme="minorHAnsi"/>
          <w:b/>
          <w:bCs/>
        </w:rPr>
      </w:pPr>
      <w:r w:rsidRPr="002E395A">
        <w:rPr>
          <w:rFonts w:cstheme="minorHAnsi"/>
          <w:b/>
          <w:bCs/>
        </w:rPr>
        <w:t>Udział w inicjatywach i organizacjach wielostronnych o charakterze gospodarczym</w:t>
      </w:r>
    </w:p>
    <w:p w14:paraId="5DCDEFD9" w14:textId="372B374D" w:rsidR="00965C3A" w:rsidRPr="0066216E" w:rsidRDefault="00965C3A" w:rsidP="008B687D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color w:val="1B1B1B"/>
          <w:sz w:val="22"/>
          <w:shd w:val="clear" w:color="auto" w:fill="FFFFFF"/>
          <w:lang w:val="es-ES"/>
        </w:rPr>
      </w:pPr>
      <w:r w:rsidRPr="00100C9B">
        <w:rPr>
          <w:rFonts w:asciiTheme="minorHAnsi" w:hAnsiTheme="minorHAnsi" w:cstheme="minorHAnsi"/>
          <w:b/>
          <w:bCs/>
          <w:color w:val="1B1B1B"/>
          <w:sz w:val="22"/>
          <w:shd w:val="clear" w:color="auto" w:fill="FFFFFF"/>
          <w:lang w:val="es-VE"/>
        </w:rPr>
        <w:t>ALBA</w:t>
      </w: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-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Boliwariański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Sojusz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Narodów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dla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Naszej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Ameryki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(</w:t>
      </w:r>
      <w:r w:rsidRPr="0066216E">
        <w:rPr>
          <w:rFonts w:asciiTheme="minorHAnsi" w:hAnsiTheme="minorHAnsi" w:cstheme="minorHAnsi"/>
          <w:i/>
          <w:iCs/>
          <w:color w:val="1B1B1B"/>
          <w:sz w:val="22"/>
          <w:shd w:val="clear" w:color="auto" w:fill="FFFFFF"/>
          <w:lang w:val="es-ES"/>
        </w:rPr>
        <w:t>Alianza Bolivariana para los Pueblos de Nuestra América</w:t>
      </w: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ES"/>
        </w:rPr>
        <w:t>)</w:t>
      </w:r>
    </w:p>
    <w:p w14:paraId="31EFF2CD" w14:textId="290FFC59" w:rsidR="00965C3A" w:rsidRPr="0066216E" w:rsidRDefault="00965C3A" w:rsidP="002E395A">
      <w:pPr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 xml:space="preserve">Porozumienie gospodarcze podpisane 29 kwietnia 2006 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r. </w:t>
      </w:r>
      <w:r w:rsidRPr="0066216E">
        <w:rPr>
          <w:rFonts w:cstheme="minorHAnsi"/>
          <w:color w:val="1B1B1B"/>
          <w:shd w:val="clear" w:color="auto" w:fill="FFFFFF"/>
        </w:rPr>
        <w:t>w Hawanie przez przywódcę Kuby F</w:t>
      </w:r>
      <w:r w:rsidR="00446B86" w:rsidRPr="0066216E">
        <w:rPr>
          <w:rFonts w:cstheme="minorHAnsi"/>
          <w:color w:val="1B1B1B"/>
          <w:shd w:val="clear" w:color="auto" w:fill="FFFFFF"/>
        </w:rPr>
        <w:t>.</w:t>
      </w:r>
      <w:r w:rsidRPr="0066216E">
        <w:rPr>
          <w:rFonts w:cstheme="minorHAnsi"/>
          <w:color w:val="1B1B1B"/>
          <w:shd w:val="clear" w:color="auto" w:fill="FFFFFF"/>
        </w:rPr>
        <w:t xml:space="preserve"> Castro, prezydenta Wenezueli H</w:t>
      </w:r>
      <w:r w:rsidR="00446B86" w:rsidRPr="0066216E">
        <w:rPr>
          <w:rFonts w:cstheme="minorHAnsi"/>
          <w:color w:val="1B1B1B"/>
          <w:shd w:val="clear" w:color="auto" w:fill="FFFFFF"/>
        </w:rPr>
        <w:t>.</w:t>
      </w:r>
      <w:r w:rsidRPr="0066216E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66216E">
        <w:rPr>
          <w:rFonts w:cstheme="minorHAnsi"/>
          <w:color w:val="1B1B1B"/>
          <w:shd w:val="clear" w:color="auto" w:fill="FFFFFF"/>
        </w:rPr>
        <w:t>Cháveza</w:t>
      </w:r>
      <w:proofErr w:type="spellEnd"/>
      <w:r w:rsidRPr="0066216E">
        <w:rPr>
          <w:rFonts w:cstheme="minorHAnsi"/>
          <w:color w:val="1B1B1B"/>
          <w:shd w:val="clear" w:color="auto" w:fill="FFFFFF"/>
        </w:rPr>
        <w:t xml:space="preserve"> i prezydenta Boliwii E</w:t>
      </w:r>
      <w:r w:rsidR="00446B86" w:rsidRPr="0066216E">
        <w:rPr>
          <w:rFonts w:cstheme="minorHAnsi"/>
          <w:color w:val="1B1B1B"/>
          <w:shd w:val="clear" w:color="auto" w:fill="FFFFFF"/>
        </w:rPr>
        <w:t>.</w:t>
      </w:r>
      <w:r w:rsidRPr="0066216E">
        <w:rPr>
          <w:rFonts w:cstheme="minorHAnsi"/>
          <w:color w:val="1B1B1B"/>
          <w:shd w:val="clear" w:color="auto" w:fill="FFFFFF"/>
        </w:rPr>
        <w:t xml:space="preserve"> Moralesa.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 </w:t>
      </w:r>
      <w:r w:rsidRPr="0066216E">
        <w:rPr>
          <w:rFonts w:cstheme="minorHAnsi"/>
          <w:color w:val="1B1B1B"/>
          <w:shd w:val="clear" w:color="auto" w:fill="FFFFFF"/>
        </w:rPr>
        <w:t xml:space="preserve">ALBA była kluczowym projektem społeczno-gospodarczym </w:t>
      </w:r>
      <w:proofErr w:type="spellStart"/>
      <w:r w:rsidRPr="0066216E">
        <w:rPr>
          <w:rFonts w:cstheme="minorHAnsi"/>
          <w:color w:val="1B1B1B"/>
          <w:shd w:val="clear" w:color="auto" w:fill="FFFFFF"/>
        </w:rPr>
        <w:t>H.Chaveza</w:t>
      </w:r>
      <w:proofErr w:type="spellEnd"/>
      <w:r w:rsidRPr="0066216E">
        <w:rPr>
          <w:rFonts w:cstheme="minorHAnsi"/>
          <w:color w:val="1B1B1B"/>
          <w:shd w:val="clear" w:color="auto" w:fill="FFFFFF"/>
        </w:rPr>
        <w:t>. Powstała jako przeciwwaga dla Strefy Wolnego Handlu Obu Ameryk zaproponowanej przez USA. W odróżnieniu od regionalnych stref wolnego handlu, ALBA nastawiona jest na integrację opartą nie tyle na liberalizacji rynków, ile na pewnej socjalistycznej wizji dobrobytu społecznego i wzajemnej pomocy gospodarczej. Członkostwo w organizacji często zależało od ideologii politycznej rządu danego kraju. W jej skład obecnie wchodzą: Wenezuela, Kuba, Boliwia (wyszła z organizacji z 2019 r. powróciła w 2020 r.), Nikaragua, Antigua i Barbuda, Dominika, Grenada, Saint Kitts i Nevis, Saint Vincent i Grenadyny i Santa Lucia.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 </w:t>
      </w:r>
      <w:r w:rsidRPr="0066216E">
        <w:rPr>
          <w:rFonts w:cstheme="minorHAnsi"/>
          <w:color w:val="1B1B1B"/>
          <w:shd w:val="clear" w:color="auto" w:fill="FFFFFF"/>
        </w:rPr>
        <w:t xml:space="preserve">Siedzibą organizacji jest Caracas, a obecnym sekretarzem generalnym były wenezuelski dyplomata – J. </w:t>
      </w:r>
      <w:proofErr w:type="spellStart"/>
      <w:r w:rsidRPr="0066216E">
        <w:rPr>
          <w:rFonts w:cstheme="minorHAnsi"/>
          <w:color w:val="1B1B1B"/>
          <w:shd w:val="clear" w:color="auto" w:fill="FFFFFF"/>
        </w:rPr>
        <w:t>Arreaza</w:t>
      </w:r>
      <w:proofErr w:type="spellEnd"/>
      <w:r w:rsidRPr="0066216E">
        <w:rPr>
          <w:rFonts w:cstheme="minorHAnsi"/>
          <w:color w:val="1B1B1B"/>
          <w:shd w:val="clear" w:color="auto" w:fill="FFFFFF"/>
        </w:rPr>
        <w:t xml:space="preserve">. </w:t>
      </w:r>
    </w:p>
    <w:p w14:paraId="5D42665B" w14:textId="11B3146D" w:rsidR="00965C3A" w:rsidRPr="0066216E" w:rsidRDefault="00965C3A" w:rsidP="008B687D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color w:val="1B1B1B"/>
          <w:sz w:val="22"/>
          <w:shd w:val="clear" w:color="auto" w:fill="FFFFFF"/>
          <w:lang w:val="es-ES"/>
        </w:rPr>
      </w:pPr>
      <w:r w:rsidRPr="00100C9B">
        <w:rPr>
          <w:rFonts w:asciiTheme="minorHAnsi" w:hAnsiTheme="minorHAnsi" w:cstheme="minorHAnsi"/>
          <w:b/>
          <w:bCs/>
          <w:color w:val="1B1B1B"/>
          <w:sz w:val="22"/>
          <w:shd w:val="clear" w:color="auto" w:fill="FFFFFF"/>
          <w:lang w:val="es-VE"/>
        </w:rPr>
        <w:t>SELA</w:t>
      </w: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–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Latynoamerykański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system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>gospodarczy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VE"/>
        </w:rPr>
        <w:t xml:space="preserve"> (</w:t>
      </w:r>
      <w:r w:rsidRPr="0066216E">
        <w:rPr>
          <w:rFonts w:asciiTheme="minorHAnsi" w:hAnsiTheme="minorHAnsi" w:cstheme="minorHAnsi"/>
          <w:i/>
          <w:iCs/>
          <w:color w:val="1B1B1B"/>
          <w:sz w:val="22"/>
          <w:shd w:val="clear" w:color="auto" w:fill="FFFFFF"/>
          <w:lang w:val="es-ES"/>
        </w:rPr>
        <w:t>Sistema Económico Latinoamericano y el Caribe</w:t>
      </w: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ES"/>
        </w:rPr>
        <w:t xml:space="preserve">) </w:t>
      </w:r>
    </w:p>
    <w:p w14:paraId="3DE805B9" w14:textId="4A9586B9" w:rsidR="00965C3A" w:rsidRPr="0066216E" w:rsidRDefault="00965C3A" w:rsidP="00965C3A">
      <w:pPr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System Gospodarczy Ameryki Łacińskiej i Karaibów (SELA) to regionalna organizacja międzyrządowa, utworzona 17 października 1975 r. na mocy konwencji konstytucyjnej w Panamie</w:t>
      </w:r>
      <w:r w:rsidR="00446B86" w:rsidRPr="0066216E">
        <w:rPr>
          <w:rFonts w:cstheme="minorHAnsi"/>
          <w:color w:val="1B1B1B"/>
          <w:shd w:val="clear" w:color="auto" w:fill="FFFFFF"/>
        </w:rPr>
        <w:t>,</w:t>
      </w:r>
      <w:r w:rsidRPr="0066216E">
        <w:rPr>
          <w:rFonts w:cstheme="minorHAnsi"/>
          <w:color w:val="1B1B1B"/>
          <w:shd w:val="clear" w:color="auto" w:fill="FFFFFF"/>
        </w:rPr>
        <w:t xml:space="preserve"> składająca się z 25 państw Ameryki Łacińskiej i Karaibów. Jej siedziba znajduje się w Caracas.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 </w:t>
      </w:r>
      <w:r w:rsidRPr="0066216E">
        <w:rPr>
          <w:rFonts w:cstheme="minorHAnsi"/>
          <w:color w:val="1B1B1B"/>
          <w:shd w:val="clear" w:color="auto" w:fill="FFFFFF"/>
        </w:rPr>
        <w:t>Głównym celami organizacji są: promowanie systemu konsultacji i koordynacji Ameryki Łacińskiej i Karaibów w celu uzgodnienia wspólnych stanowisk i strategii w sprawach gospodarczych przed krajami, grupami narodów, forami i organizacjami międzynarodowymi oraz promowanie współpracy i integracji między krajami Ameryki Łacińskiej i Karaibów.</w:t>
      </w:r>
    </w:p>
    <w:p w14:paraId="09305DC1" w14:textId="77777777" w:rsidR="00965C3A" w:rsidRPr="0066216E" w:rsidRDefault="00965C3A" w:rsidP="008B687D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color w:val="1B1B1B"/>
          <w:sz w:val="22"/>
          <w:shd w:val="clear" w:color="auto" w:fill="FFFFFF"/>
          <w:lang w:val="es-ES"/>
        </w:rPr>
      </w:pPr>
      <w:r w:rsidRPr="00100C9B">
        <w:rPr>
          <w:rFonts w:asciiTheme="minorHAnsi" w:hAnsiTheme="minorHAnsi" w:cstheme="minorHAnsi"/>
          <w:b/>
          <w:bCs/>
          <w:color w:val="1B1B1B"/>
          <w:sz w:val="22"/>
          <w:shd w:val="clear" w:color="auto" w:fill="FFFFFF"/>
        </w:rPr>
        <w:t>CELAC</w:t>
      </w: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 xml:space="preserve"> – Wspólnota Państw Ameryki Łacińskiej i Karaibów (</w:t>
      </w:r>
      <w:proofErr w:type="spellStart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>hisz</w:t>
      </w:r>
      <w:proofErr w:type="spellEnd"/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</w:rPr>
        <w:t xml:space="preserve">. </w:t>
      </w:r>
      <w:r w:rsidRPr="0066216E">
        <w:rPr>
          <w:rFonts w:asciiTheme="minorHAnsi" w:hAnsiTheme="minorHAnsi" w:cstheme="minorHAnsi"/>
          <w:i/>
          <w:iCs/>
          <w:color w:val="1B1B1B"/>
          <w:sz w:val="22"/>
          <w:shd w:val="clear" w:color="auto" w:fill="FFFFFF"/>
          <w:lang w:val="es-ES"/>
        </w:rPr>
        <w:t>Comunidad de Estados Latinoamericanos y Caribeños</w:t>
      </w:r>
      <w:r w:rsidRPr="0066216E">
        <w:rPr>
          <w:rFonts w:asciiTheme="minorHAnsi" w:hAnsiTheme="minorHAnsi" w:cstheme="minorHAnsi"/>
          <w:color w:val="1B1B1B"/>
          <w:sz w:val="22"/>
          <w:shd w:val="clear" w:color="auto" w:fill="FFFFFF"/>
          <w:lang w:val="es-ES"/>
        </w:rPr>
        <w:t>)</w:t>
      </w:r>
    </w:p>
    <w:p w14:paraId="1F897CE6" w14:textId="5F5E28FE" w:rsidR="00965C3A" w:rsidRPr="0066216E" w:rsidRDefault="00965C3A" w:rsidP="00965C3A">
      <w:pPr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 xml:space="preserve">CELAC jest regionalnym mechanizmem międzyrządowym, który promuje integrację i rozwój krajów Ameryki Łacińskiej i Karaibów. Do organizacji przynależy 33 krajów. Jest to największa organizacja pod względem 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ilości </w:t>
      </w:r>
      <w:r w:rsidRPr="0066216E">
        <w:rPr>
          <w:rFonts w:cstheme="minorHAnsi"/>
          <w:color w:val="1B1B1B"/>
          <w:shd w:val="clear" w:color="auto" w:fill="FFFFFF"/>
        </w:rPr>
        <w:t xml:space="preserve">należących 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do niej </w:t>
      </w:r>
      <w:r w:rsidRPr="0066216E">
        <w:rPr>
          <w:rFonts w:cstheme="minorHAnsi"/>
          <w:color w:val="1B1B1B"/>
          <w:shd w:val="clear" w:color="auto" w:fill="FFFFFF"/>
        </w:rPr>
        <w:t>państw Ameryki Łacińskiej i Karaibów. W momencie opracowywania informatora (grudzień 2024 r.) trwają zaawansowane prace nad zawarciem umowy UE-CELAC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 w celu</w:t>
      </w:r>
      <w:r w:rsidRPr="0066216E">
        <w:rPr>
          <w:rFonts w:cstheme="minorHAnsi"/>
          <w:color w:val="1B1B1B"/>
          <w:shd w:val="clear" w:color="auto" w:fill="FFFFFF"/>
        </w:rPr>
        <w:t xml:space="preserve"> ułatwi</w:t>
      </w:r>
      <w:r w:rsidR="00446B86" w:rsidRPr="0066216E">
        <w:rPr>
          <w:rFonts w:cstheme="minorHAnsi"/>
          <w:color w:val="1B1B1B"/>
          <w:shd w:val="clear" w:color="auto" w:fill="FFFFFF"/>
        </w:rPr>
        <w:t>enia</w:t>
      </w:r>
      <w:r w:rsidRPr="0066216E">
        <w:rPr>
          <w:rFonts w:cstheme="minorHAnsi"/>
          <w:color w:val="1B1B1B"/>
          <w:shd w:val="clear" w:color="auto" w:fill="FFFFFF"/>
        </w:rPr>
        <w:t xml:space="preserve"> wymian</w:t>
      </w:r>
      <w:r w:rsidR="00446B86" w:rsidRPr="0066216E">
        <w:rPr>
          <w:rFonts w:cstheme="minorHAnsi"/>
          <w:color w:val="1B1B1B"/>
          <w:shd w:val="clear" w:color="auto" w:fill="FFFFFF"/>
        </w:rPr>
        <w:t>y</w:t>
      </w:r>
      <w:r w:rsidRPr="0066216E">
        <w:rPr>
          <w:rFonts w:cstheme="minorHAnsi"/>
          <w:color w:val="1B1B1B"/>
          <w:shd w:val="clear" w:color="auto" w:fill="FFFFFF"/>
        </w:rPr>
        <w:t xml:space="preserve"> handlow</w:t>
      </w:r>
      <w:r w:rsidR="00446B86" w:rsidRPr="0066216E">
        <w:rPr>
          <w:rFonts w:cstheme="minorHAnsi"/>
          <w:color w:val="1B1B1B"/>
          <w:shd w:val="clear" w:color="auto" w:fill="FFFFFF"/>
        </w:rPr>
        <w:t>ej</w:t>
      </w:r>
      <w:r w:rsidRPr="0066216E">
        <w:rPr>
          <w:rFonts w:cstheme="minorHAnsi"/>
          <w:color w:val="1B1B1B"/>
          <w:shd w:val="clear" w:color="auto" w:fill="FFFFFF"/>
        </w:rPr>
        <w:t xml:space="preserve">. </w:t>
      </w:r>
    </w:p>
    <w:p w14:paraId="7889377A" w14:textId="345005D4" w:rsidR="00965C3A" w:rsidRPr="00100C9B" w:rsidRDefault="00965C3A" w:rsidP="008B687D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b/>
          <w:bCs/>
          <w:color w:val="1B1B1B"/>
          <w:sz w:val="22"/>
          <w:shd w:val="clear" w:color="auto" w:fill="FFFFFF"/>
        </w:rPr>
      </w:pPr>
      <w:proofErr w:type="spellStart"/>
      <w:r w:rsidRPr="00100C9B">
        <w:rPr>
          <w:rFonts w:asciiTheme="minorHAnsi" w:hAnsiTheme="minorHAnsi" w:cstheme="minorHAnsi"/>
          <w:b/>
          <w:bCs/>
          <w:color w:val="1B1B1B"/>
          <w:sz w:val="22"/>
          <w:shd w:val="clear" w:color="auto" w:fill="FFFFFF"/>
        </w:rPr>
        <w:lastRenderedPageBreak/>
        <w:t>Mercosur</w:t>
      </w:r>
      <w:proofErr w:type="spellEnd"/>
    </w:p>
    <w:p w14:paraId="1143CF34" w14:textId="57542EAC" w:rsidR="00446B86" w:rsidRPr="00446B86" w:rsidRDefault="00446B86" w:rsidP="00100C9B">
      <w:pPr>
        <w:spacing w:after="120"/>
        <w:jc w:val="both"/>
        <w:rPr>
          <w:rFonts w:eastAsia="Times New Roman" w:cstheme="minorHAnsi"/>
          <w:lang w:eastAsia="pl-PL"/>
        </w:rPr>
      </w:pPr>
      <w:proofErr w:type="spellStart"/>
      <w:r w:rsidRPr="00446B86">
        <w:rPr>
          <w:rFonts w:eastAsia="Times New Roman" w:cstheme="minorHAnsi"/>
          <w:lang w:eastAsia="pl-PL"/>
        </w:rPr>
        <w:t>Mercosur</w:t>
      </w:r>
      <w:proofErr w:type="spellEnd"/>
      <w:r w:rsidRPr="00446B86">
        <w:rPr>
          <w:rFonts w:eastAsia="Times New Roman" w:cstheme="minorHAnsi"/>
          <w:lang w:eastAsia="pl-PL"/>
        </w:rPr>
        <w:t xml:space="preserve"> to regionalny blok handlowy założony w 1991 roku na mocy Traktatu z Asunción. Jego celem jest promowanie integracji gospodarczej, wolnego handlu i współpracy między krajami członkowskimi. Główne państwa członkowskie to</w:t>
      </w:r>
      <w:r w:rsidRPr="00100C9B">
        <w:rPr>
          <w:rFonts w:eastAsia="Times New Roman" w:cstheme="minorHAnsi"/>
          <w:lang w:eastAsia="pl-PL"/>
        </w:rPr>
        <w:t xml:space="preserve"> </w:t>
      </w:r>
      <w:r w:rsidRPr="00446B86">
        <w:rPr>
          <w:rFonts w:eastAsia="Times New Roman" w:cstheme="minorHAnsi"/>
          <w:lang w:eastAsia="pl-PL"/>
        </w:rPr>
        <w:t>Argentyna</w:t>
      </w:r>
      <w:r w:rsidRPr="00100C9B">
        <w:rPr>
          <w:rFonts w:eastAsia="Times New Roman" w:cstheme="minorHAnsi"/>
          <w:lang w:eastAsia="pl-PL"/>
        </w:rPr>
        <w:t xml:space="preserve">, </w:t>
      </w:r>
      <w:r w:rsidRPr="00446B86">
        <w:rPr>
          <w:rFonts w:eastAsia="Times New Roman" w:cstheme="minorHAnsi"/>
          <w:lang w:eastAsia="pl-PL"/>
        </w:rPr>
        <w:t>Brazylia</w:t>
      </w:r>
      <w:r w:rsidRPr="00100C9B">
        <w:rPr>
          <w:rFonts w:eastAsia="Times New Roman" w:cstheme="minorHAnsi"/>
          <w:lang w:eastAsia="pl-PL"/>
        </w:rPr>
        <w:t>, P</w:t>
      </w:r>
      <w:r w:rsidRPr="00446B86">
        <w:rPr>
          <w:rFonts w:eastAsia="Times New Roman" w:cstheme="minorHAnsi"/>
          <w:lang w:eastAsia="pl-PL"/>
        </w:rPr>
        <w:t>aragwaj</w:t>
      </w:r>
      <w:r w:rsidRPr="00100C9B">
        <w:rPr>
          <w:rFonts w:eastAsia="Times New Roman" w:cstheme="minorHAnsi"/>
          <w:lang w:eastAsia="pl-PL"/>
        </w:rPr>
        <w:t xml:space="preserve">, </w:t>
      </w:r>
      <w:r w:rsidRPr="00446B86">
        <w:rPr>
          <w:rFonts w:eastAsia="Times New Roman" w:cstheme="minorHAnsi"/>
          <w:lang w:eastAsia="pl-PL"/>
        </w:rPr>
        <w:t>Urugwaj</w:t>
      </w:r>
      <w:r w:rsidRPr="00100C9B">
        <w:rPr>
          <w:rFonts w:eastAsia="Times New Roman" w:cstheme="minorHAnsi"/>
          <w:lang w:eastAsia="pl-PL"/>
        </w:rPr>
        <w:t xml:space="preserve"> i od 2020 r. </w:t>
      </w:r>
      <w:r w:rsidRPr="00446B86">
        <w:rPr>
          <w:rFonts w:eastAsia="Times New Roman" w:cstheme="minorHAnsi"/>
          <w:lang w:eastAsia="pl-PL"/>
        </w:rPr>
        <w:t>Boliwia.</w:t>
      </w:r>
      <w:r w:rsidR="00D92EF2" w:rsidRPr="00100C9B">
        <w:rPr>
          <w:rFonts w:eastAsia="Times New Roman" w:cstheme="minorHAnsi"/>
          <w:lang w:eastAsia="pl-PL"/>
        </w:rPr>
        <w:t xml:space="preserve"> </w:t>
      </w:r>
      <w:r w:rsidRPr="00446B86">
        <w:rPr>
          <w:rFonts w:eastAsia="Times New Roman" w:cstheme="minorHAnsi"/>
          <w:lang w:eastAsia="pl-PL"/>
        </w:rPr>
        <w:t xml:space="preserve">Oprócz głównych członków, </w:t>
      </w:r>
      <w:proofErr w:type="spellStart"/>
      <w:r w:rsidRPr="00446B86">
        <w:rPr>
          <w:rFonts w:eastAsia="Times New Roman" w:cstheme="minorHAnsi"/>
          <w:lang w:eastAsia="pl-PL"/>
        </w:rPr>
        <w:t>Mercosur</w:t>
      </w:r>
      <w:proofErr w:type="spellEnd"/>
      <w:r w:rsidRPr="00446B86">
        <w:rPr>
          <w:rFonts w:eastAsia="Times New Roman" w:cstheme="minorHAnsi"/>
          <w:lang w:eastAsia="pl-PL"/>
        </w:rPr>
        <w:t xml:space="preserve"> ma także krajów obserwatorów lub członków stowarzyszonych, takich jak Chile</w:t>
      </w:r>
      <w:r w:rsidR="00D92EF2" w:rsidRPr="00100C9B">
        <w:rPr>
          <w:rFonts w:eastAsia="Times New Roman" w:cstheme="minorHAnsi"/>
          <w:lang w:eastAsia="pl-PL"/>
        </w:rPr>
        <w:t xml:space="preserve"> i</w:t>
      </w:r>
      <w:r w:rsidRPr="00446B86">
        <w:rPr>
          <w:rFonts w:eastAsia="Times New Roman" w:cstheme="minorHAnsi"/>
          <w:lang w:eastAsia="pl-PL"/>
        </w:rPr>
        <w:t xml:space="preserve"> Peru</w:t>
      </w:r>
      <w:r w:rsidR="00D92EF2" w:rsidRPr="00100C9B">
        <w:rPr>
          <w:rFonts w:eastAsia="Times New Roman" w:cstheme="minorHAnsi"/>
          <w:lang w:eastAsia="pl-PL"/>
        </w:rPr>
        <w:t xml:space="preserve">. </w:t>
      </w:r>
      <w:proofErr w:type="spellStart"/>
      <w:r w:rsidR="00D92EF2" w:rsidRPr="00100C9B">
        <w:rPr>
          <w:rFonts w:eastAsia="Times New Roman" w:cstheme="minorHAnsi"/>
          <w:lang w:eastAsia="pl-PL"/>
        </w:rPr>
        <w:t>Mercosur</w:t>
      </w:r>
      <w:proofErr w:type="spellEnd"/>
      <w:r w:rsidR="00D92EF2" w:rsidRPr="00100C9B">
        <w:rPr>
          <w:rFonts w:eastAsia="Times New Roman" w:cstheme="minorHAnsi"/>
          <w:lang w:eastAsia="pl-PL"/>
        </w:rPr>
        <w:t xml:space="preserve"> </w:t>
      </w:r>
      <w:r w:rsidRPr="00446B86">
        <w:rPr>
          <w:rFonts w:eastAsia="Times New Roman" w:cstheme="minorHAnsi"/>
          <w:lang w:eastAsia="pl-PL"/>
        </w:rPr>
        <w:t xml:space="preserve">podpisał </w:t>
      </w:r>
      <w:r w:rsidR="00D92EF2" w:rsidRPr="00100C9B">
        <w:rPr>
          <w:rFonts w:eastAsia="Times New Roman" w:cstheme="minorHAnsi"/>
          <w:lang w:eastAsia="pl-PL"/>
        </w:rPr>
        <w:t xml:space="preserve">także </w:t>
      </w:r>
      <w:r w:rsidRPr="00446B86">
        <w:rPr>
          <w:rFonts w:eastAsia="Times New Roman" w:cstheme="minorHAnsi"/>
          <w:lang w:eastAsia="pl-PL"/>
        </w:rPr>
        <w:t xml:space="preserve">umowy handlowe z różnymi krajami i organizacjami na całym świecie. </w:t>
      </w:r>
    </w:p>
    <w:p w14:paraId="13D02581" w14:textId="34981CCF" w:rsidR="00965C3A" w:rsidRPr="008E35F8" w:rsidRDefault="00965C3A" w:rsidP="00100C9B">
      <w:pPr>
        <w:spacing w:after="120"/>
        <w:jc w:val="both"/>
        <w:rPr>
          <w:rFonts w:cstheme="minorHAnsi"/>
          <w:color w:val="1B1B1B"/>
          <w:shd w:val="clear" w:color="auto" w:fill="FFFFFF"/>
        </w:rPr>
      </w:pPr>
      <w:r w:rsidRPr="0066216E">
        <w:rPr>
          <w:rFonts w:cstheme="minorHAnsi"/>
          <w:color w:val="1B1B1B"/>
          <w:shd w:val="clear" w:color="auto" w:fill="FFFFFF"/>
        </w:rPr>
        <w:t>W 2006 r. Wenezuela podpisała protokół przystąpienia do bloku, niemniej nastąpiło to dopiero w 2012 r. Głównym powodem przystąpienia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 do </w:t>
      </w:r>
      <w:proofErr w:type="spellStart"/>
      <w:r w:rsidR="00446B86" w:rsidRPr="0066216E">
        <w:rPr>
          <w:rFonts w:cstheme="minorHAnsi"/>
          <w:color w:val="1B1B1B"/>
          <w:shd w:val="clear" w:color="auto" w:fill="FFFFFF"/>
        </w:rPr>
        <w:t>Mercosur</w:t>
      </w:r>
      <w:proofErr w:type="spellEnd"/>
      <w:r w:rsidR="00446B86" w:rsidRPr="0066216E">
        <w:rPr>
          <w:rFonts w:cstheme="minorHAnsi"/>
          <w:color w:val="1B1B1B"/>
          <w:shd w:val="clear" w:color="auto" w:fill="FFFFFF"/>
        </w:rPr>
        <w:t xml:space="preserve"> </w:t>
      </w:r>
      <w:r w:rsidRPr="0066216E">
        <w:rPr>
          <w:rFonts w:cstheme="minorHAnsi"/>
          <w:color w:val="1B1B1B"/>
          <w:shd w:val="clear" w:color="auto" w:fill="FFFFFF"/>
        </w:rPr>
        <w:t xml:space="preserve">było zwiększenie wymiany handlowej z Argentyną, Brazylią i Urugwajem, co leżało również interesie </w:t>
      </w:r>
      <w:proofErr w:type="spellStart"/>
      <w:r w:rsidRPr="0066216E">
        <w:rPr>
          <w:rFonts w:cstheme="minorHAnsi"/>
          <w:color w:val="1B1B1B"/>
          <w:shd w:val="clear" w:color="auto" w:fill="FFFFFF"/>
        </w:rPr>
        <w:t>cha</w:t>
      </w:r>
      <w:r w:rsidR="00446B86" w:rsidRPr="0066216E">
        <w:rPr>
          <w:rFonts w:cstheme="minorHAnsi"/>
          <w:color w:val="1B1B1B"/>
          <w:shd w:val="clear" w:color="auto" w:fill="FFFFFF"/>
        </w:rPr>
        <w:t>w</w:t>
      </w:r>
      <w:r w:rsidRPr="0066216E">
        <w:rPr>
          <w:rFonts w:cstheme="minorHAnsi"/>
          <w:color w:val="1B1B1B"/>
          <w:shd w:val="clear" w:color="auto" w:fill="FFFFFF"/>
        </w:rPr>
        <w:t>istowskiej</w:t>
      </w:r>
      <w:proofErr w:type="spellEnd"/>
      <w:r w:rsidRPr="0066216E">
        <w:rPr>
          <w:rFonts w:cstheme="minorHAnsi"/>
          <w:color w:val="1B1B1B"/>
          <w:shd w:val="clear" w:color="auto" w:fill="FFFFFF"/>
        </w:rPr>
        <w:t xml:space="preserve"> wizji polityki zagranicznej. Tym sposobem Wenezuela mogła zmniejszyć zależność od wymiany handlowej z Europą i USA i przyspieszyć ekonomiczną integrację Ameryki Południowej. W sierpniu 2017 r., jednomyślną decyzją fundatorów </w:t>
      </w:r>
      <w:proofErr w:type="spellStart"/>
      <w:r w:rsidRPr="0066216E">
        <w:rPr>
          <w:rFonts w:cstheme="minorHAnsi"/>
          <w:color w:val="1B1B1B"/>
          <w:shd w:val="clear" w:color="auto" w:fill="FFFFFF"/>
        </w:rPr>
        <w:t>Mercosur</w:t>
      </w:r>
      <w:proofErr w:type="spellEnd"/>
      <w:r w:rsidRPr="0066216E">
        <w:rPr>
          <w:rFonts w:cstheme="minorHAnsi"/>
          <w:color w:val="1B1B1B"/>
          <w:shd w:val="clear" w:color="auto" w:fill="FFFFFF"/>
        </w:rPr>
        <w:t xml:space="preserve"> (Argentyna, Urugwaj, Paragwaj i Brazylia), Wenezuela została zawieszona w prawach członkowskich; przyczyną było „łamanie porządku demokratycznego”. Klauzula podpisana przez ww. państwa w 1998 r. w Ushuaia (Argentyna), ratyfikowana i rozszerzona w 2011 r. określa, że utrzymanie zasad demokratycznych w każdym kraju, jest warunkiem nadrzędnym dla integracji regionalnej. Decyzja nie zmieniła wiele, ponieważ Wenezuela już od grudnia 2016 r. była zawieszona w prawach członkowskich z powodu niewypełnienia zobowiązań finansow</w:t>
      </w:r>
      <w:r w:rsidR="00446B86" w:rsidRPr="0066216E">
        <w:rPr>
          <w:rFonts w:cstheme="minorHAnsi"/>
          <w:color w:val="1B1B1B"/>
          <w:shd w:val="clear" w:color="auto" w:fill="FFFFFF"/>
        </w:rPr>
        <w:t xml:space="preserve">ych, </w:t>
      </w:r>
      <w:r w:rsidRPr="0066216E">
        <w:rPr>
          <w:rFonts w:cstheme="minorHAnsi"/>
          <w:color w:val="1B1B1B"/>
          <w:shd w:val="clear" w:color="auto" w:fill="FFFFFF"/>
        </w:rPr>
        <w:t>do których się</w:t>
      </w:r>
      <w:r w:rsidR="008E35F8">
        <w:rPr>
          <w:rFonts w:cstheme="minorHAnsi"/>
          <w:color w:val="1B1B1B"/>
          <w:shd w:val="clear" w:color="auto" w:fill="FFFFFF"/>
        </w:rPr>
        <w:t xml:space="preserve"> </w:t>
      </w:r>
      <w:r w:rsidRPr="0066216E">
        <w:rPr>
          <w:rFonts w:cstheme="minorHAnsi"/>
          <w:color w:val="1B1B1B"/>
          <w:shd w:val="clear" w:color="auto" w:fill="FFFFFF"/>
        </w:rPr>
        <w:t>zobowiązała</w:t>
      </w:r>
      <w:r w:rsidR="008E35F8">
        <w:rPr>
          <w:rFonts w:cstheme="minorHAnsi"/>
          <w:color w:val="1B1B1B"/>
          <w:shd w:val="clear" w:color="auto" w:fill="FFFFFF"/>
        </w:rPr>
        <w:t> </w:t>
      </w:r>
      <w:r w:rsidRPr="0066216E">
        <w:rPr>
          <w:rFonts w:cstheme="minorHAnsi"/>
          <w:color w:val="1B1B1B"/>
          <w:shd w:val="clear" w:color="auto" w:fill="FFFFFF"/>
        </w:rPr>
        <w:t>w</w:t>
      </w:r>
      <w:r w:rsidR="008E35F8">
        <w:rPr>
          <w:rFonts w:cstheme="minorHAnsi"/>
          <w:color w:val="1B1B1B"/>
          <w:shd w:val="clear" w:color="auto" w:fill="FFFFFF"/>
        </w:rPr>
        <w:t> </w:t>
      </w:r>
      <w:r w:rsidRPr="0066216E">
        <w:rPr>
          <w:rFonts w:cstheme="minorHAnsi"/>
          <w:color w:val="1B1B1B"/>
          <w:shd w:val="clear" w:color="auto" w:fill="FFFFFF"/>
        </w:rPr>
        <w:t>2012</w:t>
      </w:r>
      <w:r w:rsidR="008E35F8">
        <w:rPr>
          <w:rFonts w:cstheme="minorHAnsi"/>
          <w:color w:val="1B1B1B"/>
          <w:shd w:val="clear" w:color="auto" w:fill="FFFFFF"/>
        </w:rPr>
        <w:t> </w:t>
      </w:r>
      <w:r w:rsidRPr="0066216E">
        <w:rPr>
          <w:rFonts w:cstheme="minorHAnsi"/>
          <w:color w:val="1B1B1B"/>
          <w:shd w:val="clear" w:color="auto" w:fill="FFFFFF"/>
        </w:rPr>
        <w:t>r.</w:t>
      </w:r>
    </w:p>
    <w:p w14:paraId="479468F4" w14:textId="6F7DF56A" w:rsidR="00965C3A" w:rsidRPr="00100C9B" w:rsidRDefault="00100C9B" w:rsidP="00100C9B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00C9B">
        <w:rPr>
          <w:rFonts w:asciiTheme="minorHAnsi" w:hAnsiTheme="minorHAnsi" w:cstheme="minorHAnsi"/>
          <w:b/>
          <w:bCs/>
          <w:sz w:val="22"/>
        </w:rPr>
        <w:t xml:space="preserve">POZYCJA KRAJU W RANKINGACH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134"/>
        <w:gridCol w:w="1134"/>
      </w:tblGrid>
      <w:tr w:rsidR="00965C3A" w:rsidRPr="0066216E" w14:paraId="4449BE6F" w14:textId="77777777" w:rsidTr="009C1A81">
        <w:trPr>
          <w:trHeight w:val="31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369A" w14:textId="77777777" w:rsidR="00965C3A" w:rsidRPr="0066216E" w:rsidRDefault="00965C3A" w:rsidP="009C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216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Pozycja kraju w rankingach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33E" w14:textId="77777777" w:rsidR="00965C3A" w:rsidRPr="0066216E" w:rsidRDefault="00965C3A" w:rsidP="009C1A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965C3A" w:rsidRPr="0066216E" w14:paraId="6CCB2EC0" w14:textId="77777777" w:rsidTr="009C1A81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8B27" w14:textId="77777777" w:rsidR="00965C3A" w:rsidRPr="0066216E" w:rsidRDefault="00965C3A" w:rsidP="009C1A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6216E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476A" w14:textId="77777777" w:rsidR="00965C3A" w:rsidRPr="0066216E" w:rsidRDefault="00965C3A" w:rsidP="009C1A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6216E">
              <w:rPr>
                <w:rFonts w:eastAsia="Times New Roman" w:cstheme="minorHAnsi"/>
                <w:bCs/>
                <w:color w:val="000000"/>
                <w:lang w:eastAsia="pl-PL"/>
              </w:rPr>
              <w:t> pkt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64BC" w14:textId="77777777" w:rsidR="00965C3A" w:rsidRPr="0066216E" w:rsidRDefault="00965C3A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216E">
              <w:rPr>
                <w:rFonts w:eastAsia="Times New Roman" w:cstheme="minorHAnsi"/>
                <w:color w:val="000000"/>
                <w:lang w:eastAsia="pl-PL"/>
              </w:rPr>
              <w:t> pozycja</w:t>
            </w:r>
          </w:p>
        </w:tc>
      </w:tr>
      <w:tr w:rsidR="00965C3A" w:rsidRPr="0066216E" w14:paraId="51FC4983" w14:textId="77777777" w:rsidTr="009C1A81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D44" w14:textId="77777777" w:rsidR="00965C3A" w:rsidRPr="0066216E" w:rsidRDefault="00BC009E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hyperlink r:id="rId20" w:history="1">
              <w:r w:rsidR="00965C3A" w:rsidRPr="0066216E">
                <w:rPr>
                  <w:rStyle w:val="Hipercze"/>
                  <w:rFonts w:eastAsia="Times New Roman" w:cstheme="minorHAnsi"/>
                  <w:lang w:val="en-US" w:eastAsia="pl-PL"/>
                </w:rPr>
                <w:t>Corruption Perception Index</w:t>
              </w:r>
            </w:hyperlink>
            <w:r w:rsidR="00965C3A" w:rsidRPr="0066216E">
              <w:rPr>
                <w:rFonts w:eastAsia="Times New Roman" w:cstheme="minorHAnsi"/>
                <w:color w:val="000000"/>
                <w:lang w:val="en-US" w:eastAsia="pl-PL"/>
              </w:rPr>
              <w:t xml:space="preserve"> (Transparency International)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ABC" w14:textId="77777777" w:rsidR="00965C3A" w:rsidRPr="0066216E" w:rsidRDefault="00965C3A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6216E">
              <w:rPr>
                <w:rFonts w:eastAsia="Times New Roman" w:cstheme="minorHAnsi"/>
                <w:color w:val="000000"/>
                <w:lang w:val="en-US" w:eastAsia="pl-PL"/>
              </w:rPr>
              <w:t> 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0C1" w14:textId="77777777" w:rsidR="00965C3A" w:rsidRPr="0066216E" w:rsidRDefault="00965C3A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6216E">
              <w:rPr>
                <w:rFonts w:eastAsia="Times New Roman" w:cstheme="minorHAnsi"/>
                <w:color w:val="000000"/>
                <w:lang w:val="en-US" w:eastAsia="pl-PL"/>
              </w:rPr>
              <w:t> 177/180</w:t>
            </w:r>
          </w:p>
        </w:tc>
      </w:tr>
      <w:tr w:rsidR="00965C3A" w:rsidRPr="0066216E" w14:paraId="621FFFA5" w14:textId="77777777" w:rsidTr="009C1A81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18C8" w14:textId="77777777" w:rsidR="00965C3A" w:rsidRPr="0066216E" w:rsidRDefault="00BC009E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hyperlink r:id="rId21" w:history="1">
              <w:r w:rsidR="00965C3A" w:rsidRPr="0066216E">
                <w:rPr>
                  <w:rStyle w:val="Hipercze"/>
                  <w:rFonts w:eastAsia="Times New Roman" w:cstheme="minorHAnsi"/>
                  <w:lang w:val="en-US" w:eastAsia="pl-PL"/>
                </w:rPr>
                <w:t>Global Innovation Index</w:t>
              </w:r>
            </w:hyperlink>
            <w:r w:rsidR="00965C3A" w:rsidRPr="0066216E">
              <w:rPr>
                <w:rFonts w:eastAsia="Times New Roman" w:cstheme="minorHAnsi"/>
                <w:color w:val="000000"/>
                <w:lang w:val="en-US" w:eastAsia="pl-PL"/>
              </w:rPr>
              <w:t xml:space="preserve"> (World Intellectual Property Organization)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39A" w14:textId="77777777" w:rsidR="00965C3A" w:rsidRPr="0066216E" w:rsidRDefault="00965C3A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6216E">
              <w:rPr>
                <w:rFonts w:eastAsia="Times New Roman" w:cstheme="minorHAnsi"/>
                <w:color w:val="000000"/>
                <w:lang w:val="en-US" w:eastAsia="pl-PL"/>
              </w:rPr>
              <w:t> 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87B5" w14:textId="77777777" w:rsidR="00965C3A" w:rsidRPr="0066216E" w:rsidRDefault="00965C3A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6216E">
              <w:rPr>
                <w:rFonts w:eastAsia="Times New Roman" w:cstheme="minorHAnsi"/>
                <w:color w:val="000000"/>
                <w:lang w:val="en-US" w:eastAsia="pl-PL"/>
              </w:rPr>
              <w:t> n/a</w:t>
            </w:r>
          </w:p>
        </w:tc>
      </w:tr>
      <w:tr w:rsidR="00965C3A" w:rsidRPr="0066216E" w14:paraId="07D9BBFB" w14:textId="77777777" w:rsidTr="009C1A81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556E" w14:textId="77777777" w:rsidR="00965C3A" w:rsidRPr="0066216E" w:rsidRDefault="00BC009E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hyperlink r:id="rId22" w:history="1">
              <w:r w:rsidR="00965C3A" w:rsidRPr="0066216E">
                <w:rPr>
                  <w:rStyle w:val="Hipercze"/>
                  <w:rFonts w:eastAsia="Times New Roman" w:cstheme="minorHAnsi"/>
                  <w:lang w:val="en-US" w:eastAsia="pl-PL"/>
                </w:rPr>
                <w:t>Economic Freedom Index</w:t>
              </w:r>
            </w:hyperlink>
            <w:r w:rsidR="00965C3A" w:rsidRPr="0066216E">
              <w:rPr>
                <w:rFonts w:eastAsia="Times New Roman" w:cstheme="minorHAnsi"/>
                <w:color w:val="000000"/>
                <w:lang w:val="en-US" w:eastAsia="pl-PL"/>
              </w:rPr>
              <w:t xml:space="preserve"> (Heritage Foundation)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136E" w14:textId="77777777" w:rsidR="00965C3A" w:rsidRPr="0066216E" w:rsidRDefault="00965C3A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6216E">
              <w:rPr>
                <w:rFonts w:eastAsia="Times New Roman" w:cstheme="minorHAnsi"/>
                <w:color w:val="000000"/>
                <w:lang w:val="en-US" w:eastAsia="pl-PL"/>
              </w:rPr>
              <w:t> 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530" w14:textId="77777777" w:rsidR="00965C3A" w:rsidRPr="0066216E" w:rsidRDefault="00965C3A" w:rsidP="009C1A8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66216E">
              <w:rPr>
                <w:rFonts w:eastAsia="Times New Roman" w:cstheme="minorHAnsi"/>
                <w:color w:val="000000"/>
                <w:lang w:val="en-US" w:eastAsia="pl-PL"/>
              </w:rPr>
              <w:t> 174/176</w:t>
            </w:r>
          </w:p>
        </w:tc>
      </w:tr>
    </w:tbl>
    <w:p w14:paraId="470D41FB" w14:textId="77777777" w:rsidR="00965C3A" w:rsidRPr="0066216E" w:rsidRDefault="00965C3A" w:rsidP="00965C3A">
      <w:pPr>
        <w:rPr>
          <w:rFonts w:cstheme="minorHAnsi"/>
          <w:lang w:val="en-US"/>
        </w:rPr>
      </w:pPr>
    </w:p>
    <w:p w14:paraId="62A9240E" w14:textId="1A90F096" w:rsidR="00965C3A" w:rsidRPr="00100C9B" w:rsidRDefault="00100C9B" w:rsidP="00100C9B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00C9B">
        <w:rPr>
          <w:rFonts w:asciiTheme="minorHAnsi" w:hAnsiTheme="minorHAnsi" w:cstheme="minorHAnsi"/>
          <w:b/>
          <w:bCs/>
          <w:sz w:val="22"/>
        </w:rPr>
        <w:t>RELACJE DWUSTRONNE</w:t>
      </w:r>
    </w:p>
    <w:p w14:paraId="0DD9202E" w14:textId="2870EC21" w:rsidR="00965C3A" w:rsidRPr="00100C9B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00C9B">
        <w:rPr>
          <w:rFonts w:asciiTheme="minorHAnsi" w:hAnsiTheme="minorHAnsi" w:cstheme="minorHAnsi"/>
          <w:b/>
          <w:bCs/>
          <w:sz w:val="22"/>
        </w:rPr>
        <w:t>Dwustronne relacje handlowe i inwestycyjne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4"/>
        <w:gridCol w:w="2302"/>
        <w:gridCol w:w="2302"/>
        <w:gridCol w:w="2302"/>
      </w:tblGrid>
      <w:tr w:rsidR="00965C3A" w:rsidRPr="0066216E" w14:paraId="57173971" w14:textId="77777777" w:rsidTr="009C1A81">
        <w:tc>
          <w:tcPr>
            <w:tcW w:w="2154" w:type="dxa"/>
          </w:tcPr>
          <w:p w14:paraId="65DC5B1B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Import/eksport (mln EUR)</w:t>
            </w:r>
          </w:p>
        </w:tc>
        <w:tc>
          <w:tcPr>
            <w:tcW w:w="2302" w:type="dxa"/>
          </w:tcPr>
          <w:p w14:paraId="51A01A90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2021</w:t>
            </w:r>
          </w:p>
        </w:tc>
        <w:tc>
          <w:tcPr>
            <w:tcW w:w="2302" w:type="dxa"/>
          </w:tcPr>
          <w:p w14:paraId="0627D48B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2022</w:t>
            </w:r>
          </w:p>
        </w:tc>
        <w:tc>
          <w:tcPr>
            <w:tcW w:w="2302" w:type="dxa"/>
          </w:tcPr>
          <w:p w14:paraId="41117DE3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2023</w:t>
            </w:r>
          </w:p>
        </w:tc>
      </w:tr>
      <w:tr w:rsidR="00965C3A" w:rsidRPr="0066216E" w14:paraId="0966C666" w14:textId="77777777" w:rsidTr="009C1A81">
        <w:tc>
          <w:tcPr>
            <w:tcW w:w="2154" w:type="dxa"/>
          </w:tcPr>
          <w:p w14:paraId="310384EF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Import do Polski</w:t>
            </w:r>
          </w:p>
        </w:tc>
        <w:tc>
          <w:tcPr>
            <w:tcW w:w="2302" w:type="dxa"/>
          </w:tcPr>
          <w:p w14:paraId="6F0F9957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3</w:t>
            </w:r>
          </w:p>
        </w:tc>
        <w:tc>
          <w:tcPr>
            <w:tcW w:w="2302" w:type="dxa"/>
          </w:tcPr>
          <w:p w14:paraId="447A9A9D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107,6</w:t>
            </w:r>
          </w:p>
        </w:tc>
        <w:tc>
          <w:tcPr>
            <w:tcW w:w="2302" w:type="dxa"/>
          </w:tcPr>
          <w:p w14:paraId="2E8A4431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33,3</w:t>
            </w:r>
          </w:p>
        </w:tc>
      </w:tr>
      <w:tr w:rsidR="00965C3A" w:rsidRPr="0066216E" w14:paraId="6D2801FF" w14:textId="77777777" w:rsidTr="009C1A81">
        <w:tc>
          <w:tcPr>
            <w:tcW w:w="2154" w:type="dxa"/>
          </w:tcPr>
          <w:p w14:paraId="46D5EC2E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Eksport z Polski</w:t>
            </w:r>
          </w:p>
        </w:tc>
        <w:tc>
          <w:tcPr>
            <w:tcW w:w="2302" w:type="dxa"/>
          </w:tcPr>
          <w:p w14:paraId="17D2723C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12,5</w:t>
            </w:r>
          </w:p>
        </w:tc>
        <w:tc>
          <w:tcPr>
            <w:tcW w:w="2302" w:type="dxa"/>
          </w:tcPr>
          <w:p w14:paraId="7F75333F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7,6</w:t>
            </w:r>
          </w:p>
        </w:tc>
        <w:tc>
          <w:tcPr>
            <w:tcW w:w="2302" w:type="dxa"/>
          </w:tcPr>
          <w:p w14:paraId="4E3BF4B7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6,3</w:t>
            </w:r>
          </w:p>
        </w:tc>
      </w:tr>
    </w:tbl>
    <w:p w14:paraId="42639E79" w14:textId="77777777" w:rsidR="00100C9B" w:rsidRDefault="00100C9B" w:rsidP="00965C3A">
      <w:pPr>
        <w:jc w:val="both"/>
        <w:rPr>
          <w:rFonts w:cstheme="minorHAnsi"/>
        </w:rPr>
      </w:pPr>
    </w:p>
    <w:p w14:paraId="0E42C6DC" w14:textId="77D3A014" w:rsidR="00965C3A" w:rsidRDefault="00965C3A" w:rsidP="00965C3A">
      <w:pPr>
        <w:jc w:val="both"/>
        <w:rPr>
          <w:rFonts w:cstheme="minorHAnsi"/>
        </w:rPr>
      </w:pPr>
      <w:r w:rsidRPr="0066216E">
        <w:rPr>
          <w:rFonts w:cstheme="minorHAnsi"/>
        </w:rPr>
        <w:t>W Wenezueli nie ma jak dotąd żadnych polskich inwestycji bezpośrednich ani spółek z udziałem polskiego kapitału (podobnie sytuacja przedstawia się z inwestycjami wenezuelskimi w Polsce). Jakiekolwiek inwestycje, zwłaszcza w mogących interesować Polskę strategicznych sektorach, jak górnictwo czy przemysł stoczniowy, wymagają zainicjowania dialogu na szczebl</w:t>
      </w:r>
      <w:r w:rsidR="003714F0">
        <w:rPr>
          <w:rFonts w:cstheme="minorHAnsi"/>
        </w:rPr>
        <w:t>u</w:t>
      </w:r>
      <w:r w:rsidRPr="0066216E">
        <w:rPr>
          <w:rFonts w:cstheme="minorHAnsi"/>
        </w:rPr>
        <w:t xml:space="preserve"> polityczny</w:t>
      </w:r>
      <w:r w:rsidR="003714F0">
        <w:rPr>
          <w:rFonts w:cstheme="minorHAnsi"/>
        </w:rPr>
        <w:t>m</w:t>
      </w:r>
      <w:r w:rsidRPr="0066216E">
        <w:rPr>
          <w:rFonts w:cstheme="minorHAnsi"/>
        </w:rPr>
        <w:t xml:space="preserve"> i podpisani</w:t>
      </w:r>
      <w:r w:rsidR="003714F0">
        <w:rPr>
          <w:rFonts w:cstheme="minorHAnsi"/>
        </w:rPr>
        <w:t>a</w:t>
      </w:r>
      <w:r w:rsidRPr="0066216E">
        <w:rPr>
          <w:rFonts w:cstheme="minorHAnsi"/>
        </w:rPr>
        <w:t xml:space="preserve"> dwustronnych porozumień o współpracy. Jak pokazują doświadczenia innych krajów, bez wsparcia ze strony rządowej nie ma praktycznie możliwości zintensyfikowania kontaktów gospodarczych z Wenezuelą</w:t>
      </w:r>
      <w:r w:rsidR="00446B86" w:rsidRPr="0066216E">
        <w:rPr>
          <w:rFonts w:cstheme="minorHAnsi"/>
        </w:rPr>
        <w:t xml:space="preserve"> w ramach sektora prywatnego</w:t>
      </w:r>
      <w:r w:rsidRPr="0066216E">
        <w:rPr>
          <w:rFonts w:cstheme="minorHAnsi"/>
        </w:rPr>
        <w:t xml:space="preserve">. </w:t>
      </w:r>
    </w:p>
    <w:p w14:paraId="0CB12311" w14:textId="029B0A23" w:rsidR="008E35F8" w:rsidRDefault="008E35F8" w:rsidP="00965C3A">
      <w:pPr>
        <w:jc w:val="both"/>
        <w:rPr>
          <w:rFonts w:cstheme="minorHAnsi"/>
        </w:rPr>
      </w:pPr>
    </w:p>
    <w:p w14:paraId="10E094B8" w14:textId="77777777" w:rsidR="008E35F8" w:rsidRPr="0066216E" w:rsidRDefault="008E35F8" w:rsidP="00965C3A">
      <w:pPr>
        <w:jc w:val="both"/>
        <w:rPr>
          <w:rFonts w:cstheme="minorHAnsi"/>
        </w:rPr>
      </w:pPr>
    </w:p>
    <w:p w14:paraId="7B884606" w14:textId="77777777" w:rsidR="00965C3A" w:rsidRPr="00100C9B" w:rsidRDefault="00965C3A" w:rsidP="008B687D">
      <w:pPr>
        <w:pStyle w:val="Akapitzlist"/>
        <w:tabs>
          <w:tab w:val="left" w:pos="284"/>
        </w:tabs>
        <w:ind w:left="0"/>
        <w:contextualSpacing w:val="0"/>
        <w:rPr>
          <w:rFonts w:asciiTheme="minorHAnsi" w:hAnsiTheme="minorHAnsi" w:cstheme="minorHAnsi"/>
          <w:b/>
          <w:bCs/>
          <w:sz w:val="22"/>
        </w:rPr>
      </w:pPr>
      <w:r w:rsidRPr="00100C9B">
        <w:rPr>
          <w:rFonts w:asciiTheme="minorHAnsi" w:hAnsiTheme="minorHAnsi" w:cstheme="minorHAnsi"/>
          <w:b/>
          <w:bCs/>
          <w:sz w:val="22"/>
        </w:rPr>
        <w:lastRenderedPageBreak/>
        <w:t>Relacje z UE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65C3A" w:rsidRPr="0066216E" w14:paraId="18322ECB" w14:textId="77777777" w:rsidTr="009C1A81">
        <w:tc>
          <w:tcPr>
            <w:tcW w:w="2265" w:type="dxa"/>
          </w:tcPr>
          <w:p w14:paraId="35F351C3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Import/eksport (mln EUR)</w:t>
            </w:r>
            <w:r w:rsidRPr="0066216E">
              <w:rPr>
                <w:rStyle w:val="Odwoanieprzypisudolnego"/>
                <w:rFonts w:cstheme="minorHAnsi"/>
              </w:rPr>
              <w:footnoteReference w:id="4"/>
            </w:r>
          </w:p>
        </w:tc>
        <w:tc>
          <w:tcPr>
            <w:tcW w:w="2265" w:type="dxa"/>
          </w:tcPr>
          <w:p w14:paraId="529469CD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2021</w:t>
            </w:r>
          </w:p>
        </w:tc>
        <w:tc>
          <w:tcPr>
            <w:tcW w:w="2265" w:type="dxa"/>
          </w:tcPr>
          <w:p w14:paraId="22ABADA6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2022</w:t>
            </w:r>
          </w:p>
        </w:tc>
        <w:tc>
          <w:tcPr>
            <w:tcW w:w="2265" w:type="dxa"/>
          </w:tcPr>
          <w:p w14:paraId="2F317A6B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2023</w:t>
            </w:r>
          </w:p>
        </w:tc>
      </w:tr>
      <w:tr w:rsidR="00965C3A" w:rsidRPr="0066216E" w14:paraId="54B1C3E3" w14:textId="77777777" w:rsidTr="009C1A81">
        <w:tc>
          <w:tcPr>
            <w:tcW w:w="2265" w:type="dxa"/>
          </w:tcPr>
          <w:p w14:paraId="5839E601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Import do UE</w:t>
            </w:r>
          </w:p>
        </w:tc>
        <w:tc>
          <w:tcPr>
            <w:tcW w:w="2265" w:type="dxa"/>
          </w:tcPr>
          <w:p w14:paraId="4039A069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500</w:t>
            </w:r>
          </w:p>
        </w:tc>
        <w:tc>
          <w:tcPr>
            <w:tcW w:w="2265" w:type="dxa"/>
          </w:tcPr>
          <w:p w14:paraId="7DCBB322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1200</w:t>
            </w:r>
          </w:p>
        </w:tc>
        <w:tc>
          <w:tcPr>
            <w:tcW w:w="2265" w:type="dxa"/>
          </w:tcPr>
          <w:p w14:paraId="0AA41B23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1200</w:t>
            </w:r>
          </w:p>
        </w:tc>
      </w:tr>
      <w:tr w:rsidR="00965C3A" w:rsidRPr="0066216E" w14:paraId="3E7B3400" w14:textId="77777777" w:rsidTr="009C1A81">
        <w:tc>
          <w:tcPr>
            <w:tcW w:w="2265" w:type="dxa"/>
          </w:tcPr>
          <w:p w14:paraId="42B4C1D1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Eksport z UE</w:t>
            </w:r>
          </w:p>
        </w:tc>
        <w:tc>
          <w:tcPr>
            <w:tcW w:w="2265" w:type="dxa"/>
          </w:tcPr>
          <w:p w14:paraId="2B7C4D69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400</w:t>
            </w:r>
          </w:p>
        </w:tc>
        <w:tc>
          <w:tcPr>
            <w:tcW w:w="2265" w:type="dxa"/>
          </w:tcPr>
          <w:p w14:paraId="5AB290DB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500</w:t>
            </w:r>
          </w:p>
        </w:tc>
        <w:tc>
          <w:tcPr>
            <w:tcW w:w="2265" w:type="dxa"/>
          </w:tcPr>
          <w:p w14:paraId="0F6C07FD" w14:textId="77777777" w:rsidR="00965C3A" w:rsidRPr="0066216E" w:rsidRDefault="00965C3A" w:rsidP="009C1A81">
            <w:pPr>
              <w:rPr>
                <w:rFonts w:cstheme="minorHAnsi"/>
              </w:rPr>
            </w:pPr>
            <w:r w:rsidRPr="0066216E">
              <w:rPr>
                <w:rFonts w:cstheme="minorHAnsi"/>
              </w:rPr>
              <w:t>600</w:t>
            </w:r>
          </w:p>
        </w:tc>
      </w:tr>
    </w:tbl>
    <w:p w14:paraId="1786BB98" w14:textId="77777777" w:rsidR="00965C3A" w:rsidRPr="0066216E" w:rsidRDefault="00965C3A" w:rsidP="00965C3A">
      <w:pPr>
        <w:rPr>
          <w:rFonts w:cstheme="minorHAnsi"/>
        </w:rPr>
      </w:pPr>
    </w:p>
    <w:p w14:paraId="26D776A9" w14:textId="2AEFBA99" w:rsidR="00965C3A" w:rsidRPr="0066216E" w:rsidRDefault="00965C3A" w:rsidP="00965C3A">
      <w:pPr>
        <w:jc w:val="both"/>
        <w:rPr>
          <w:rFonts w:cstheme="minorHAnsi"/>
        </w:rPr>
      </w:pPr>
      <w:r w:rsidRPr="0066216E">
        <w:rPr>
          <w:rFonts w:cstheme="minorHAnsi"/>
        </w:rPr>
        <w:t xml:space="preserve">Unia Europejska nie posiada preferencyjnej umowy handlowej z Wenezuelą. Niemniej </w:t>
      </w:r>
      <w:r w:rsidR="00446B86" w:rsidRPr="0066216E">
        <w:rPr>
          <w:rFonts w:cstheme="minorHAnsi"/>
        </w:rPr>
        <w:t>Wenezuela</w:t>
      </w:r>
      <w:r w:rsidRPr="0066216E">
        <w:rPr>
          <w:rFonts w:cstheme="minorHAnsi"/>
        </w:rPr>
        <w:t xml:space="preserve"> jako członek CELAC, może zostać objęta ustaleniami umowy z organizacją. W momencie tworzenia informatora (grudzień 2024 r.) umowa CELAC-UE nie została jeszcze zawarta. </w:t>
      </w:r>
    </w:p>
    <w:p w14:paraId="43315DA3" w14:textId="77777777" w:rsidR="00100C9B" w:rsidRPr="00100C9B" w:rsidRDefault="00965C3A" w:rsidP="008B687D">
      <w:pPr>
        <w:pStyle w:val="Akapitzlist"/>
        <w:tabs>
          <w:tab w:val="left" w:pos="284"/>
        </w:tabs>
        <w:ind w:left="0"/>
        <w:contextualSpacing w:val="0"/>
        <w:jc w:val="both"/>
        <w:rPr>
          <w:rFonts w:asciiTheme="minorHAnsi" w:hAnsiTheme="minorHAnsi" w:cstheme="minorHAnsi"/>
          <w:b/>
          <w:bCs/>
          <w:sz w:val="22"/>
        </w:rPr>
      </w:pPr>
      <w:r w:rsidRPr="00100C9B">
        <w:rPr>
          <w:rFonts w:asciiTheme="minorHAnsi" w:hAnsiTheme="minorHAnsi" w:cstheme="minorHAnsi"/>
          <w:b/>
          <w:bCs/>
          <w:sz w:val="22"/>
        </w:rPr>
        <w:t xml:space="preserve">Baza traktatowa </w:t>
      </w:r>
    </w:p>
    <w:p w14:paraId="133D8F29" w14:textId="09A96917" w:rsidR="00965C3A" w:rsidRPr="00100C9B" w:rsidRDefault="00965C3A" w:rsidP="00100C9B">
      <w:pPr>
        <w:pStyle w:val="Akapitzlist"/>
        <w:tabs>
          <w:tab w:val="left" w:pos="284"/>
        </w:tabs>
        <w:ind w:left="0"/>
        <w:contextualSpacing w:val="0"/>
        <w:jc w:val="both"/>
        <w:rPr>
          <w:rFonts w:asciiTheme="minorHAnsi" w:hAnsiTheme="minorHAnsi" w:cstheme="minorHAnsi"/>
          <w:sz w:val="22"/>
        </w:rPr>
      </w:pPr>
      <w:r w:rsidRPr="00100C9B">
        <w:rPr>
          <w:rFonts w:asciiTheme="minorHAnsi" w:hAnsiTheme="minorHAnsi" w:cstheme="minorHAnsi"/>
          <w:sz w:val="22"/>
        </w:rPr>
        <w:t xml:space="preserve">27 stycznia 2013 r. Polska i Wenezuela zawarły ramową Umowę o </w:t>
      </w:r>
      <w:r w:rsidR="00100C9B" w:rsidRPr="00100C9B">
        <w:rPr>
          <w:rFonts w:cstheme="minorHAnsi"/>
        </w:rPr>
        <w:t>w</w:t>
      </w:r>
      <w:r w:rsidRPr="00100C9B">
        <w:rPr>
          <w:rFonts w:asciiTheme="minorHAnsi" w:hAnsiTheme="minorHAnsi" w:cstheme="minorHAnsi"/>
          <w:sz w:val="22"/>
        </w:rPr>
        <w:t>spółpracy, która została podpisana przez ministrów spraw zagranicznych R</w:t>
      </w:r>
      <w:r w:rsidR="00446B86" w:rsidRPr="00100C9B">
        <w:rPr>
          <w:rFonts w:asciiTheme="minorHAnsi" w:hAnsiTheme="minorHAnsi" w:cstheme="minorHAnsi"/>
          <w:sz w:val="22"/>
        </w:rPr>
        <w:t>.</w:t>
      </w:r>
      <w:r w:rsidRPr="00100C9B">
        <w:rPr>
          <w:rFonts w:asciiTheme="minorHAnsi" w:hAnsiTheme="minorHAnsi" w:cstheme="minorHAnsi"/>
          <w:sz w:val="22"/>
        </w:rPr>
        <w:t xml:space="preserve"> Sikorskiego i E</w:t>
      </w:r>
      <w:r w:rsidR="00446B86" w:rsidRPr="00100C9B">
        <w:rPr>
          <w:rFonts w:asciiTheme="minorHAnsi" w:hAnsiTheme="minorHAnsi" w:cstheme="minorHAnsi"/>
          <w:sz w:val="22"/>
        </w:rPr>
        <w:t>.</w:t>
      </w:r>
      <w:r w:rsidRPr="00100C9B">
        <w:rPr>
          <w:rFonts w:asciiTheme="minorHAnsi" w:hAnsiTheme="minorHAnsi" w:cstheme="minorHAnsi"/>
          <w:sz w:val="22"/>
        </w:rPr>
        <w:t xml:space="preserve"> J. </w:t>
      </w:r>
      <w:proofErr w:type="spellStart"/>
      <w:r w:rsidRPr="00100C9B">
        <w:rPr>
          <w:rFonts w:asciiTheme="minorHAnsi" w:hAnsiTheme="minorHAnsi" w:cstheme="minorHAnsi"/>
          <w:sz w:val="22"/>
        </w:rPr>
        <w:t>Jaua</w:t>
      </w:r>
      <w:proofErr w:type="spellEnd"/>
      <w:r w:rsidRPr="00100C9B">
        <w:rPr>
          <w:rFonts w:asciiTheme="minorHAnsi" w:hAnsiTheme="minorHAnsi" w:cstheme="minorHAnsi"/>
          <w:sz w:val="22"/>
        </w:rPr>
        <w:t xml:space="preserve"> podczas I szczytu Wspólnoty Państw Ameryki Łacińskiej i Karaibów (CELAC) i Unii Europejskiej (UE). Jej celem jest zapewnienie firmom polskim i wenezuelskim minimum bezpieczeństwa prawnego i wsparcia instytucjonalnego w dwustronnych kontaktach handlowych. </w:t>
      </w:r>
    </w:p>
    <w:p w14:paraId="50F9432D" w14:textId="77777777" w:rsidR="00095254" w:rsidRPr="0066216E" w:rsidRDefault="00095254" w:rsidP="00965C3A">
      <w:pPr>
        <w:rPr>
          <w:rFonts w:cstheme="minorHAnsi"/>
        </w:rPr>
      </w:pPr>
    </w:p>
    <w:sectPr w:rsidR="00095254" w:rsidRPr="0066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A3B9" w14:textId="77777777" w:rsidR="00BC009E" w:rsidRDefault="00BC009E" w:rsidP="00965C3A">
      <w:pPr>
        <w:spacing w:after="0" w:line="240" w:lineRule="auto"/>
      </w:pPr>
      <w:r>
        <w:separator/>
      </w:r>
    </w:p>
  </w:endnote>
  <w:endnote w:type="continuationSeparator" w:id="0">
    <w:p w14:paraId="3D3A66A1" w14:textId="77777777" w:rsidR="00BC009E" w:rsidRDefault="00BC009E" w:rsidP="0096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0B91" w14:textId="77777777" w:rsidR="00BC009E" w:rsidRDefault="00BC009E" w:rsidP="00965C3A">
      <w:pPr>
        <w:spacing w:after="0" w:line="240" w:lineRule="auto"/>
      </w:pPr>
      <w:r>
        <w:separator/>
      </w:r>
    </w:p>
  </w:footnote>
  <w:footnote w:type="continuationSeparator" w:id="0">
    <w:p w14:paraId="3F3A5099" w14:textId="77777777" w:rsidR="00BC009E" w:rsidRDefault="00BC009E" w:rsidP="00965C3A">
      <w:pPr>
        <w:spacing w:after="0" w:line="240" w:lineRule="auto"/>
      </w:pPr>
      <w:r>
        <w:continuationSeparator/>
      </w:r>
    </w:p>
  </w:footnote>
  <w:footnote w:id="1">
    <w:p w14:paraId="3BA9C1DB" w14:textId="77777777" w:rsidR="00965C3A" w:rsidRPr="00D251BB" w:rsidRDefault="00965C3A" w:rsidP="00965C3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EC48AF">
          <w:rPr>
            <w:rStyle w:val="Hipercze"/>
          </w:rPr>
          <w:t>https://es.statista.com/grafico/32751/indicadores-economicos-seleccionados-sobre-la-republica-bolivariana-de-venezuela/</w:t>
        </w:r>
      </w:hyperlink>
      <w:r>
        <w:t xml:space="preserve"> </w:t>
      </w:r>
    </w:p>
  </w:footnote>
  <w:footnote w:id="2">
    <w:p w14:paraId="7A7EBD9B" w14:textId="77777777" w:rsidR="00965C3A" w:rsidRPr="008D7AB2" w:rsidRDefault="00965C3A" w:rsidP="00965C3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hyperlink r:id="rId2" w:history="1">
        <w:r w:rsidRPr="00965C3A">
          <w:rPr>
            <w:rStyle w:val="Hipercze"/>
            <w:lang w:val="pl-PL"/>
          </w:rPr>
          <w:t>https://oec.world/en/profile/country/ven?potentialExports=flow1&amp;yearlyTradeFlowSelector=flow1</w:t>
        </w:r>
      </w:hyperlink>
      <w:r w:rsidRPr="00965C3A">
        <w:rPr>
          <w:lang w:val="pl-PL"/>
        </w:rPr>
        <w:t xml:space="preserve"> </w:t>
      </w:r>
    </w:p>
  </w:footnote>
  <w:footnote w:id="3">
    <w:p w14:paraId="6B3CD559" w14:textId="77777777" w:rsidR="00965C3A" w:rsidRPr="00722AE8" w:rsidRDefault="00965C3A" w:rsidP="00965C3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22AE8">
        <w:rPr>
          <w:lang w:val="pl-PL"/>
        </w:rPr>
        <w:t xml:space="preserve"> </w:t>
      </w:r>
      <w:hyperlink r:id="rId3" w:history="1">
        <w:r w:rsidRPr="00EC48AF">
          <w:rPr>
            <w:rStyle w:val="Hipercze"/>
            <w:lang w:val="pl-PL"/>
          </w:rPr>
          <w:t>https://unctadstat.unctad.org/datacentre/dataviewer/US.FdiFlowsStock</w:t>
        </w:r>
      </w:hyperlink>
      <w:r>
        <w:rPr>
          <w:lang w:val="pl-PL"/>
        </w:rPr>
        <w:t xml:space="preserve"> </w:t>
      </w:r>
    </w:p>
  </w:footnote>
  <w:footnote w:id="4">
    <w:p w14:paraId="17D1A2DB" w14:textId="77777777" w:rsidR="00965C3A" w:rsidRPr="00CC379E" w:rsidRDefault="00965C3A" w:rsidP="00965C3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C379E">
        <w:rPr>
          <w:lang w:val="pl-PL"/>
        </w:rPr>
        <w:t xml:space="preserve"> </w:t>
      </w:r>
      <w:hyperlink r:id="rId4" w:history="1">
        <w:r w:rsidRPr="00EC48AF">
          <w:rPr>
            <w:rStyle w:val="Hipercze"/>
            <w:lang w:val="pl-PL"/>
          </w:rPr>
          <w:t>https://policy.trade.ec.europa.eu/eu-trade-relationships-country-and-region/countries-and-regions/venezuela_en</w:t>
        </w:r>
      </w:hyperlink>
      <w:r>
        <w:rPr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3A0"/>
    <w:multiLevelType w:val="multilevel"/>
    <w:tmpl w:val="BAC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817D1"/>
    <w:multiLevelType w:val="multilevel"/>
    <w:tmpl w:val="B2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D7DE6"/>
    <w:multiLevelType w:val="hybridMultilevel"/>
    <w:tmpl w:val="9F227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270"/>
    <w:multiLevelType w:val="multilevel"/>
    <w:tmpl w:val="BEB4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475AB"/>
    <w:multiLevelType w:val="multilevel"/>
    <w:tmpl w:val="F0A0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2755C"/>
    <w:multiLevelType w:val="multilevel"/>
    <w:tmpl w:val="6B80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D5E6E"/>
    <w:multiLevelType w:val="multilevel"/>
    <w:tmpl w:val="F96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97F7C"/>
    <w:multiLevelType w:val="multilevel"/>
    <w:tmpl w:val="38D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85F5E"/>
    <w:multiLevelType w:val="hybridMultilevel"/>
    <w:tmpl w:val="B18E0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03BFA"/>
    <w:multiLevelType w:val="multilevel"/>
    <w:tmpl w:val="4A5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76AA2"/>
    <w:multiLevelType w:val="hybridMultilevel"/>
    <w:tmpl w:val="455E7D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43888"/>
    <w:multiLevelType w:val="multilevel"/>
    <w:tmpl w:val="CE2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01B16"/>
    <w:multiLevelType w:val="multilevel"/>
    <w:tmpl w:val="AA4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52686"/>
    <w:multiLevelType w:val="multilevel"/>
    <w:tmpl w:val="22FC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95516"/>
    <w:multiLevelType w:val="multilevel"/>
    <w:tmpl w:val="079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87152"/>
    <w:multiLevelType w:val="hybridMultilevel"/>
    <w:tmpl w:val="2354929A"/>
    <w:lvl w:ilvl="0" w:tplc="F67225D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811FCE"/>
    <w:multiLevelType w:val="hybridMultilevel"/>
    <w:tmpl w:val="E87471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2"/>
  </w:num>
  <w:num w:numId="5">
    <w:abstractNumId w:val="16"/>
  </w:num>
  <w:num w:numId="6">
    <w:abstractNumId w:val="13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3A"/>
    <w:rsid w:val="00033DCC"/>
    <w:rsid w:val="00095254"/>
    <w:rsid w:val="000B68F8"/>
    <w:rsid w:val="00100C9B"/>
    <w:rsid w:val="00133911"/>
    <w:rsid w:val="001D6108"/>
    <w:rsid w:val="002E395A"/>
    <w:rsid w:val="003714F0"/>
    <w:rsid w:val="00387579"/>
    <w:rsid w:val="00446B86"/>
    <w:rsid w:val="004545DC"/>
    <w:rsid w:val="00661C92"/>
    <w:rsid w:val="0066216E"/>
    <w:rsid w:val="006F7B52"/>
    <w:rsid w:val="007B3BED"/>
    <w:rsid w:val="007D7103"/>
    <w:rsid w:val="008B58AE"/>
    <w:rsid w:val="008B687D"/>
    <w:rsid w:val="008E35F8"/>
    <w:rsid w:val="008F220A"/>
    <w:rsid w:val="00965C3A"/>
    <w:rsid w:val="00A028C9"/>
    <w:rsid w:val="00A411E0"/>
    <w:rsid w:val="00A8002E"/>
    <w:rsid w:val="00BC009E"/>
    <w:rsid w:val="00C11E93"/>
    <w:rsid w:val="00C84849"/>
    <w:rsid w:val="00CC2B21"/>
    <w:rsid w:val="00D92EF2"/>
    <w:rsid w:val="00F24F2A"/>
    <w:rsid w:val="00F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5AC3"/>
  <w15:chartTrackingRefBased/>
  <w15:docId w15:val="{8F706B33-D684-4D17-8450-0427BC66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C3A"/>
  </w:style>
  <w:style w:type="paragraph" w:styleId="Nagwek3">
    <w:name w:val="heading 3"/>
    <w:basedOn w:val="Normalny"/>
    <w:link w:val="Nagwek3Znak"/>
    <w:uiPriority w:val="9"/>
    <w:qFormat/>
    <w:rsid w:val="00A80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965C3A"/>
    <w:pPr>
      <w:ind w:left="720"/>
      <w:contextualSpacing/>
    </w:pPr>
    <w:rPr>
      <w:rFonts w:ascii="Lato" w:hAnsi="Lato"/>
      <w:sz w:val="20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basedOn w:val="Domylnaczcionkaakapitu"/>
    <w:link w:val="Akapitzlist"/>
    <w:uiPriority w:val="34"/>
    <w:qFormat/>
    <w:locked/>
    <w:rsid w:val="00965C3A"/>
    <w:rPr>
      <w:rFonts w:ascii="Lato" w:hAnsi="Lato"/>
      <w:sz w:val="20"/>
    </w:rPr>
  </w:style>
  <w:style w:type="table" w:styleId="Tabela-Siatka">
    <w:name w:val="Table Grid"/>
    <w:basedOn w:val="Standardowy"/>
    <w:uiPriority w:val="39"/>
    <w:rsid w:val="0096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C3A"/>
    <w:pPr>
      <w:spacing w:after="0" w:line="240" w:lineRule="auto"/>
      <w:ind w:left="720" w:hanging="720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C3A"/>
    <w:rPr>
      <w:rFonts w:ascii="Times New Roman" w:hAnsi="Times New Roman" w:cs="Times New Roman"/>
      <w:sz w:val="24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C3A"/>
    <w:rPr>
      <w:b/>
      <w:bCs w:val="0"/>
      <w:bdr w:val="none" w:sz="0" w:space="0" w:color="auto" w:frame="1"/>
      <w:vertAlign w:val="superscript"/>
    </w:rPr>
  </w:style>
  <w:style w:type="character" w:styleId="Hipercze">
    <w:name w:val="Hyperlink"/>
    <w:basedOn w:val="Domylnaczcionkaakapitu"/>
    <w:uiPriority w:val="99"/>
    <w:unhideWhenUsed/>
    <w:rsid w:val="00965C3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C2B21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8002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80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2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6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5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0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en/Home" TargetMode="External"/><Relationship Id="rId13" Type="http://schemas.openxmlformats.org/officeDocument/2006/relationships/hyperlink" Target="https://data.worldbank.org/" TargetMode="External"/><Relationship Id="rId18" Type="http://schemas.openxmlformats.org/officeDocument/2006/relationships/hyperlink" Target="https://data.worldbank.org/indicator/SI.POV.GIN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ipo.int/web/global-innovation-index/2023/index" TargetMode="External"/><Relationship Id="rId7" Type="http://schemas.openxmlformats.org/officeDocument/2006/relationships/hyperlink" Target="https://data.worldbank.org/" TargetMode="External"/><Relationship Id="rId12" Type="http://schemas.openxmlformats.org/officeDocument/2006/relationships/hyperlink" Target="https://data.worldbank.org/" TargetMode="External"/><Relationship Id="rId17" Type="http://schemas.openxmlformats.org/officeDocument/2006/relationships/hyperlink" Target="https://data.worldbank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.worldbank.org/" TargetMode="External"/><Relationship Id="rId20" Type="http://schemas.openxmlformats.org/officeDocument/2006/relationships/hyperlink" Target="https://www.transparency.org/en/cpi/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f.org/en/Hom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ata.worldbank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ta.worldbank.org/" TargetMode="External"/><Relationship Id="rId19" Type="http://schemas.openxmlformats.org/officeDocument/2006/relationships/hyperlink" Target="https://hdr.undp.org/data-center/human-development-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worldbank.org/" TargetMode="External"/><Relationship Id="rId14" Type="http://schemas.openxmlformats.org/officeDocument/2006/relationships/hyperlink" Target="https://www.imf.org/en/Home" TargetMode="External"/><Relationship Id="rId22" Type="http://schemas.openxmlformats.org/officeDocument/2006/relationships/hyperlink" Target="https://www.heritage.org/index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ctadstat.unctad.org/datacentre/dataviewer/US.FdiFlowsStock" TargetMode="External"/><Relationship Id="rId2" Type="http://schemas.openxmlformats.org/officeDocument/2006/relationships/hyperlink" Target="https://oec.world/en/profile/country/ven?potentialExports=flow1&amp;yearlyTradeFlowSelector=flow1" TargetMode="External"/><Relationship Id="rId1" Type="http://schemas.openxmlformats.org/officeDocument/2006/relationships/hyperlink" Target="https://es.statista.com/grafico/32751/indicadores-economicos-seleccionados-sobre-la-republica-bolivariana-de-venezuela/" TargetMode="External"/><Relationship Id="rId4" Type="http://schemas.openxmlformats.org/officeDocument/2006/relationships/hyperlink" Target="https://policy.trade.ec.europa.eu/eu-trade-relationships-country-and-region/countries-and-regions/venezuela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2662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Gromann Małgorzata</dc:creator>
  <cp:keywords/>
  <dc:description/>
  <cp:lastModifiedBy>Biegalska Katarzyna</cp:lastModifiedBy>
  <cp:revision>11</cp:revision>
  <dcterms:created xsi:type="dcterms:W3CDTF">2024-12-06T12:32:00Z</dcterms:created>
  <dcterms:modified xsi:type="dcterms:W3CDTF">2024-12-11T18:59:00Z</dcterms:modified>
</cp:coreProperties>
</file>