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9DE72" w14:textId="5A50962A" w:rsidR="00AF73F0" w:rsidRPr="005D76F8" w:rsidRDefault="00AF73F0" w:rsidP="005D76F8">
      <w:pPr>
        <w:ind w:left="567" w:hanging="283"/>
      </w:pPr>
      <w:bookmarkStart w:id="0" w:name="_GoBack"/>
      <w:bookmarkEnd w:id="0"/>
      <w:r w:rsidRPr="005D76F8">
        <w:rPr>
          <w:noProof/>
          <w:lang w:eastAsia="pl-PL"/>
        </w:rPr>
        <w:drawing>
          <wp:inline distT="0" distB="0" distL="0" distR="0" wp14:anchorId="49991414" wp14:editId="10A40DF9">
            <wp:extent cx="5760720" cy="822960"/>
            <wp:effectExtent l="0" t="0" r="0" b="0"/>
            <wp:docPr id="1" name="Obraz 1" descr="\\msw.local\dfs\office\DPGiFM\DPGiFM-WFE\AAA Wzory pism i dokumentów wydziałowych\Logo FE na Migracje, Granice i Bezpieczeństwo\zestawienia logo\PL\FEMGB_RP_UE_RGB-1 poziom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sw.local\dfs\office\DPGiFM\DPGiFM-WFE\AAA Wzory pism i dokumentów wydziałowych\Logo FE na Migracje, Granice i Bezpieczeństwo\zestawienia logo\PL\FEMGB_RP_UE_RGB-1 poziom k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22960"/>
                    </a:xfrm>
                    <a:prstGeom prst="rect">
                      <a:avLst/>
                    </a:prstGeom>
                    <a:noFill/>
                    <a:ln>
                      <a:noFill/>
                    </a:ln>
                  </pic:spPr>
                </pic:pic>
              </a:graphicData>
            </a:graphic>
          </wp:inline>
        </w:drawing>
      </w:r>
    </w:p>
    <w:p w14:paraId="7E826D23" w14:textId="63FF9015" w:rsidR="00570E01" w:rsidRPr="005D76F8" w:rsidRDefault="00C54A27" w:rsidP="005D76F8">
      <w:pPr>
        <w:pStyle w:val="Tytu"/>
        <w:spacing w:after="120" w:line="276" w:lineRule="auto"/>
        <w:ind w:left="567" w:hanging="283"/>
        <w:rPr>
          <w:rFonts w:ascii="Lato" w:hAnsi="Lato"/>
          <w:sz w:val="22"/>
          <w:szCs w:val="22"/>
        </w:rPr>
      </w:pPr>
      <w:r w:rsidRPr="005D76F8">
        <w:rPr>
          <w:rFonts w:ascii="Lato" w:hAnsi="Lato"/>
          <w:sz w:val="22"/>
          <w:szCs w:val="22"/>
        </w:rPr>
        <w:t xml:space="preserve">Regulamin naboru nr </w:t>
      </w:r>
      <w:r w:rsidR="00913BD8">
        <w:rPr>
          <w:rFonts w:ascii="Lato" w:hAnsi="Lato"/>
          <w:sz w:val="22"/>
          <w:szCs w:val="22"/>
        </w:rPr>
        <w:t>FAMI.02.01-IZ.00-001/26</w:t>
      </w:r>
      <w:r w:rsidR="00B60C8D" w:rsidRPr="00B60C8D">
        <w:rPr>
          <w:rFonts w:ascii="Lato" w:hAnsi="Lato"/>
          <w:sz w:val="22"/>
          <w:szCs w:val="22"/>
        </w:rPr>
        <w:t xml:space="preserve"> </w:t>
      </w:r>
      <w:r w:rsidR="00FC4C74" w:rsidRPr="005D76F8">
        <w:rPr>
          <w:rFonts w:ascii="Lato" w:hAnsi="Lato"/>
          <w:sz w:val="22"/>
          <w:szCs w:val="22"/>
        </w:rPr>
        <w:t xml:space="preserve">na wsparcie kandydatów na repatrianta i </w:t>
      </w:r>
      <w:r w:rsidR="00F0549A" w:rsidRPr="005D76F8">
        <w:rPr>
          <w:rFonts w:ascii="Lato" w:hAnsi="Lato"/>
          <w:sz w:val="22"/>
          <w:szCs w:val="22"/>
        </w:rPr>
        <w:t xml:space="preserve">członków </w:t>
      </w:r>
      <w:r w:rsidR="00FC4C74" w:rsidRPr="005D76F8">
        <w:rPr>
          <w:rFonts w:ascii="Lato" w:hAnsi="Lato"/>
          <w:sz w:val="22"/>
          <w:szCs w:val="22"/>
        </w:rPr>
        <w:t xml:space="preserve">ich </w:t>
      </w:r>
      <w:r w:rsidR="00F0549A" w:rsidRPr="005D76F8">
        <w:rPr>
          <w:rFonts w:ascii="Lato" w:hAnsi="Lato"/>
          <w:sz w:val="22"/>
          <w:szCs w:val="22"/>
        </w:rPr>
        <w:t xml:space="preserve">najbliższej </w:t>
      </w:r>
      <w:r w:rsidR="00FC4C74" w:rsidRPr="005D76F8">
        <w:rPr>
          <w:rFonts w:ascii="Lato" w:hAnsi="Lato"/>
          <w:sz w:val="22"/>
          <w:szCs w:val="22"/>
        </w:rPr>
        <w:t>rodzin</w:t>
      </w:r>
      <w:r w:rsidR="00F0549A" w:rsidRPr="005D76F8">
        <w:rPr>
          <w:rFonts w:ascii="Lato" w:hAnsi="Lato"/>
          <w:sz w:val="22"/>
          <w:szCs w:val="22"/>
        </w:rPr>
        <w:t>y</w:t>
      </w:r>
      <w:r w:rsidR="00FC4C74" w:rsidRPr="005D76F8">
        <w:rPr>
          <w:rFonts w:ascii="Lato" w:hAnsi="Lato"/>
          <w:sz w:val="22"/>
          <w:szCs w:val="22"/>
        </w:rPr>
        <w:t xml:space="preserve"> w przygotowaniach przed przyjazdem do Polski w celu osiedlenia się.</w:t>
      </w:r>
      <w:r w:rsidR="005D76F8">
        <w:rPr>
          <w:rFonts w:ascii="Lato" w:hAnsi="Lato"/>
          <w:sz w:val="22"/>
          <w:szCs w:val="22"/>
        </w:rPr>
        <w:t xml:space="preserve"> Cel szczegółowy 2 </w:t>
      </w:r>
      <w:r w:rsidR="005D76F8" w:rsidRPr="005D76F8">
        <w:rPr>
          <w:rFonts w:ascii="Lato" w:hAnsi="Lato"/>
          <w:sz w:val="22"/>
          <w:szCs w:val="22"/>
        </w:rPr>
        <w:t>Legalna migracja i integracja</w:t>
      </w:r>
      <w:r w:rsidR="005D76F8">
        <w:rPr>
          <w:rFonts w:ascii="Lato" w:hAnsi="Lato"/>
          <w:sz w:val="22"/>
          <w:szCs w:val="22"/>
        </w:rPr>
        <w:t>.</w:t>
      </w:r>
    </w:p>
    <w:p w14:paraId="6CA1DCDC" w14:textId="77777777" w:rsidR="00570E01" w:rsidRPr="005D76F8" w:rsidRDefault="00570E01" w:rsidP="005D76F8">
      <w:pPr>
        <w:ind w:left="567" w:hanging="283"/>
        <w:rPr>
          <w:rFonts w:eastAsia="Times New Roman" w:cs="Calibri"/>
          <w:b/>
          <w:bCs/>
          <w:color w:val="244061" w:themeColor="accent1" w:themeShade="80"/>
          <w:u w:val="single"/>
          <w:lang w:eastAsia="pl-PL"/>
        </w:rPr>
      </w:pPr>
    </w:p>
    <w:p w14:paraId="18A2DB96" w14:textId="0C7740BB" w:rsidR="00570E01" w:rsidRPr="005D76F8" w:rsidRDefault="00C54A27" w:rsidP="005D76F8">
      <w:pPr>
        <w:pStyle w:val="Nagwek1"/>
        <w:spacing w:after="120"/>
        <w:ind w:left="567" w:hanging="283"/>
        <w:rPr>
          <w:rFonts w:eastAsia="Times New Roman"/>
          <w:szCs w:val="22"/>
        </w:rPr>
      </w:pPr>
      <w:r w:rsidRPr="005D76F8">
        <w:rPr>
          <w:rFonts w:eastAsia="Times New Roman"/>
          <w:szCs w:val="22"/>
        </w:rPr>
        <w:t>Kto może składać wnioski</w:t>
      </w:r>
    </w:p>
    <w:p w14:paraId="1FC82971" w14:textId="6AA44280" w:rsidR="00057EBC" w:rsidRPr="00057EBC" w:rsidRDefault="00057EBC" w:rsidP="00057EBC">
      <w:pPr>
        <w:keepNext/>
        <w:keepLines/>
        <w:numPr>
          <w:ilvl w:val="0"/>
          <w:numId w:val="3"/>
        </w:numPr>
        <w:shd w:val="clear" w:color="auto" w:fill="FFFFFF"/>
        <w:outlineLvl w:val="1"/>
        <w:rPr>
          <w:rFonts w:eastAsia="Times New Roman"/>
        </w:rPr>
      </w:pPr>
      <w:r w:rsidRPr="00057EBC">
        <w:rPr>
          <w:rFonts w:eastAsia="Times New Roman"/>
        </w:rPr>
        <w:t>Nabór projektów odbywa się w procedurze naboru otwartego, do którego mogą przystąpić podmioty publiczne lub prywatne (z wyłączeniem osób fizycznych oraz osób fizycznych prowadzących działalność gospodarczą), podmioty mające osobowość prawną lub jej nieposiadające prowadzące działalność zarejestrowaną w jednym z państw członkowskich Unii Europejskiej, organizacje międzynarodowe lub Międzynarodowy Komitet Czerwonego Krzyża („MKCK”) lub Międzynarodowa Federacja Krajowych Stowarzyszeń Czerwonego Krzyża i Czerwonego Półksiężyca.</w:t>
      </w:r>
    </w:p>
    <w:p w14:paraId="3A95BD14" w14:textId="15EF7E2C" w:rsidR="00EC0CE8" w:rsidRPr="005D76F8" w:rsidRDefault="000D13DC" w:rsidP="005D76F8">
      <w:pPr>
        <w:keepNext/>
        <w:keepLines/>
        <w:numPr>
          <w:ilvl w:val="0"/>
          <w:numId w:val="3"/>
        </w:numPr>
        <w:shd w:val="clear" w:color="auto" w:fill="FFFFFF"/>
        <w:outlineLvl w:val="1"/>
        <w:rPr>
          <w:rFonts w:eastAsia="Times New Roman"/>
        </w:rPr>
      </w:pPr>
      <w:r>
        <w:rPr>
          <w:rFonts w:eastAsia="Times New Roman" w:cs="Times New Roman"/>
        </w:rPr>
        <w:t>Wnioskodawcy muszą być zarejestrowani</w:t>
      </w:r>
      <w:r w:rsidR="000D2113">
        <w:rPr>
          <w:rFonts w:eastAsia="Times New Roman" w:cs="Times New Roman"/>
        </w:rPr>
        <w:t xml:space="preserve"> na terenie Unii Europejskiej</w:t>
      </w:r>
      <w:r w:rsidR="00EC0CE8" w:rsidRPr="005D76F8">
        <w:rPr>
          <w:rFonts w:eastAsia="Times New Roman" w:cs="Times New Roman"/>
        </w:rPr>
        <w:t xml:space="preserve">. </w:t>
      </w:r>
    </w:p>
    <w:p w14:paraId="44133135" w14:textId="40B79FE4" w:rsidR="00570E01" w:rsidRPr="005D76F8" w:rsidRDefault="00C54A27" w:rsidP="005D76F8">
      <w:pPr>
        <w:pStyle w:val="Nagwek1"/>
        <w:spacing w:after="120"/>
        <w:ind w:left="567" w:hanging="283"/>
        <w:rPr>
          <w:rFonts w:eastAsia="Times New Roman"/>
          <w:szCs w:val="22"/>
        </w:rPr>
      </w:pPr>
      <w:r w:rsidRPr="005D76F8">
        <w:rPr>
          <w:rFonts w:eastAsia="Times New Roman"/>
          <w:szCs w:val="22"/>
        </w:rPr>
        <w:t>Ramy czasowe</w:t>
      </w:r>
    </w:p>
    <w:p w14:paraId="2F539BC4" w14:textId="7E416243" w:rsidR="00570E01" w:rsidRPr="005D76F8" w:rsidRDefault="00570E01" w:rsidP="005D76F8">
      <w:pPr>
        <w:ind w:left="567" w:hanging="283"/>
        <w:rPr>
          <w:rFonts w:eastAsia="Calibri" w:cs="Times New Roman"/>
        </w:rPr>
      </w:pPr>
      <w:r w:rsidRPr="005D76F8">
        <w:rPr>
          <w:rFonts w:eastAsia="Calibri" w:cs="Times New Roman"/>
          <w:b/>
        </w:rPr>
        <w:t>Okres realizacji projektu</w:t>
      </w:r>
      <w:r w:rsidRPr="005D76F8">
        <w:rPr>
          <w:rFonts w:eastAsia="Calibri" w:cs="Times New Roman"/>
        </w:rPr>
        <w:t xml:space="preserve"> nie może rozpocząć się przed dniem złożenia wniosku i przekroczyć </w:t>
      </w:r>
      <w:r w:rsidRPr="005D76F8">
        <w:rPr>
          <w:rFonts w:eastAsia="Calibri" w:cs="Times New Roman"/>
          <w:b/>
        </w:rPr>
        <w:t>30 czerwca 2029 r.</w:t>
      </w:r>
      <w:r w:rsidRPr="005D76F8">
        <w:rPr>
          <w:rFonts w:eastAsia="Calibri" w:cs="Times New Roman"/>
        </w:rPr>
        <w:t xml:space="preserve"> </w:t>
      </w:r>
    </w:p>
    <w:p w14:paraId="358B7C0E" w14:textId="38BA1033" w:rsidR="00570E01" w:rsidRPr="005D76F8" w:rsidRDefault="00570E01" w:rsidP="005D76F8">
      <w:pPr>
        <w:ind w:left="567" w:hanging="283"/>
        <w:rPr>
          <w:rFonts w:eastAsia="Calibri" w:cs="Times New Roman"/>
          <w:u w:val="single"/>
        </w:rPr>
      </w:pPr>
      <w:r w:rsidRPr="005D76F8">
        <w:rPr>
          <w:rFonts w:eastAsia="Calibri" w:cs="Times New Roman"/>
        </w:rPr>
        <w:t xml:space="preserve">Termin </w:t>
      </w:r>
      <w:r w:rsidRPr="005D76F8">
        <w:rPr>
          <w:rFonts w:eastAsia="Calibri" w:cs="Times New Roman"/>
          <w:u w:val="single"/>
        </w:rPr>
        <w:t xml:space="preserve">kwalifikowalności wydatków to </w:t>
      </w:r>
      <w:r w:rsidR="00F67817" w:rsidRPr="005D76F8">
        <w:rPr>
          <w:rFonts w:eastAsia="Calibri" w:cs="Times New Roman"/>
          <w:b/>
          <w:u w:val="single"/>
        </w:rPr>
        <w:t>20.07</w:t>
      </w:r>
      <w:r w:rsidRPr="005D76F8">
        <w:rPr>
          <w:rFonts w:eastAsia="Calibri" w:cs="Times New Roman"/>
          <w:b/>
          <w:u w:val="single"/>
        </w:rPr>
        <w:t xml:space="preserve">.2029 </w:t>
      </w:r>
      <w:proofErr w:type="gramStart"/>
      <w:r w:rsidRPr="005D76F8">
        <w:rPr>
          <w:rFonts w:eastAsia="Calibri" w:cs="Times New Roman"/>
          <w:u w:val="single"/>
        </w:rPr>
        <w:t>r</w:t>
      </w:r>
      <w:proofErr w:type="gramEnd"/>
      <w:r w:rsidRPr="005D76F8">
        <w:rPr>
          <w:rFonts w:eastAsia="Calibri" w:cs="Times New Roman"/>
          <w:u w:val="single"/>
        </w:rPr>
        <w:t>.</w:t>
      </w:r>
    </w:p>
    <w:p w14:paraId="4322F45C" w14:textId="77777777" w:rsidR="00570E01" w:rsidRPr="005D76F8" w:rsidRDefault="00570E01" w:rsidP="005D76F8">
      <w:pPr>
        <w:ind w:left="567" w:hanging="283"/>
        <w:rPr>
          <w:rFonts w:eastAsia="Calibri" w:cs="Times New Roman"/>
        </w:rPr>
      </w:pPr>
      <w:r w:rsidRPr="005D76F8">
        <w:rPr>
          <w:rFonts w:eastAsia="Calibri" w:cs="Times New Roman"/>
        </w:rPr>
        <w:t xml:space="preserve">Działania są kwalifikowalne od dnia złożenia wniosku, jednak dopiero podpisanie umowy finansowej gwarantuje przyznanie dofinansowania. </w:t>
      </w:r>
    </w:p>
    <w:p w14:paraId="798E5B5F" w14:textId="37F52450" w:rsidR="00570E01" w:rsidRPr="005D76F8" w:rsidRDefault="00C54A27" w:rsidP="005D76F8">
      <w:pPr>
        <w:pStyle w:val="Nagwek1"/>
        <w:spacing w:after="120"/>
        <w:ind w:left="567" w:hanging="283"/>
        <w:rPr>
          <w:rFonts w:eastAsia="Times New Roman"/>
          <w:szCs w:val="22"/>
        </w:rPr>
      </w:pPr>
      <w:r w:rsidRPr="005D76F8">
        <w:rPr>
          <w:rFonts w:eastAsia="Times New Roman"/>
          <w:szCs w:val="22"/>
        </w:rPr>
        <w:t>Finanse</w:t>
      </w:r>
    </w:p>
    <w:p w14:paraId="655431A3" w14:textId="550C35CA" w:rsidR="00570E01" w:rsidRPr="005D76F8" w:rsidRDefault="00570E01" w:rsidP="005D76F8">
      <w:pPr>
        <w:ind w:left="567" w:hanging="283"/>
        <w:rPr>
          <w:rFonts w:eastAsia="Calibri" w:cs="Times New Roman"/>
        </w:rPr>
      </w:pPr>
      <w:r w:rsidRPr="005D76F8">
        <w:rPr>
          <w:rFonts w:eastAsia="Calibri" w:cs="Times New Roman"/>
        </w:rPr>
        <w:t xml:space="preserve">Budżet naboru wynosi: </w:t>
      </w:r>
      <w:r w:rsidR="00536937" w:rsidRPr="005D76F8">
        <w:rPr>
          <w:rFonts w:eastAsia="Calibri" w:cs="Times New Roman"/>
          <w:b/>
        </w:rPr>
        <w:t>5</w:t>
      </w:r>
      <w:r w:rsidRPr="005D76F8">
        <w:rPr>
          <w:rFonts w:eastAsia="Calibri" w:cs="Times New Roman"/>
          <w:b/>
        </w:rPr>
        <w:t xml:space="preserve"> mln </w:t>
      </w:r>
      <w:r w:rsidR="005D76F8">
        <w:rPr>
          <w:rFonts w:eastAsia="Calibri" w:cs="Times New Roman"/>
          <w:b/>
        </w:rPr>
        <w:t>zł</w:t>
      </w:r>
      <w:r w:rsidRPr="005D76F8">
        <w:rPr>
          <w:rFonts w:eastAsia="Calibri" w:cs="Times New Roman"/>
        </w:rPr>
        <w:t>.</w:t>
      </w:r>
    </w:p>
    <w:p w14:paraId="6A012A3B" w14:textId="59ACF590" w:rsidR="00570E01" w:rsidRDefault="00570E01" w:rsidP="005D76F8">
      <w:pPr>
        <w:ind w:left="567" w:hanging="283"/>
        <w:rPr>
          <w:rFonts w:eastAsia="Calibri" w:cs="Times New Roman"/>
        </w:rPr>
      </w:pPr>
      <w:r w:rsidRPr="005D76F8">
        <w:rPr>
          <w:rFonts w:eastAsia="Calibri" w:cs="Times New Roman"/>
        </w:rPr>
        <w:t xml:space="preserve">Minimalna wartość projektu musi wynosić </w:t>
      </w:r>
      <w:r w:rsidRPr="005D76F8">
        <w:rPr>
          <w:rFonts w:eastAsia="Calibri" w:cs="Times New Roman"/>
          <w:b/>
        </w:rPr>
        <w:t>1 mln zł</w:t>
      </w:r>
      <w:r w:rsidRPr="005D76F8">
        <w:rPr>
          <w:rFonts w:eastAsia="Calibri" w:cs="Times New Roman"/>
        </w:rPr>
        <w:t>.</w:t>
      </w:r>
    </w:p>
    <w:p w14:paraId="5B55876D" w14:textId="15666AA2" w:rsidR="00515DFE" w:rsidRDefault="00515DFE" w:rsidP="005D76F8">
      <w:pPr>
        <w:ind w:left="567" w:hanging="283"/>
        <w:rPr>
          <w:rFonts w:eastAsia="Calibri" w:cs="Times New Roman"/>
        </w:rPr>
      </w:pPr>
      <w:r>
        <w:rPr>
          <w:rFonts w:eastAsia="Calibri" w:cs="Times New Roman"/>
        </w:rPr>
        <w:t xml:space="preserve">Poziom dofinansowania – do </w:t>
      </w:r>
      <w:r w:rsidRPr="00570E01">
        <w:rPr>
          <w:rFonts w:eastAsia="Calibri" w:cs="Times New Roman"/>
          <w:b/>
        </w:rPr>
        <w:t>90%.</w:t>
      </w:r>
    </w:p>
    <w:p w14:paraId="2E175D55" w14:textId="07A87AFA" w:rsidR="00515DFE" w:rsidRPr="00515DFE" w:rsidRDefault="00515DFE" w:rsidP="00EF2CF3">
      <w:pPr>
        <w:ind w:left="567" w:hanging="283"/>
        <w:rPr>
          <w:rFonts w:eastAsia="Calibri" w:cs="Times New Roman"/>
        </w:rPr>
      </w:pPr>
      <w:r w:rsidRPr="00515DFE">
        <w:rPr>
          <w:rFonts w:eastAsia="Calibri" w:cs="Times New Roman"/>
        </w:rPr>
        <w:t>Zgodnie z załącznikiem IV do Rozporządzenia</w:t>
      </w:r>
      <w:r>
        <w:rPr>
          <w:rFonts w:eastAsia="Calibri" w:cs="Times New Roman"/>
        </w:rPr>
        <w:t xml:space="preserve"> </w:t>
      </w:r>
      <w:r w:rsidRPr="00515DFE">
        <w:rPr>
          <w:rFonts w:eastAsia="Calibri" w:cs="Times New Roman"/>
        </w:rPr>
        <w:t>Parlamentu Europejskiego i Rady nr (UE) 2021/1147 z dnia 7 lipca 2021 r. ustanawiającego Fundusz Azylu, Migracji i Integracji, o zwiększone dofinansowanie w wysokości do 90% wartości proj</w:t>
      </w:r>
      <w:r w:rsidR="006B1EB2">
        <w:rPr>
          <w:rFonts w:eastAsia="Calibri" w:cs="Times New Roman"/>
        </w:rPr>
        <w:t xml:space="preserve">ektu mogą ubiegać się </w:t>
      </w:r>
      <w:r w:rsidR="006B1EB2" w:rsidRPr="006B1EB2">
        <w:rPr>
          <w:rFonts w:eastAsia="Calibri" w:cs="Times New Roman"/>
        </w:rPr>
        <w:t>organy lokalne i regionalne oraz organizacje społ</w:t>
      </w:r>
      <w:r w:rsidR="00EF2CF3">
        <w:rPr>
          <w:rFonts w:eastAsia="Calibri" w:cs="Times New Roman"/>
        </w:rPr>
        <w:t xml:space="preserve">eczeństwa obywatelskiego, w tym </w:t>
      </w:r>
      <w:r w:rsidR="006B1EB2" w:rsidRPr="006B1EB2">
        <w:rPr>
          <w:rFonts w:eastAsia="Calibri" w:cs="Times New Roman"/>
        </w:rPr>
        <w:t>organizacje uchodźców i organizacje prowadzone przez migrantów</w:t>
      </w:r>
      <w:r w:rsidRPr="00515DFE">
        <w:rPr>
          <w:rFonts w:eastAsia="Calibri" w:cs="Times New Roman"/>
        </w:rPr>
        <w:t xml:space="preserve">. </w:t>
      </w:r>
    </w:p>
    <w:p w14:paraId="516449FD" w14:textId="47B69324" w:rsidR="00515DFE" w:rsidRPr="00515DFE" w:rsidRDefault="00515DFE" w:rsidP="00515DFE">
      <w:pPr>
        <w:ind w:left="567" w:hanging="283"/>
        <w:rPr>
          <w:rFonts w:eastAsia="Calibri" w:cs="Times New Roman"/>
        </w:rPr>
      </w:pPr>
      <w:r w:rsidRPr="00515DFE">
        <w:rPr>
          <w:rFonts w:eastAsia="Calibri" w:cs="Times New Roman"/>
        </w:rPr>
        <w:t>Pozostałe podmio</w:t>
      </w:r>
      <w:r>
        <w:rPr>
          <w:rFonts w:eastAsia="Calibri" w:cs="Times New Roman"/>
        </w:rPr>
        <w:t xml:space="preserve">ty </w:t>
      </w:r>
      <w:r w:rsidR="008D23BE">
        <w:rPr>
          <w:rFonts w:eastAsia="Calibri" w:cs="Times New Roman"/>
        </w:rPr>
        <w:t xml:space="preserve">(w tym organizacje międzynarodowe) </w:t>
      </w:r>
      <w:r w:rsidRPr="00515DFE">
        <w:rPr>
          <w:rFonts w:eastAsia="Calibri" w:cs="Times New Roman"/>
        </w:rPr>
        <w:t xml:space="preserve">mogą ubiegać się o dofinansowanie w wysokości do 75% wartości projektu. </w:t>
      </w:r>
    </w:p>
    <w:p w14:paraId="172E1F0D" w14:textId="0F774D06" w:rsidR="00515DFE" w:rsidRDefault="00515DFE" w:rsidP="00515DFE">
      <w:pPr>
        <w:ind w:left="567" w:hanging="283"/>
        <w:rPr>
          <w:rFonts w:eastAsia="Calibri" w:cs="Times New Roman"/>
        </w:rPr>
      </w:pPr>
      <w:r w:rsidRPr="00515DFE">
        <w:rPr>
          <w:rFonts w:eastAsia="Calibri" w:cs="Times New Roman"/>
        </w:rPr>
        <w:t>Poziom dofinansowania projektu zależny jest od rodzaju (zgodnie z ww. podziałem) wnioskodawcy i obejmuje projekt jako całość (łącznie z częściami powierzonymi partnerom).</w:t>
      </w:r>
    </w:p>
    <w:p w14:paraId="13C17B7D" w14:textId="77777777" w:rsidR="00515DFE" w:rsidRPr="005D76F8" w:rsidRDefault="00515DFE" w:rsidP="005D76F8">
      <w:pPr>
        <w:ind w:left="567" w:hanging="283"/>
        <w:rPr>
          <w:rFonts w:eastAsia="Calibri" w:cs="Times New Roman"/>
        </w:rPr>
      </w:pPr>
    </w:p>
    <w:p w14:paraId="30D72A46" w14:textId="3311DCE9" w:rsidR="00570E01" w:rsidRPr="005D76F8" w:rsidRDefault="00C54A27" w:rsidP="005D76F8">
      <w:pPr>
        <w:pStyle w:val="Nagwek1"/>
        <w:spacing w:after="120"/>
        <w:ind w:left="567" w:hanging="283"/>
        <w:rPr>
          <w:rFonts w:eastAsia="Times New Roman"/>
          <w:szCs w:val="22"/>
        </w:rPr>
      </w:pPr>
      <w:r w:rsidRPr="005D76F8">
        <w:rPr>
          <w:rFonts w:eastAsia="Times New Roman"/>
          <w:szCs w:val="22"/>
        </w:rPr>
        <w:t>Partnerstwo</w:t>
      </w:r>
    </w:p>
    <w:p w14:paraId="497D8B55" w14:textId="77777777" w:rsidR="00570E01" w:rsidRPr="005D76F8" w:rsidRDefault="00570E01" w:rsidP="005D76F8">
      <w:pPr>
        <w:ind w:left="567" w:hanging="283"/>
        <w:rPr>
          <w:rFonts w:eastAsia="Calibri" w:cs="Times New Roman"/>
          <w:b/>
        </w:rPr>
      </w:pPr>
      <w:r w:rsidRPr="005D76F8">
        <w:rPr>
          <w:rFonts w:eastAsia="Calibri" w:cs="Times New Roman"/>
        </w:rPr>
        <w:t xml:space="preserve">Projekty mogą być przygotowane i realizowane </w:t>
      </w:r>
      <w:r w:rsidRPr="005D76F8">
        <w:rPr>
          <w:rFonts w:eastAsia="Calibri" w:cs="Times New Roman"/>
          <w:b/>
        </w:rPr>
        <w:t>w partnerstwie z innymi podmiotami</w:t>
      </w:r>
      <w:r w:rsidRPr="005D76F8">
        <w:rPr>
          <w:rFonts w:eastAsia="Calibri" w:cs="Times New Roman"/>
        </w:rPr>
        <w:t>. Wyłaniając partnerów do realizacji projektu konieczne jest zastosowanie się do niżej wskazanych wytycznych:</w:t>
      </w:r>
    </w:p>
    <w:p w14:paraId="705715CA" w14:textId="77777777" w:rsidR="00570E01" w:rsidRPr="005D76F8" w:rsidRDefault="00570E01" w:rsidP="005D76F8">
      <w:pPr>
        <w:numPr>
          <w:ilvl w:val="0"/>
          <w:numId w:val="5"/>
        </w:numPr>
        <w:ind w:left="568" w:hanging="284"/>
        <w:rPr>
          <w:rFonts w:eastAsia="Calibri" w:cs="Calibri"/>
        </w:rPr>
      </w:pPr>
      <w:proofErr w:type="gramStart"/>
      <w:r w:rsidRPr="005D76F8">
        <w:rPr>
          <w:rFonts w:eastAsia="Calibri" w:cs="Calibri"/>
        </w:rPr>
        <w:t>partnerem</w:t>
      </w:r>
      <w:proofErr w:type="gramEnd"/>
      <w:r w:rsidRPr="005D76F8">
        <w:rPr>
          <w:rFonts w:eastAsia="Calibri" w:cs="Calibri"/>
        </w:rPr>
        <w:t xml:space="preserve"> może zostać dowolny podmiot </w:t>
      </w:r>
      <w:r w:rsidRPr="005D76F8">
        <w:rPr>
          <w:rFonts w:eastAsia="Calibri" w:cs="Times New Roman"/>
          <w:bCs/>
        </w:rPr>
        <w:t>publiczny lub prywatny (z wyłączeniem osób fizycznych oraz osób fizycznych prowadzących działalność gospodarczą), zarówno podmiot mający osobowość prawną jak i jej nieposiadający;</w:t>
      </w:r>
    </w:p>
    <w:p w14:paraId="57EBE563" w14:textId="77777777" w:rsidR="00570E01" w:rsidRPr="005D76F8" w:rsidRDefault="00570E01" w:rsidP="005D76F8">
      <w:pPr>
        <w:numPr>
          <w:ilvl w:val="0"/>
          <w:numId w:val="5"/>
        </w:numPr>
        <w:ind w:left="568" w:hanging="284"/>
        <w:rPr>
          <w:rFonts w:eastAsia="Calibri" w:cs="Calibri"/>
        </w:rPr>
      </w:pPr>
      <w:proofErr w:type="gramStart"/>
      <w:r w:rsidRPr="005D76F8">
        <w:rPr>
          <w:rFonts w:eastAsia="Calibri" w:cs="Times New Roman"/>
          <w:bCs/>
        </w:rPr>
        <w:t>wnioskodawca</w:t>
      </w:r>
      <w:proofErr w:type="gramEnd"/>
      <w:r w:rsidRPr="005D76F8">
        <w:rPr>
          <w:rFonts w:eastAsia="Calibri" w:cs="Times New Roman"/>
          <w:bCs/>
        </w:rPr>
        <w:t xml:space="preserve"> może zawrzeć partnerstwo z jednym lub wieloma podmiotami;</w:t>
      </w:r>
    </w:p>
    <w:p w14:paraId="0FCBDC50" w14:textId="77777777" w:rsidR="00570E01" w:rsidRPr="005D76F8" w:rsidRDefault="00570E01" w:rsidP="005D76F8">
      <w:pPr>
        <w:numPr>
          <w:ilvl w:val="0"/>
          <w:numId w:val="5"/>
        </w:numPr>
        <w:ind w:left="568" w:hanging="284"/>
        <w:rPr>
          <w:rFonts w:eastAsia="Calibri" w:cs="Calibri"/>
        </w:rPr>
      </w:pPr>
      <w:proofErr w:type="gramStart"/>
      <w:r w:rsidRPr="005D76F8">
        <w:rPr>
          <w:rFonts w:eastAsia="Calibri" w:cs="Times New Roman"/>
          <w:bCs/>
        </w:rPr>
        <w:t>w</w:t>
      </w:r>
      <w:proofErr w:type="gramEnd"/>
      <w:r w:rsidRPr="005D76F8">
        <w:rPr>
          <w:rFonts w:eastAsia="Calibri" w:cs="Times New Roman"/>
          <w:bCs/>
        </w:rPr>
        <w:t xml:space="preserve"> przypadku składania propozycji projektu w partnerstwie liderem jest wnioskodawca, który składa wniosek, jest odpowiedzialny za koordynację działań w projekcie, prowadzenie rozliczeń finansowych i sprawozdawczość;</w:t>
      </w:r>
    </w:p>
    <w:p w14:paraId="1ACF9845" w14:textId="77777777" w:rsidR="00570E01" w:rsidRPr="005D76F8" w:rsidRDefault="00570E01" w:rsidP="005D76F8">
      <w:pPr>
        <w:numPr>
          <w:ilvl w:val="0"/>
          <w:numId w:val="5"/>
        </w:numPr>
        <w:ind w:left="568" w:hanging="284"/>
        <w:rPr>
          <w:rFonts w:eastAsia="Calibri" w:cs="Calibri"/>
        </w:rPr>
      </w:pPr>
      <w:proofErr w:type="gramStart"/>
      <w:r w:rsidRPr="005D76F8">
        <w:rPr>
          <w:rFonts w:eastAsia="Calibri" w:cs="Times New Roman"/>
          <w:bCs/>
        </w:rPr>
        <w:t>ta</w:t>
      </w:r>
      <w:proofErr w:type="gramEnd"/>
      <w:r w:rsidRPr="005D76F8">
        <w:rPr>
          <w:rFonts w:eastAsia="Calibri" w:cs="Times New Roman"/>
          <w:bCs/>
        </w:rPr>
        <w:t xml:space="preserve"> sama organizacja może być liderem tylko w jednym projekcie, natomiast nie ma ograniczeń co do liczby projektów, w których może być ona partnerem;</w:t>
      </w:r>
    </w:p>
    <w:p w14:paraId="2911532E" w14:textId="77777777" w:rsidR="00570E01" w:rsidRPr="005D76F8" w:rsidRDefault="00570E01" w:rsidP="005D76F8">
      <w:pPr>
        <w:numPr>
          <w:ilvl w:val="0"/>
          <w:numId w:val="5"/>
        </w:numPr>
        <w:ind w:left="568" w:hanging="284"/>
        <w:rPr>
          <w:rFonts w:eastAsia="Calibri" w:cs="Calibri"/>
        </w:rPr>
      </w:pPr>
      <w:proofErr w:type="gramStart"/>
      <w:r w:rsidRPr="005D76F8">
        <w:rPr>
          <w:rFonts w:eastAsia="Calibri" w:cs="Arial"/>
          <w:color w:val="010101"/>
          <w:shd w:val="clear" w:color="auto" w:fill="FFFFFF"/>
        </w:rPr>
        <w:t>partner</w:t>
      </w:r>
      <w:proofErr w:type="gramEnd"/>
      <w:r w:rsidRPr="005D76F8">
        <w:rPr>
          <w:rFonts w:eastAsia="Calibri" w:cs="Arial"/>
          <w:color w:val="010101"/>
          <w:shd w:val="clear" w:color="auto" w:fill="FFFFFF"/>
        </w:rPr>
        <w:t xml:space="preserve"> powinien posiadać zasoby, którymi nie dysponuje wnioskodawca, bądź też powinny one uzupełniać zasoby wnioskodawcy;</w:t>
      </w:r>
    </w:p>
    <w:p w14:paraId="18B0C376" w14:textId="77777777" w:rsidR="00570E01" w:rsidRPr="005D76F8" w:rsidRDefault="00570E01" w:rsidP="005D76F8">
      <w:pPr>
        <w:numPr>
          <w:ilvl w:val="0"/>
          <w:numId w:val="5"/>
        </w:numPr>
        <w:ind w:left="568" w:hanging="284"/>
        <w:rPr>
          <w:rFonts w:eastAsia="Times New Roman" w:cs="Arial"/>
          <w:bCs/>
          <w:color w:val="010101"/>
          <w:shd w:val="clear" w:color="auto" w:fill="FFFFFF"/>
          <w:lang w:eastAsia="pl-PL"/>
        </w:rPr>
      </w:pPr>
      <w:proofErr w:type="gramStart"/>
      <w:r w:rsidRPr="005D76F8">
        <w:rPr>
          <w:rFonts w:eastAsia="Calibri" w:cs="Arial"/>
          <w:color w:val="010101"/>
          <w:shd w:val="clear" w:color="auto" w:fill="FFFFFF"/>
        </w:rPr>
        <w:t>partner</w:t>
      </w:r>
      <w:proofErr w:type="gramEnd"/>
      <w:r w:rsidRPr="005D76F8">
        <w:rPr>
          <w:rFonts w:eastAsia="Calibri" w:cs="Arial"/>
          <w:color w:val="010101"/>
          <w:shd w:val="clear" w:color="auto" w:fill="FFFFFF"/>
        </w:rPr>
        <w:t xml:space="preserve"> nie musi pokrywać wkładu własnego w projekcie, może wnieść do projektu zasoby inne niż finansowe: ludzkie, organizacyjne, techniczne (nie chodzi tu o wkłady rzeczowe do projektu jako formę finansowania - takie wkłady nie są kwalifikowalne), zależy to jednak od tego, w jaki sposób wnioskodawca i partner porozumieją się co do współpracy; </w:t>
      </w:r>
      <w:r w:rsidRPr="005D76F8">
        <w:rPr>
          <w:rFonts w:eastAsia="Times New Roman" w:cs="Arial"/>
          <w:bCs/>
          <w:color w:val="010101"/>
          <w:shd w:val="clear" w:color="auto" w:fill="FFFFFF"/>
          <w:lang w:eastAsia="pl-PL"/>
        </w:rPr>
        <w:t>środki na wkład własny mogą być pozyskiwane z innych źródeł np. finansowania lokalnego, ale nie z europejskich funduszy na takie same cele.</w:t>
      </w:r>
    </w:p>
    <w:p w14:paraId="583EAD54" w14:textId="668B59AE" w:rsidR="00570E01" w:rsidRPr="005D76F8" w:rsidRDefault="00C54A27" w:rsidP="005D76F8">
      <w:pPr>
        <w:pStyle w:val="Nagwek1"/>
        <w:spacing w:after="120"/>
        <w:ind w:left="567" w:hanging="283"/>
        <w:rPr>
          <w:rFonts w:eastAsia="Times New Roman"/>
          <w:szCs w:val="22"/>
        </w:rPr>
      </w:pPr>
      <w:r w:rsidRPr="005D76F8">
        <w:rPr>
          <w:rFonts w:eastAsia="Times New Roman"/>
          <w:szCs w:val="22"/>
        </w:rPr>
        <w:t>Zakres naboru</w:t>
      </w:r>
    </w:p>
    <w:p w14:paraId="69ED2CF5" w14:textId="7C216677" w:rsidR="00570E01" w:rsidRPr="005D76F8" w:rsidRDefault="00570E01" w:rsidP="005D76F8">
      <w:pPr>
        <w:ind w:left="567" w:hanging="283"/>
        <w:rPr>
          <w:rFonts w:eastAsia="Calibri" w:cs="Times New Roman"/>
          <w:u w:val="single"/>
        </w:rPr>
      </w:pPr>
      <w:r w:rsidRPr="005D76F8">
        <w:rPr>
          <w:rFonts w:eastAsia="Calibri" w:cs="Times New Roman"/>
          <w:b/>
        </w:rPr>
        <w:t>Działania proponowane we wniosku muszą być zgodne z zakresem niniejszego naboru:</w:t>
      </w:r>
      <w:r w:rsidRPr="005D76F8">
        <w:rPr>
          <w:rFonts w:eastAsia="Calibri" w:cs="Times New Roman"/>
        </w:rPr>
        <w:t xml:space="preserve"> nie należy brać pod uwagę wszelkich możliwych działań kwalifikowalnych w ramach całego Funduszu, a wyłącznie te, które określone są zakresem obecnego naboru (patrz niżej). </w:t>
      </w:r>
      <w:r w:rsidRPr="005D76F8">
        <w:rPr>
          <w:rFonts w:eastAsia="Calibri" w:cs="Times New Roman"/>
          <w:u w:val="single"/>
        </w:rPr>
        <w:t>Zaproponowanie działań, które nie są objęte aktualnym naborem, spowoduje ich usunięcie z wniosku oraz obniżenie punktacji podczas oceny.</w:t>
      </w:r>
    </w:p>
    <w:p w14:paraId="518B16E0" w14:textId="0C282B42" w:rsidR="00570E01" w:rsidRPr="005D76F8" w:rsidRDefault="00C54A27" w:rsidP="005D76F8">
      <w:pPr>
        <w:pStyle w:val="Nagwek1"/>
        <w:spacing w:after="120"/>
        <w:ind w:left="567" w:hanging="283"/>
        <w:rPr>
          <w:rFonts w:eastAsia="Times New Roman"/>
          <w:szCs w:val="22"/>
        </w:rPr>
      </w:pPr>
      <w:r w:rsidRPr="005D76F8">
        <w:rPr>
          <w:rFonts w:eastAsia="Times New Roman"/>
          <w:szCs w:val="22"/>
        </w:rPr>
        <w:t>Grupa docelowa</w:t>
      </w:r>
    </w:p>
    <w:p w14:paraId="6145EBBF" w14:textId="2AC671D3" w:rsidR="00B85EB8" w:rsidRPr="005D76F8" w:rsidRDefault="00B85EB8" w:rsidP="005D76F8">
      <w:pPr>
        <w:ind w:left="567" w:hanging="283"/>
        <w:rPr>
          <w:rFonts w:eastAsia="Calibri" w:cs="Times New Roman"/>
        </w:rPr>
      </w:pPr>
      <w:r w:rsidRPr="005D76F8">
        <w:rPr>
          <w:rFonts w:eastAsia="Calibri" w:cs="Times New Roman"/>
        </w:rPr>
        <w:t>Dofinansowanie mogą otrzymać projekty mające na celu wsparcie osób polskiego pochodzenia (</w:t>
      </w:r>
      <w:r w:rsidR="000A2505" w:rsidRPr="005D76F8">
        <w:rPr>
          <w:rFonts w:eastAsia="Calibri" w:cs="Times New Roman"/>
        </w:rPr>
        <w:t>kandydatów na repatrianta</w:t>
      </w:r>
      <w:r w:rsidRPr="005D76F8">
        <w:rPr>
          <w:rFonts w:eastAsia="Calibri" w:cs="Times New Roman"/>
        </w:rPr>
        <w:t xml:space="preserve">) i </w:t>
      </w:r>
      <w:r w:rsidR="00AC3DDD" w:rsidRPr="005D76F8">
        <w:rPr>
          <w:rFonts w:eastAsia="Calibri" w:cs="Times New Roman"/>
        </w:rPr>
        <w:t xml:space="preserve">członków </w:t>
      </w:r>
      <w:r w:rsidRPr="005D76F8">
        <w:rPr>
          <w:rFonts w:eastAsia="Calibri" w:cs="Times New Roman"/>
        </w:rPr>
        <w:t xml:space="preserve">ich </w:t>
      </w:r>
      <w:r w:rsidR="00AC3DDD" w:rsidRPr="005D76F8">
        <w:rPr>
          <w:rFonts w:eastAsia="Calibri" w:cs="Times New Roman"/>
        </w:rPr>
        <w:t xml:space="preserve">najbliższej </w:t>
      </w:r>
      <w:r w:rsidRPr="005D76F8">
        <w:rPr>
          <w:rFonts w:eastAsia="Calibri" w:cs="Times New Roman"/>
        </w:rPr>
        <w:t>rodzin</w:t>
      </w:r>
      <w:r w:rsidR="00AC3DDD" w:rsidRPr="005D76F8">
        <w:rPr>
          <w:rFonts w:eastAsia="Calibri" w:cs="Times New Roman"/>
        </w:rPr>
        <w:t>y</w:t>
      </w:r>
      <w:r w:rsidRPr="005D76F8">
        <w:rPr>
          <w:rFonts w:eastAsia="Calibri" w:cs="Times New Roman"/>
        </w:rPr>
        <w:t xml:space="preserve"> w przygotowaniach przed przyjazdem do Polski w celu osiedlenia się.</w:t>
      </w:r>
    </w:p>
    <w:p w14:paraId="2E8F5FC5" w14:textId="55CAA1E7" w:rsidR="009F29A9" w:rsidRPr="005D76F8" w:rsidRDefault="00B85EB8" w:rsidP="005D76F8">
      <w:pPr>
        <w:ind w:left="567" w:hanging="283"/>
        <w:rPr>
          <w:rFonts w:eastAsia="Calibri" w:cs="Times New Roman"/>
        </w:rPr>
      </w:pPr>
      <w:r w:rsidRPr="005D76F8">
        <w:rPr>
          <w:rFonts w:eastAsia="Calibri" w:cs="Times New Roman"/>
        </w:rPr>
        <w:t xml:space="preserve">Działania obejmujące bezpośrednie wsparcie mogą być </w:t>
      </w:r>
      <w:r w:rsidR="00D82383">
        <w:rPr>
          <w:rFonts w:eastAsia="Calibri" w:cs="Times New Roman"/>
        </w:rPr>
        <w:t>skierowane wyłącznie do osób</w:t>
      </w:r>
      <w:r w:rsidRPr="005D76F8">
        <w:rPr>
          <w:rFonts w:eastAsia="Calibri" w:cs="Times New Roman"/>
        </w:rPr>
        <w:t xml:space="preserve">, wobec których można udokumentować perspektywę pobytu w Polsce w ramach repatriacji, tj. </w:t>
      </w:r>
      <w:r w:rsidR="00ED053E" w:rsidRPr="005D76F8">
        <w:rPr>
          <w:rFonts w:eastAsia="Calibri" w:cs="Times New Roman"/>
        </w:rPr>
        <w:t>posiadających decyzję konsula o zakwalifikowaniu do wydania wizy krajowej w celu repatriacji</w:t>
      </w:r>
      <w:r w:rsidR="00F67817" w:rsidRPr="005D76F8">
        <w:rPr>
          <w:rFonts w:eastAsia="Calibri" w:cs="Times New Roman"/>
        </w:rPr>
        <w:t xml:space="preserve"> lub </w:t>
      </w:r>
      <w:r w:rsidR="00ED053E" w:rsidRPr="005D76F8">
        <w:rPr>
          <w:rFonts w:eastAsia="Calibri" w:cs="Times New Roman"/>
        </w:rPr>
        <w:t>decyzję o przyrzeczeniu wydania takiej wizy</w:t>
      </w:r>
      <w:r w:rsidR="002A13A1" w:rsidRPr="005D76F8">
        <w:rPr>
          <w:rFonts w:eastAsia="Calibri" w:cs="Times New Roman"/>
        </w:rPr>
        <w:t>.</w:t>
      </w:r>
    </w:p>
    <w:p w14:paraId="401E0BCF" w14:textId="74706C95" w:rsidR="00B85EB8" w:rsidRDefault="00B85EB8" w:rsidP="005D76F8">
      <w:pPr>
        <w:ind w:left="567" w:hanging="283"/>
        <w:rPr>
          <w:rFonts w:eastAsia="Calibri" w:cs="Times New Roman"/>
        </w:rPr>
      </w:pPr>
      <w:r w:rsidRPr="005D76F8">
        <w:rPr>
          <w:rFonts w:eastAsia="Calibri" w:cs="Times New Roman"/>
        </w:rPr>
        <w:t xml:space="preserve">Wsparciem mogą zostać </w:t>
      </w:r>
      <w:r w:rsidR="00AC3DDD" w:rsidRPr="005D76F8">
        <w:rPr>
          <w:rFonts w:eastAsia="Calibri" w:cs="Times New Roman"/>
        </w:rPr>
        <w:t>objęci członkowie najbliższej rodziny kandydata na repatrianta</w:t>
      </w:r>
      <w:r w:rsidRPr="005D76F8">
        <w:rPr>
          <w:rFonts w:eastAsia="Calibri" w:cs="Times New Roman"/>
        </w:rPr>
        <w:t xml:space="preserve">, </w:t>
      </w:r>
      <w:r w:rsidR="00AC3DDD" w:rsidRPr="005D76F8">
        <w:rPr>
          <w:rFonts w:eastAsia="Calibri" w:cs="Times New Roman"/>
        </w:rPr>
        <w:t xml:space="preserve">którzy </w:t>
      </w:r>
      <w:r w:rsidRPr="005D76F8">
        <w:rPr>
          <w:rFonts w:eastAsia="Calibri" w:cs="Times New Roman"/>
        </w:rPr>
        <w:t xml:space="preserve">mają zamiar </w:t>
      </w:r>
      <w:r w:rsidR="00AC3DDD" w:rsidRPr="005D76F8">
        <w:rPr>
          <w:rFonts w:eastAsia="Calibri" w:cs="Times New Roman"/>
        </w:rPr>
        <w:t xml:space="preserve">osiedlić się </w:t>
      </w:r>
      <w:r w:rsidRPr="005D76F8">
        <w:rPr>
          <w:rFonts w:eastAsia="Calibri" w:cs="Times New Roman"/>
        </w:rPr>
        <w:t xml:space="preserve">na terytorium Rzeczpospolitej Polskiej wraz z repatriantem, </w:t>
      </w:r>
      <w:r w:rsidR="00AC3DDD" w:rsidRPr="005D76F8">
        <w:rPr>
          <w:rFonts w:eastAsia="Calibri" w:cs="Times New Roman"/>
        </w:rPr>
        <w:t xml:space="preserve">niezależnie od tego, czy </w:t>
      </w:r>
      <w:r w:rsidR="00C9585C" w:rsidRPr="005D76F8">
        <w:rPr>
          <w:rFonts w:eastAsia="Calibri" w:cs="Times New Roman"/>
        </w:rPr>
        <w:t xml:space="preserve">osoby te </w:t>
      </w:r>
      <w:r w:rsidR="00AC3DDD" w:rsidRPr="005D76F8">
        <w:rPr>
          <w:rFonts w:eastAsia="Calibri" w:cs="Times New Roman"/>
        </w:rPr>
        <w:t xml:space="preserve">zostały </w:t>
      </w:r>
      <w:r w:rsidR="00C9585C" w:rsidRPr="005D76F8">
        <w:rPr>
          <w:rFonts w:eastAsia="Calibri" w:cs="Times New Roman"/>
        </w:rPr>
        <w:t xml:space="preserve">objęte wnioskiem </w:t>
      </w:r>
      <w:r w:rsidR="00AC3DDD" w:rsidRPr="005D76F8">
        <w:rPr>
          <w:rFonts w:eastAsia="Calibri" w:cs="Times New Roman"/>
        </w:rPr>
        <w:t xml:space="preserve">o wydanie wizy krajowej w celu repatriacji, złożyły odrębny wniosek o wydanie wizy krajowej w celu repatriacji, </w:t>
      </w:r>
      <w:r w:rsidR="00C9585C" w:rsidRPr="005D76F8">
        <w:rPr>
          <w:rFonts w:eastAsia="Calibri" w:cs="Times New Roman"/>
        </w:rPr>
        <w:t xml:space="preserve">czy </w:t>
      </w:r>
      <w:r w:rsidR="00AC3DDD" w:rsidRPr="005D76F8">
        <w:rPr>
          <w:rFonts w:eastAsia="Calibri" w:cs="Times New Roman"/>
        </w:rPr>
        <w:t>złożyły wniosek o udzielenie zezwolenia na pobyt stały, który został dołączony do</w:t>
      </w:r>
      <w:r w:rsidR="00E60494">
        <w:rPr>
          <w:rFonts w:eastAsia="Calibri" w:cs="Times New Roman"/>
        </w:rPr>
        <w:t xml:space="preserve"> wniosku.</w:t>
      </w:r>
    </w:p>
    <w:p w14:paraId="7E3CE88E" w14:textId="3D49C10C" w:rsidR="005D76F8" w:rsidRPr="005D76F8" w:rsidRDefault="005D76F8" w:rsidP="005D76F8">
      <w:pPr>
        <w:ind w:left="567" w:hanging="283"/>
        <w:rPr>
          <w:rFonts w:eastAsia="Calibri" w:cs="Times New Roman"/>
        </w:rPr>
      </w:pPr>
      <w:r>
        <w:rPr>
          <w:rFonts w:eastAsia="Calibri" w:cs="Times New Roman"/>
        </w:rPr>
        <w:t>Działania informacyjne, w formie np. ulote</w:t>
      </w:r>
      <w:r w:rsidR="00DC199A">
        <w:rPr>
          <w:rFonts w:eastAsia="Calibri" w:cs="Times New Roman"/>
        </w:rPr>
        <w:t xml:space="preserve">k czy informacji na platformach </w:t>
      </w:r>
      <w:r>
        <w:rPr>
          <w:rFonts w:eastAsia="Calibri" w:cs="Times New Roman"/>
        </w:rPr>
        <w:t xml:space="preserve">społecznościowych, stronach internetowych, mogą być skierowane do szerszej grupy odbiorców. </w:t>
      </w:r>
    </w:p>
    <w:p w14:paraId="6E76C8BD" w14:textId="14F5F622" w:rsidR="00570E01" w:rsidRPr="005D76F8" w:rsidRDefault="003D237C" w:rsidP="005D76F8">
      <w:pPr>
        <w:pStyle w:val="Nagwek1"/>
        <w:spacing w:after="120"/>
        <w:ind w:left="567" w:hanging="283"/>
        <w:rPr>
          <w:rFonts w:eastAsia="Times New Roman"/>
          <w:szCs w:val="22"/>
        </w:rPr>
      </w:pPr>
      <w:r w:rsidRPr="005D76F8">
        <w:rPr>
          <w:rFonts w:eastAsia="Times New Roman"/>
          <w:szCs w:val="22"/>
        </w:rPr>
        <w:t>Przykładowe d</w:t>
      </w:r>
      <w:r w:rsidR="00C54A27" w:rsidRPr="005D76F8">
        <w:rPr>
          <w:rFonts w:eastAsia="Times New Roman"/>
          <w:szCs w:val="22"/>
        </w:rPr>
        <w:t>ziałania kwalifikowalne</w:t>
      </w:r>
      <w:r w:rsidRPr="005D76F8">
        <w:rPr>
          <w:rFonts w:eastAsia="Times New Roman"/>
          <w:szCs w:val="22"/>
        </w:rPr>
        <w:t>:</w:t>
      </w:r>
    </w:p>
    <w:p w14:paraId="4D55B035" w14:textId="609E6BAD" w:rsidR="00024CA8" w:rsidRPr="005D76F8" w:rsidRDefault="008615B3" w:rsidP="005D76F8">
      <w:pPr>
        <w:pStyle w:val="Akapitzlist"/>
        <w:numPr>
          <w:ilvl w:val="0"/>
          <w:numId w:val="15"/>
        </w:numPr>
        <w:contextualSpacing w:val="0"/>
      </w:pPr>
      <w:proofErr w:type="gramStart"/>
      <w:r w:rsidRPr="005D76F8">
        <w:t>nauka</w:t>
      </w:r>
      <w:proofErr w:type="gramEnd"/>
      <w:r w:rsidRPr="005D76F8">
        <w:t xml:space="preserve"> języka polskiego</w:t>
      </w:r>
      <w:r w:rsidR="00657BE3" w:rsidRPr="005D76F8">
        <w:t xml:space="preserve"> – kursy stacjonarne i</w:t>
      </w:r>
      <w:r w:rsidR="005D76F8" w:rsidRPr="005D76F8">
        <w:t>/lub</w:t>
      </w:r>
      <w:r w:rsidR="00657BE3" w:rsidRPr="005D76F8">
        <w:t xml:space="preserve"> online</w:t>
      </w:r>
      <w:r w:rsidR="00035210">
        <w:t xml:space="preserve"> zakończone uzyskaniem certyfikatu ukończenia kursu</w:t>
      </w:r>
      <w:r w:rsidR="004B5B07" w:rsidRPr="005D76F8">
        <w:t>,</w:t>
      </w:r>
    </w:p>
    <w:p w14:paraId="6B1678DB" w14:textId="45081604" w:rsidR="008615B3" w:rsidRPr="005D76F8" w:rsidRDefault="00024CA8" w:rsidP="005D76F8">
      <w:pPr>
        <w:pStyle w:val="Akapitzlist"/>
        <w:numPr>
          <w:ilvl w:val="0"/>
          <w:numId w:val="15"/>
        </w:numPr>
        <w:contextualSpacing w:val="0"/>
      </w:pPr>
      <w:proofErr w:type="gramStart"/>
      <w:r w:rsidRPr="005D76F8">
        <w:t>doradztwo</w:t>
      </w:r>
      <w:proofErr w:type="gramEnd"/>
      <w:r w:rsidRPr="005D76F8">
        <w:t xml:space="preserve"> i wsparcie w zakresie procedur</w:t>
      </w:r>
      <w:r w:rsidR="00641965" w:rsidRPr="005D76F8">
        <w:t xml:space="preserve"> repatriacyjnych</w:t>
      </w:r>
      <w:r w:rsidR="00035210">
        <w:t>, np. s</w:t>
      </w:r>
      <w:r w:rsidR="00DC199A">
        <w:t>potkania informacyjne, infolinia</w:t>
      </w:r>
      <w:r w:rsidR="00035210">
        <w:t>,</w:t>
      </w:r>
      <w:r w:rsidRPr="005D76F8">
        <w:t xml:space="preserve"> wsparcie </w:t>
      </w:r>
      <w:r w:rsidR="00035210">
        <w:t xml:space="preserve">poprzez </w:t>
      </w:r>
      <w:r w:rsidRPr="005D76F8">
        <w:t xml:space="preserve">asystenta </w:t>
      </w:r>
    </w:p>
    <w:p w14:paraId="3E073DC3" w14:textId="6E7DCC60" w:rsidR="00E41614" w:rsidRPr="005D76F8" w:rsidRDefault="00E41614" w:rsidP="005D76F8">
      <w:pPr>
        <w:pStyle w:val="Akapitzlist"/>
        <w:numPr>
          <w:ilvl w:val="0"/>
          <w:numId w:val="15"/>
        </w:numPr>
        <w:contextualSpacing w:val="0"/>
      </w:pPr>
      <w:proofErr w:type="gramStart"/>
      <w:r w:rsidRPr="005D76F8">
        <w:t>kursy</w:t>
      </w:r>
      <w:proofErr w:type="gramEnd"/>
      <w:r w:rsidRPr="005D76F8">
        <w:t xml:space="preserve"> adaptacji kulturowej i społecznej, </w:t>
      </w:r>
    </w:p>
    <w:p w14:paraId="43F0951F" w14:textId="77777777" w:rsidR="00E41614" w:rsidRPr="005D76F8" w:rsidRDefault="00E41614" w:rsidP="005D76F8">
      <w:pPr>
        <w:pStyle w:val="Akapitzlist"/>
        <w:numPr>
          <w:ilvl w:val="0"/>
          <w:numId w:val="15"/>
        </w:numPr>
        <w:contextualSpacing w:val="0"/>
      </w:pPr>
      <w:proofErr w:type="gramStart"/>
      <w:r w:rsidRPr="005D76F8">
        <w:t>konsultacje</w:t>
      </w:r>
      <w:proofErr w:type="gramEnd"/>
      <w:r w:rsidRPr="005D76F8">
        <w:t xml:space="preserve"> zawodowe (bez szkoleń zawodowych), </w:t>
      </w:r>
    </w:p>
    <w:p w14:paraId="27D8D1E4" w14:textId="77777777" w:rsidR="00E41614" w:rsidRPr="005D76F8" w:rsidRDefault="00E41614" w:rsidP="005D76F8">
      <w:pPr>
        <w:pStyle w:val="Akapitzlist"/>
        <w:numPr>
          <w:ilvl w:val="0"/>
          <w:numId w:val="15"/>
        </w:numPr>
        <w:contextualSpacing w:val="0"/>
      </w:pPr>
      <w:proofErr w:type="gramStart"/>
      <w:r w:rsidRPr="005D76F8">
        <w:t>uzupełnianie</w:t>
      </w:r>
      <w:proofErr w:type="gramEnd"/>
      <w:r w:rsidRPr="005D76F8">
        <w:t xml:space="preserve"> kwalifikacji, </w:t>
      </w:r>
    </w:p>
    <w:p w14:paraId="1A8E6991" w14:textId="67D1B9AD" w:rsidR="00657BE3" w:rsidRPr="005D76F8" w:rsidRDefault="00657BE3" w:rsidP="005D76F8">
      <w:pPr>
        <w:pStyle w:val="Akapitzlist"/>
        <w:numPr>
          <w:ilvl w:val="0"/>
          <w:numId w:val="15"/>
        </w:numPr>
        <w:contextualSpacing w:val="0"/>
      </w:pPr>
      <w:proofErr w:type="gramStart"/>
      <w:r w:rsidRPr="005D76F8">
        <w:t>kolonie</w:t>
      </w:r>
      <w:proofErr w:type="gramEnd"/>
      <w:r w:rsidRPr="005D76F8">
        <w:t>/obozy językowe dla dzieci</w:t>
      </w:r>
      <w:r w:rsidR="00FF516D" w:rsidRPr="005D76F8">
        <w:t xml:space="preserve"> organizowane zarówno w Polsce jak i w kraju zamieszkania</w:t>
      </w:r>
      <w:r w:rsidR="00DC199A">
        <w:t>,</w:t>
      </w:r>
    </w:p>
    <w:p w14:paraId="18C257B7" w14:textId="751485E6" w:rsidR="004B5B07" w:rsidRPr="005D76F8" w:rsidRDefault="00FF516D" w:rsidP="005D76F8">
      <w:pPr>
        <w:pStyle w:val="Akapitzlist"/>
        <w:numPr>
          <w:ilvl w:val="0"/>
          <w:numId w:val="15"/>
        </w:numPr>
        <w:contextualSpacing w:val="0"/>
      </w:pPr>
      <w:proofErr w:type="gramStart"/>
      <w:r w:rsidRPr="005D76F8">
        <w:t>wyjazdy</w:t>
      </w:r>
      <w:proofErr w:type="gramEnd"/>
      <w:r w:rsidRPr="005D76F8">
        <w:t xml:space="preserve"> </w:t>
      </w:r>
      <w:r w:rsidR="004B5B07" w:rsidRPr="005D76F8">
        <w:t xml:space="preserve">dla dorosłych </w:t>
      </w:r>
      <w:r w:rsidR="00641965" w:rsidRPr="005D76F8">
        <w:t xml:space="preserve">lub rodzin </w:t>
      </w:r>
      <w:r w:rsidR="004B5B07" w:rsidRPr="005D76F8">
        <w:t xml:space="preserve">mające na celu </w:t>
      </w:r>
      <w:r w:rsidR="00E94352" w:rsidRPr="005D76F8">
        <w:t xml:space="preserve">poprawę znajomości języka polskiego, </w:t>
      </w:r>
      <w:r w:rsidR="008074C3" w:rsidRPr="005D76F8">
        <w:t xml:space="preserve">wstępną integrację, </w:t>
      </w:r>
      <w:r w:rsidR="00641965" w:rsidRPr="005D76F8">
        <w:t xml:space="preserve">zapoznanie </w:t>
      </w:r>
      <w:r w:rsidR="008074C3" w:rsidRPr="005D76F8">
        <w:t>się z kulturą polską</w:t>
      </w:r>
      <w:r w:rsidR="00DC199A">
        <w:t>,</w:t>
      </w:r>
    </w:p>
    <w:p w14:paraId="3BE9B202" w14:textId="1AA06162" w:rsidR="00E41614" w:rsidRPr="005D76F8" w:rsidRDefault="004B5B07" w:rsidP="005D76F8">
      <w:pPr>
        <w:pStyle w:val="Akapitzlist"/>
        <w:numPr>
          <w:ilvl w:val="0"/>
          <w:numId w:val="15"/>
        </w:numPr>
        <w:contextualSpacing w:val="0"/>
      </w:pPr>
      <w:proofErr w:type="gramStart"/>
      <w:r w:rsidRPr="005D76F8">
        <w:t>utwor</w:t>
      </w:r>
      <w:r w:rsidR="00E94352" w:rsidRPr="005D76F8">
        <w:t>zenie</w:t>
      </w:r>
      <w:proofErr w:type="gramEnd"/>
      <w:r w:rsidR="00E94352" w:rsidRPr="005D76F8">
        <w:t xml:space="preserve"> strony internetowej oraz za</w:t>
      </w:r>
      <w:r w:rsidRPr="005D76F8">
        <w:t>mie</w:t>
      </w:r>
      <w:r w:rsidR="00E94352" w:rsidRPr="005D76F8">
        <w:t xml:space="preserve">szczanie informacji o </w:t>
      </w:r>
      <w:r w:rsidR="005D76F8" w:rsidRPr="005D76F8">
        <w:t xml:space="preserve">działaniach </w:t>
      </w:r>
      <w:r w:rsidR="00E94352" w:rsidRPr="005D76F8">
        <w:t>projek</w:t>
      </w:r>
      <w:r w:rsidR="005D76F8" w:rsidRPr="005D76F8">
        <w:t>towych na</w:t>
      </w:r>
      <w:r w:rsidRPr="005D76F8">
        <w:t xml:space="preserve"> </w:t>
      </w:r>
      <w:r w:rsidR="005D76F8" w:rsidRPr="005D76F8">
        <w:t>platformach</w:t>
      </w:r>
      <w:r w:rsidRPr="005D76F8">
        <w:t xml:space="preserve"> społecznościowych</w:t>
      </w:r>
      <w:r w:rsidR="007C50D5">
        <w:t>,</w:t>
      </w:r>
    </w:p>
    <w:p w14:paraId="7B33ADDC" w14:textId="01FABF7E" w:rsidR="00570E01" w:rsidRPr="005D76F8" w:rsidRDefault="00E41614" w:rsidP="005D76F8">
      <w:pPr>
        <w:pStyle w:val="Akapitzlist"/>
        <w:numPr>
          <w:ilvl w:val="0"/>
          <w:numId w:val="15"/>
        </w:numPr>
        <w:contextualSpacing w:val="0"/>
        <w:rPr>
          <w:rFonts w:eastAsia="TimesNewRoman" w:cs="TimesNewRoman"/>
          <w:b/>
          <w:noProof/>
          <w:color w:val="000000"/>
          <w:u w:val="single"/>
        </w:rPr>
      </w:pPr>
      <w:proofErr w:type="gramStart"/>
      <w:r w:rsidRPr="005D76F8">
        <w:t>wsparcie</w:t>
      </w:r>
      <w:proofErr w:type="gramEnd"/>
      <w:r w:rsidRPr="005D76F8">
        <w:t xml:space="preserve"> w kontaktach z oczekującą w Polsce gminą lub środowiskiem oraz</w:t>
      </w:r>
      <w:r w:rsidR="002A13A1" w:rsidRPr="005D76F8">
        <w:t xml:space="preserve"> </w:t>
      </w:r>
      <w:r w:rsidRPr="005D76F8">
        <w:t>uzupełniająco przygotowanie społeczności lokalnej na przyjazd repatriantów.</w:t>
      </w:r>
    </w:p>
    <w:p w14:paraId="21B4FB66" w14:textId="77777777" w:rsidR="00570E01" w:rsidRPr="005D76F8" w:rsidRDefault="00570E01" w:rsidP="005D76F8">
      <w:pPr>
        <w:ind w:left="567" w:hanging="283"/>
        <w:rPr>
          <w:rFonts w:eastAsia="Calibri" w:cs="Times New Roman"/>
        </w:rPr>
      </w:pPr>
      <w:r w:rsidRPr="005D76F8">
        <w:rPr>
          <w:rFonts w:eastAsia="Calibri" w:cs="Times New Roman"/>
        </w:rPr>
        <w:t xml:space="preserve">Wnioskodawcy realizujący działania na rzecz dzieci mają </w:t>
      </w:r>
      <w:r w:rsidRPr="005D76F8">
        <w:rPr>
          <w:rFonts w:eastAsia="Calibri" w:cs="Times New Roman"/>
          <w:b/>
        </w:rPr>
        <w:t>obowiązek posiadania standardów ochrony małoletnich</w:t>
      </w:r>
      <w:r w:rsidRPr="005D76F8">
        <w:rPr>
          <w:rFonts w:eastAsia="Calibri" w:cs="Times New Roman"/>
        </w:rPr>
        <w:t xml:space="preserve">, zgodnie z Ustawą z dnia 28 lipca 2023 r. o zmianie ustawy – </w:t>
      </w:r>
      <w:r w:rsidRPr="005D76F8">
        <w:rPr>
          <w:rFonts w:eastAsia="Calibri" w:cs="Times New Roman"/>
          <w:i/>
          <w:iCs/>
        </w:rPr>
        <w:t>Kodeks rodzinny i opiekuńczy oraz niektórych innych ustaw</w:t>
      </w:r>
      <w:r w:rsidRPr="005D76F8">
        <w:rPr>
          <w:rFonts w:eastAsia="Calibri" w:cs="Times New Roman"/>
        </w:rPr>
        <w:t>.</w:t>
      </w:r>
    </w:p>
    <w:p w14:paraId="79DE9B3E" w14:textId="6F66BFBE" w:rsidR="00570E01" w:rsidRPr="005D76F8" w:rsidRDefault="00E41614" w:rsidP="005D76F8">
      <w:pPr>
        <w:pStyle w:val="Nagwek1"/>
        <w:spacing w:after="120"/>
        <w:ind w:left="567" w:hanging="283"/>
        <w:rPr>
          <w:rFonts w:eastAsia="Times New Roman"/>
          <w:szCs w:val="22"/>
        </w:rPr>
      </w:pPr>
      <w:r w:rsidRPr="005D76F8">
        <w:rPr>
          <w:rFonts w:eastAsia="Times New Roman"/>
          <w:szCs w:val="22"/>
        </w:rPr>
        <w:t>Poniżej przedstawiono w</w:t>
      </w:r>
      <w:r w:rsidR="00C54A27" w:rsidRPr="005D76F8">
        <w:rPr>
          <w:rFonts w:eastAsia="Times New Roman"/>
          <w:szCs w:val="22"/>
        </w:rPr>
        <w:t>skaźniki</w:t>
      </w:r>
      <w:r w:rsidRPr="005D76F8">
        <w:rPr>
          <w:rFonts w:eastAsia="Times New Roman"/>
          <w:szCs w:val="22"/>
        </w:rPr>
        <w:t xml:space="preserve"> </w:t>
      </w:r>
      <w:r w:rsidR="00FC4C74" w:rsidRPr="005D76F8">
        <w:rPr>
          <w:rFonts w:eastAsia="Times New Roman"/>
          <w:szCs w:val="22"/>
        </w:rPr>
        <w:t>produktu i rezultatu z Polskiego P</w:t>
      </w:r>
      <w:r w:rsidRPr="005D76F8">
        <w:rPr>
          <w:rFonts w:eastAsia="Times New Roman"/>
          <w:szCs w:val="22"/>
        </w:rPr>
        <w:t xml:space="preserve">rogramu FAMI, </w:t>
      </w:r>
      <w:r w:rsidR="00FC4C74" w:rsidRPr="005D76F8">
        <w:rPr>
          <w:rFonts w:eastAsia="Times New Roman"/>
          <w:szCs w:val="22"/>
        </w:rPr>
        <w:t>spośród których należy wybrać te do</w:t>
      </w:r>
      <w:r w:rsidRPr="005D76F8">
        <w:rPr>
          <w:rFonts w:eastAsia="Times New Roman"/>
          <w:szCs w:val="22"/>
        </w:rPr>
        <w:t xml:space="preserve"> uwzględni</w:t>
      </w:r>
      <w:r w:rsidR="00FC4C74" w:rsidRPr="005D76F8">
        <w:rPr>
          <w:rFonts w:eastAsia="Times New Roman"/>
          <w:szCs w:val="22"/>
        </w:rPr>
        <w:t xml:space="preserve">enia </w:t>
      </w:r>
      <w:r w:rsidRPr="005D76F8">
        <w:rPr>
          <w:rFonts w:eastAsia="Times New Roman"/>
          <w:szCs w:val="22"/>
        </w:rPr>
        <w:t>w projekcie:</w:t>
      </w:r>
    </w:p>
    <w:p w14:paraId="1D2448E6" w14:textId="13E13CC9" w:rsidR="00E41614" w:rsidRPr="00EF2CF3" w:rsidRDefault="00E41614" w:rsidP="005D76F8">
      <w:pPr>
        <w:pStyle w:val="Akapitzlist"/>
        <w:numPr>
          <w:ilvl w:val="0"/>
          <w:numId w:val="17"/>
        </w:numPr>
        <w:spacing w:before="120"/>
        <w:contextualSpacing w:val="0"/>
        <w:rPr>
          <w:b/>
        </w:rPr>
      </w:pPr>
      <w:r w:rsidRPr="00EF2CF3">
        <w:rPr>
          <w:b/>
        </w:rPr>
        <w:t>Produktu:</w:t>
      </w:r>
    </w:p>
    <w:p w14:paraId="55347871" w14:textId="77777777" w:rsidR="00E41614" w:rsidRPr="005D76F8" w:rsidRDefault="00E41614" w:rsidP="005D76F8">
      <w:pPr>
        <w:spacing w:before="120"/>
        <w:ind w:left="717" w:firstLine="0"/>
      </w:pPr>
      <w:r w:rsidRPr="005D76F8">
        <w:t>O.2.1</w:t>
      </w:r>
      <w:r w:rsidRPr="005D76F8">
        <w:tab/>
        <w:t xml:space="preserve">Liczba uczestników objętych środkami poprzedzającymi wyjazd </w:t>
      </w:r>
    </w:p>
    <w:p w14:paraId="58FD62E9" w14:textId="77777777" w:rsidR="00E41614" w:rsidRPr="005D76F8" w:rsidRDefault="00E41614" w:rsidP="005D76F8">
      <w:pPr>
        <w:spacing w:before="120"/>
        <w:ind w:left="717" w:firstLine="0"/>
      </w:pPr>
      <w:r w:rsidRPr="005D76F8">
        <w:t>O.2.2</w:t>
      </w:r>
      <w:r w:rsidRPr="005D76F8">
        <w:tab/>
        <w:t>Liczba organów lokalnych i regionalnych, którym udzielono wsparcia w celu wdrożenia środków integracji</w:t>
      </w:r>
    </w:p>
    <w:p w14:paraId="0BC87903" w14:textId="77777777" w:rsidR="00E41614" w:rsidRPr="005D76F8" w:rsidRDefault="00E41614" w:rsidP="005D76F8">
      <w:pPr>
        <w:spacing w:before="120"/>
        <w:ind w:left="717" w:firstLine="0"/>
      </w:pPr>
      <w:r w:rsidRPr="005D76F8">
        <w:t>O.2.3</w:t>
      </w:r>
      <w:r w:rsidRPr="005D76F8">
        <w:tab/>
        <w:t>Liczba uczestników, którzy otrzymali wsparcie</w:t>
      </w:r>
    </w:p>
    <w:p w14:paraId="24D71EF0" w14:textId="77777777" w:rsidR="00E41614" w:rsidRPr="005D76F8" w:rsidRDefault="00E41614" w:rsidP="005D76F8">
      <w:pPr>
        <w:spacing w:before="120"/>
        <w:ind w:left="717" w:firstLine="0"/>
      </w:pPr>
      <w:r w:rsidRPr="005D76F8">
        <w:t>O.2.3.1</w:t>
      </w:r>
      <w:r w:rsidRPr="005D76F8">
        <w:tab/>
      </w:r>
      <w:proofErr w:type="gramStart"/>
      <w:r w:rsidRPr="005D76F8">
        <w:t>w</w:t>
      </w:r>
      <w:proofErr w:type="gramEnd"/>
      <w:r w:rsidRPr="005D76F8">
        <w:t xml:space="preserve"> tym liczba uczestników kursów językowych</w:t>
      </w:r>
    </w:p>
    <w:p w14:paraId="6BCAB587" w14:textId="77777777" w:rsidR="00E41614" w:rsidRPr="005D76F8" w:rsidRDefault="00E41614" w:rsidP="005D76F8">
      <w:pPr>
        <w:spacing w:before="120"/>
        <w:ind w:left="717" w:firstLine="0"/>
      </w:pPr>
      <w:r w:rsidRPr="005D76F8">
        <w:t>O.2.3.2</w:t>
      </w:r>
      <w:r w:rsidRPr="005D76F8">
        <w:tab/>
      </w:r>
      <w:proofErr w:type="gramStart"/>
      <w:r w:rsidRPr="005D76F8">
        <w:t>w</w:t>
      </w:r>
      <w:proofErr w:type="gramEnd"/>
      <w:r w:rsidRPr="005D76F8">
        <w:t xml:space="preserve"> tym liczba uczestników kursów kształtujących świadomość obywatelską</w:t>
      </w:r>
    </w:p>
    <w:p w14:paraId="036F346C" w14:textId="5AA2DBCD" w:rsidR="00E41614" w:rsidRPr="005D76F8" w:rsidRDefault="00E41614" w:rsidP="005D76F8">
      <w:pPr>
        <w:spacing w:before="120"/>
        <w:ind w:left="717" w:firstLine="0"/>
      </w:pPr>
      <w:r w:rsidRPr="005D76F8">
        <w:t>O.2.3.3</w:t>
      </w:r>
      <w:r w:rsidRPr="005D76F8">
        <w:tab/>
      </w:r>
      <w:proofErr w:type="gramStart"/>
      <w:r w:rsidRPr="005D76F8">
        <w:t>w</w:t>
      </w:r>
      <w:proofErr w:type="gramEnd"/>
      <w:r w:rsidRPr="005D76F8">
        <w:t xml:space="preserve"> tym liczba uczestników, którzy otrzymali spersonalizowane doradztwo zawodowe</w:t>
      </w:r>
    </w:p>
    <w:p w14:paraId="113D288E" w14:textId="77777777" w:rsidR="00E41614" w:rsidRPr="005D76F8" w:rsidRDefault="00E41614" w:rsidP="005D76F8">
      <w:pPr>
        <w:spacing w:before="120"/>
        <w:ind w:hanging="6"/>
      </w:pPr>
      <w:r w:rsidRPr="005D76F8">
        <w:t>O.2.4 Liczba pakietów i kampanii informacyjnych mających na celu upowszechnianie wiedzy na temat sposobów legalnej migracji do Unii. Chodzi o kampanie informacyjne skierowane do osób przed przyjazdem, przebywających poza granicami UE. Nie są to kampanie dotyczące legalizacji pobytu prowadzone w państwie członkowskim (dotyczące obowiązujących procedur, ścieżek postępowania w urzędach, realizowane często w formie poradników i stron internetowych).</w:t>
      </w:r>
    </w:p>
    <w:p w14:paraId="42E5B9EB" w14:textId="7C050B62" w:rsidR="00E41614" w:rsidRPr="00EF2CF3" w:rsidRDefault="00E41614" w:rsidP="005D76F8">
      <w:pPr>
        <w:pStyle w:val="Akapitzlist"/>
        <w:numPr>
          <w:ilvl w:val="0"/>
          <w:numId w:val="17"/>
        </w:numPr>
        <w:spacing w:before="120"/>
        <w:contextualSpacing w:val="0"/>
        <w:rPr>
          <w:b/>
        </w:rPr>
      </w:pPr>
      <w:r w:rsidRPr="00EF2CF3">
        <w:rPr>
          <w:b/>
        </w:rPr>
        <w:t>Rezultatu:</w:t>
      </w:r>
    </w:p>
    <w:p w14:paraId="3953F523" w14:textId="1BA3E50E" w:rsidR="00E41614" w:rsidRPr="005D76F8" w:rsidRDefault="00E41614" w:rsidP="005D76F8">
      <w:pPr>
        <w:spacing w:before="120"/>
        <w:ind w:hanging="6"/>
      </w:pPr>
      <w:r w:rsidRPr="005D76F8">
        <w:t>R.2.8 Liczba uczestników kursów językowych, którzy po odbyciu kursu językowego poprawili stopień znajomości języka państwa przyjmującego o co najmniej jeden poziom według europejskiego systemu opisu kształcenia językowego lub według jego krajowego odpowiednika</w:t>
      </w:r>
    </w:p>
    <w:p w14:paraId="6892BC4A" w14:textId="3347AF6E" w:rsidR="00E41614" w:rsidRPr="005D76F8" w:rsidRDefault="00E41614" w:rsidP="005D76F8">
      <w:pPr>
        <w:spacing w:before="120"/>
        <w:ind w:hanging="6"/>
      </w:pPr>
      <w:r w:rsidRPr="005D76F8">
        <w:t>R.2.9 Liczba uczestników, którzy uważają, że dane działanie miało korzystny wpływ na ich integrację</w:t>
      </w:r>
    </w:p>
    <w:p w14:paraId="456D3C14" w14:textId="41418360" w:rsidR="00570E01" w:rsidRPr="005D76F8" w:rsidRDefault="00570E01" w:rsidP="005D76F8">
      <w:pPr>
        <w:ind w:left="567" w:hanging="283"/>
        <w:rPr>
          <w:rFonts w:eastAsia="Times New Roman" w:cs="Arial"/>
          <w:bCs/>
          <w:color w:val="010101"/>
          <w:shd w:val="clear" w:color="auto" w:fill="FFFFFF"/>
          <w:lang w:eastAsia="pl-PL"/>
        </w:rPr>
      </w:pPr>
      <w:r w:rsidRPr="005D76F8">
        <w:rPr>
          <w:rFonts w:eastAsia="Times New Roman" w:cs="Arial"/>
          <w:bCs/>
          <w:color w:val="010101"/>
          <w:shd w:val="clear" w:color="auto" w:fill="FFFFFF"/>
          <w:lang w:eastAsia="pl-PL"/>
        </w:rPr>
        <w:t>Poza wyżej wymienionymi wskaźnikami, należy wybrać również wszelkie inne wskaźniki obowiązkowe (produktu i rezultatu), które będą odpowiadać projektowi.</w:t>
      </w:r>
    </w:p>
    <w:p w14:paraId="35EDB06C" w14:textId="36AD800F" w:rsidR="00570E01" w:rsidRPr="005D76F8" w:rsidRDefault="00C54A27" w:rsidP="005D76F8">
      <w:pPr>
        <w:pStyle w:val="Nagwek1"/>
        <w:spacing w:after="120"/>
        <w:ind w:left="567" w:hanging="283"/>
        <w:rPr>
          <w:rFonts w:eastAsia="Times New Roman"/>
          <w:szCs w:val="22"/>
          <w:shd w:val="clear" w:color="auto" w:fill="FFFFFF"/>
          <w:lang w:eastAsia="pl-PL"/>
        </w:rPr>
      </w:pPr>
      <w:r w:rsidRPr="005D76F8">
        <w:rPr>
          <w:rFonts w:eastAsia="Times New Roman"/>
          <w:szCs w:val="22"/>
          <w:shd w:val="clear" w:color="auto" w:fill="FFFFFF"/>
          <w:lang w:eastAsia="pl-PL"/>
        </w:rPr>
        <w:t>Składanie wniosku</w:t>
      </w:r>
    </w:p>
    <w:p w14:paraId="7A95E9B6" w14:textId="77777777" w:rsidR="00570E01" w:rsidRPr="005D76F8" w:rsidRDefault="00570E01" w:rsidP="005D76F8">
      <w:pPr>
        <w:numPr>
          <w:ilvl w:val="0"/>
          <w:numId w:val="8"/>
        </w:numPr>
        <w:ind w:left="568" w:hanging="284"/>
        <w:rPr>
          <w:rFonts w:eastAsia="Times New Roman" w:cs="Arial"/>
          <w:bCs/>
          <w:color w:val="010101"/>
          <w:shd w:val="clear" w:color="auto" w:fill="FFFFFF"/>
          <w:lang w:eastAsia="pl-PL"/>
        </w:rPr>
      </w:pPr>
      <w:r w:rsidRPr="005D76F8">
        <w:rPr>
          <w:rFonts w:eastAsia="Calibri" w:cs="Calibri"/>
        </w:rPr>
        <w:t xml:space="preserve">W naborze obowiązuje ściśle określona procedura otrzymania dofinansowania. </w:t>
      </w:r>
      <w:r w:rsidRPr="005D76F8">
        <w:rPr>
          <w:rFonts w:eastAsia="Calibri" w:cs="Times New Roman"/>
        </w:rPr>
        <w:t xml:space="preserve">Dokumentacja dla niniejszego naboru, w tym ogłoszenie o naborze wniosków, jest dostępna w systemie CST2021 pod adresem: </w:t>
      </w:r>
      <w:hyperlink w:history="1">
        <w:r w:rsidRPr="005D76F8">
          <w:rPr>
            <w:rFonts w:eastAsia="Calibri" w:cs="Times New Roman"/>
            <w:color w:val="0000FF"/>
            <w:u w:val="single"/>
          </w:rPr>
          <w:t>https://wod.cst2021.gov.pl/</w:t>
        </w:r>
      </w:hyperlink>
      <w:r w:rsidRPr="005D76F8">
        <w:rPr>
          <w:rFonts w:eastAsia="Calibri" w:cs="Times New Roman"/>
          <w:color w:val="0000FF"/>
          <w:u w:val="single"/>
        </w:rPr>
        <w:t xml:space="preserve">. </w:t>
      </w:r>
      <w:r w:rsidRPr="005D76F8">
        <w:rPr>
          <w:rFonts w:eastAsia="Calibri" w:cs="Times New Roman"/>
        </w:rPr>
        <w:t>Wniosek należy złożyć przy użyciu WOD2021 – aplikacji online wspierającej proces wyboru projektów w ramach systemu CST2021.</w:t>
      </w:r>
    </w:p>
    <w:p w14:paraId="6433DA16" w14:textId="77777777" w:rsidR="00570E01" w:rsidRPr="005D76F8" w:rsidRDefault="00570E01" w:rsidP="005D76F8">
      <w:pPr>
        <w:numPr>
          <w:ilvl w:val="0"/>
          <w:numId w:val="8"/>
        </w:numPr>
        <w:ind w:left="568" w:hanging="284"/>
        <w:rPr>
          <w:rFonts w:eastAsia="Times New Roman" w:cs="Arial"/>
          <w:bCs/>
          <w:color w:val="010101"/>
          <w:shd w:val="clear" w:color="auto" w:fill="FFFFFF"/>
          <w:lang w:eastAsia="pl-PL"/>
        </w:rPr>
      </w:pPr>
      <w:r w:rsidRPr="005D76F8">
        <w:rPr>
          <w:rFonts w:eastAsia="Calibri" w:cs="Times New Roman"/>
        </w:rPr>
        <w:t>Złożony wniosek podlega ocenie formalnej, a następnie merytorycznej. Oznacza to, że wniosek o dofinansowanie może zostać zakwalifikowany do oceny merytorycznej wyłącznie po pozytywnym przejściu przez etap oceny formalnej. W ocenie merytorycznej obowiązuje system punktowy oceny projektów. Dofinansowanie mogą otrzymać tylko te projekty, które spełnią kryteria: wymagane minimum to 65 pkt ze 100 pkt oraz w kategoriach B, C i D wniosek musi uzyskać min. 50% punktów możliwych do uzyskania w danej kategorii. Formularze oceny stanowią załącznik do regulaminu.</w:t>
      </w:r>
    </w:p>
    <w:p w14:paraId="34425848" w14:textId="77777777" w:rsidR="00570E01" w:rsidRPr="005D76F8" w:rsidRDefault="00570E01" w:rsidP="005D76F8">
      <w:pPr>
        <w:numPr>
          <w:ilvl w:val="0"/>
          <w:numId w:val="8"/>
        </w:numPr>
        <w:ind w:left="568" w:hanging="284"/>
        <w:rPr>
          <w:rFonts w:eastAsia="Times New Roman" w:cs="Arial"/>
          <w:bCs/>
          <w:color w:val="010101"/>
          <w:shd w:val="clear" w:color="auto" w:fill="FFFFFF"/>
          <w:lang w:eastAsia="pl-PL"/>
        </w:rPr>
      </w:pPr>
      <w:r w:rsidRPr="005D76F8">
        <w:rPr>
          <w:rFonts w:eastAsia="Calibri" w:cs="Times New Roman"/>
        </w:rPr>
        <w:t xml:space="preserve">Przygotowując wniosek należy mieć na uwadze kryteria, którymi będą posługiwać się oceniający. Z metodyką oceny projektów można zapoznać się pod adresem: </w:t>
      </w:r>
      <w:hyperlink w:history="1">
        <w:r w:rsidRPr="005D76F8">
          <w:rPr>
            <w:rFonts w:eastAsia="Calibri" w:cs="Calibri"/>
            <w:color w:val="0000FF"/>
            <w:u w:val="single"/>
          </w:rPr>
          <w:t>https://www.gov.pl/web/dfe-mswia/metodyka-wyboru-projektow</w:t>
        </w:r>
      </w:hyperlink>
      <w:r w:rsidRPr="005D76F8">
        <w:rPr>
          <w:rFonts w:eastAsia="Calibri" w:cs="Times New Roman"/>
        </w:rPr>
        <w:t>.</w:t>
      </w:r>
    </w:p>
    <w:p w14:paraId="70419746" w14:textId="0B91042B" w:rsidR="00570E01" w:rsidRPr="005D76F8" w:rsidRDefault="00035210" w:rsidP="005D76F8">
      <w:pPr>
        <w:numPr>
          <w:ilvl w:val="0"/>
          <w:numId w:val="8"/>
        </w:numPr>
        <w:ind w:left="568" w:hanging="284"/>
        <w:rPr>
          <w:rFonts w:eastAsia="Times New Roman" w:cs="Arial"/>
          <w:bCs/>
          <w:color w:val="010101"/>
          <w:shd w:val="clear" w:color="auto" w:fill="FFFFFF"/>
          <w:lang w:eastAsia="pl-PL"/>
        </w:rPr>
      </w:pPr>
      <w:r>
        <w:rPr>
          <w:rFonts w:eastAsia="Calibri" w:cs="Times New Roman"/>
        </w:rPr>
        <w:t>Harmonogram naboru: p</w:t>
      </w:r>
      <w:r w:rsidR="00570E01" w:rsidRPr="005D76F8">
        <w:rPr>
          <w:rFonts w:eastAsia="Calibri" w:cs="Times New Roman"/>
        </w:rPr>
        <w:t xml:space="preserve">lanowana data przekazania informacji o wynikach oceny wynosi maksimum sześć miesięcy od ostatecznego terminu złożenia kompletnych wniosków. Orientacyjna data podpisania umów o przyznanie dofinansowania wynosi maksimum trzy miesiące od daty poinformowania wnioskodawców, że zostali </w:t>
      </w:r>
      <w:r w:rsidR="00AB704A" w:rsidRPr="005D76F8">
        <w:rPr>
          <w:rFonts w:eastAsia="Calibri" w:cs="Times New Roman"/>
        </w:rPr>
        <w:t xml:space="preserve">wybrani: </w:t>
      </w:r>
      <w:r w:rsidR="002A0AD6" w:rsidRPr="005D76F8">
        <w:rPr>
          <w:rFonts w:eastAsia="Calibri" w:cs="Times New Roman"/>
        </w:rPr>
        <w:t>marzec - czerwiec 2026</w:t>
      </w:r>
      <w:r w:rsidR="00570E01" w:rsidRPr="005D76F8">
        <w:rPr>
          <w:rFonts w:eastAsia="Calibri" w:cs="Times New Roman"/>
        </w:rPr>
        <w:t xml:space="preserve"> r.</w:t>
      </w:r>
    </w:p>
    <w:p w14:paraId="1F553F75" w14:textId="77777777" w:rsidR="00570E01" w:rsidRPr="005D76F8" w:rsidRDefault="00570E01" w:rsidP="005D76F8">
      <w:pPr>
        <w:numPr>
          <w:ilvl w:val="0"/>
          <w:numId w:val="8"/>
        </w:numPr>
        <w:ind w:left="568" w:hanging="284"/>
        <w:rPr>
          <w:rFonts w:eastAsia="Times New Roman" w:cs="Arial"/>
          <w:bCs/>
          <w:color w:val="010101"/>
          <w:shd w:val="clear" w:color="auto" w:fill="FFFFFF"/>
          <w:lang w:eastAsia="pl-PL"/>
        </w:rPr>
      </w:pPr>
      <w:r w:rsidRPr="005D76F8">
        <w:rPr>
          <w:rFonts w:eastAsia="Calibri" w:cs="Times New Roman"/>
        </w:rPr>
        <w:t>Projekty, które zostaną zaakceptowane do realizacji w ramach FAMI:</w:t>
      </w:r>
    </w:p>
    <w:p w14:paraId="24703C0E" w14:textId="77777777" w:rsidR="00570E01" w:rsidRPr="005D76F8" w:rsidRDefault="00570E01" w:rsidP="005D76F8">
      <w:pPr>
        <w:numPr>
          <w:ilvl w:val="0"/>
          <w:numId w:val="9"/>
        </w:numPr>
        <w:ind w:left="568" w:hanging="284"/>
        <w:rPr>
          <w:rFonts w:eastAsia="Calibri" w:cs="Times New Roman"/>
        </w:rPr>
      </w:pPr>
      <w:proofErr w:type="gramStart"/>
      <w:r w:rsidRPr="005D76F8">
        <w:rPr>
          <w:rFonts w:eastAsia="Calibri" w:cs="Times New Roman"/>
        </w:rPr>
        <w:t>muszą</w:t>
      </w:r>
      <w:proofErr w:type="gramEnd"/>
      <w:r w:rsidRPr="005D76F8">
        <w:rPr>
          <w:rFonts w:eastAsia="Calibri" w:cs="Times New Roman"/>
        </w:rPr>
        <w:t xml:space="preserve"> być zgodnie z zapisami Polskiego Programu FAMI (adres: </w:t>
      </w:r>
      <w:hyperlink w:history="1">
        <w:r w:rsidRPr="005D76F8">
          <w:rPr>
            <w:rFonts w:eastAsia="Calibri" w:cs="Calibri"/>
            <w:color w:val="0000FF"/>
            <w:u w:val="single"/>
          </w:rPr>
          <w:t>https://www.gov.pl/web/dfe-mswia/program-funduszu-azylu-migracji-i-integracji-2021-2027</w:t>
        </w:r>
      </w:hyperlink>
      <w:r w:rsidRPr="005D76F8">
        <w:rPr>
          <w:rFonts w:eastAsia="Calibri" w:cs="Times New Roman"/>
        </w:rPr>
        <w:t>),</w:t>
      </w:r>
    </w:p>
    <w:p w14:paraId="00BCA2AE" w14:textId="77777777" w:rsidR="00570E01" w:rsidRPr="005D76F8" w:rsidRDefault="00570E01" w:rsidP="005D76F8">
      <w:pPr>
        <w:numPr>
          <w:ilvl w:val="0"/>
          <w:numId w:val="9"/>
        </w:numPr>
        <w:ind w:left="568" w:hanging="284"/>
        <w:rPr>
          <w:rFonts w:eastAsia="Calibri" w:cs="Times New Roman"/>
        </w:rPr>
      </w:pPr>
      <w:proofErr w:type="gramStart"/>
      <w:r w:rsidRPr="005D76F8">
        <w:rPr>
          <w:rFonts w:eastAsia="Calibri" w:cs="Times New Roman"/>
        </w:rPr>
        <w:t>muszą</w:t>
      </w:r>
      <w:proofErr w:type="gramEnd"/>
      <w:r w:rsidRPr="005D76F8">
        <w:rPr>
          <w:rFonts w:eastAsia="Calibri" w:cs="Times New Roman"/>
        </w:rPr>
        <w:t xml:space="preserve"> uwzględniać zapisy Podręcznika dla Beneficjenta (adres: </w:t>
      </w:r>
      <w:hyperlink w:history="1">
        <w:r w:rsidRPr="005D76F8">
          <w:rPr>
            <w:rFonts w:eastAsia="Calibri" w:cs="Calibri"/>
            <w:color w:val="0000FF"/>
            <w:u w:val="single"/>
          </w:rPr>
          <w:t>https://copemswia.gov.pl/fundusze/fami/fami-2021-2027/podrecznik-dla-beneficjenta-fami-2021-2027/</w:t>
        </w:r>
      </w:hyperlink>
      <w:r w:rsidRPr="005D76F8">
        <w:rPr>
          <w:rFonts w:eastAsia="Calibri" w:cs="Times New Roman"/>
        </w:rPr>
        <w:t>).</w:t>
      </w:r>
    </w:p>
    <w:p w14:paraId="5FB9AC86" w14:textId="77777777" w:rsidR="00570E01" w:rsidRPr="005D76F8" w:rsidRDefault="00570E01" w:rsidP="005D76F8">
      <w:pPr>
        <w:numPr>
          <w:ilvl w:val="0"/>
          <w:numId w:val="8"/>
        </w:numPr>
        <w:ind w:left="568" w:hanging="284"/>
        <w:rPr>
          <w:rFonts w:eastAsia="Calibri" w:cs="Times New Roman"/>
        </w:rPr>
      </w:pPr>
      <w:r w:rsidRPr="005D76F8">
        <w:rPr>
          <w:rFonts w:eastAsia="Calibri" w:cs="Times New Roman"/>
        </w:rPr>
        <w:t xml:space="preserve">W przypadku pytań lub wątpliwości związanych z prawidłowym wypełnianiem wniosków aplikacyjnych, istnieje możliwość wysłania zapytania związanego z przedmiotowym naborem na adres poczty elektronicznej: </w:t>
      </w:r>
      <w:r w:rsidRPr="005D76F8">
        <w:rPr>
          <w:rFonts w:eastAsia="Calibri" w:cs="Times New Roman"/>
          <w:color w:val="0000FF"/>
        </w:rPr>
        <w:t>fundusze.</w:t>
      </w:r>
      <w:proofErr w:type="gramStart"/>
      <w:r w:rsidRPr="005D76F8">
        <w:rPr>
          <w:rFonts w:eastAsia="Calibri" w:cs="Times New Roman"/>
          <w:color w:val="0000FF"/>
        </w:rPr>
        <w:t>kontakt</w:t>
      </w:r>
      <w:proofErr w:type="gramEnd"/>
      <w:r w:rsidRPr="005D76F8">
        <w:rPr>
          <w:rFonts w:eastAsia="Calibri" w:cs="Times New Roman"/>
          <w:color w:val="0000FF"/>
        </w:rPr>
        <w:t>@mswia.</w:t>
      </w:r>
      <w:proofErr w:type="gramStart"/>
      <w:r w:rsidRPr="005D76F8">
        <w:rPr>
          <w:rFonts w:eastAsia="Calibri" w:cs="Times New Roman"/>
          <w:color w:val="0000FF"/>
        </w:rPr>
        <w:t>gov</w:t>
      </w:r>
      <w:proofErr w:type="gramEnd"/>
      <w:r w:rsidRPr="005D76F8">
        <w:rPr>
          <w:rFonts w:eastAsia="Calibri" w:cs="Times New Roman"/>
          <w:color w:val="0000FF"/>
        </w:rPr>
        <w:t>.</w:t>
      </w:r>
      <w:proofErr w:type="gramStart"/>
      <w:r w:rsidRPr="005D76F8">
        <w:rPr>
          <w:rFonts w:eastAsia="Calibri" w:cs="Times New Roman"/>
          <w:color w:val="0000FF"/>
        </w:rPr>
        <w:t>pl</w:t>
      </w:r>
      <w:proofErr w:type="gramEnd"/>
      <w:r w:rsidRPr="005D76F8">
        <w:rPr>
          <w:rFonts w:eastAsia="Calibri" w:cs="Times New Roman"/>
          <w:color w:val="0000FF"/>
        </w:rPr>
        <w:t>.</w:t>
      </w:r>
      <w:r w:rsidRPr="005D76F8">
        <w:rPr>
          <w:rFonts w:eastAsia="Calibri" w:cs="Times New Roman"/>
        </w:rPr>
        <w:t xml:space="preserve"> Odpowiedzi będą przekazywane w terminie do 5 dni roboczych. Zestawienia pytań i odpowiedzi będą publikowane na stronie internetowej naboru.</w:t>
      </w:r>
    </w:p>
    <w:p w14:paraId="6CFB0D3F" w14:textId="77777777" w:rsidR="00570E01" w:rsidRPr="005D76F8" w:rsidRDefault="00570E01" w:rsidP="005D76F8">
      <w:pPr>
        <w:pStyle w:val="Nagwek1"/>
        <w:spacing w:after="120"/>
        <w:ind w:left="567" w:hanging="283"/>
        <w:rPr>
          <w:rFonts w:eastAsia="Times New Roman"/>
          <w:szCs w:val="22"/>
        </w:rPr>
      </w:pPr>
      <w:r w:rsidRPr="005D76F8">
        <w:rPr>
          <w:rFonts w:eastAsia="Times New Roman"/>
          <w:szCs w:val="22"/>
        </w:rPr>
        <w:t>Załączniki:</w:t>
      </w:r>
    </w:p>
    <w:p w14:paraId="76382B49" w14:textId="77777777" w:rsidR="00570E01" w:rsidRPr="005D76F8" w:rsidRDefault="00570E01" w:rsidP="005D76F8">
      <w:pPr>
        <w:numPr>
          <w:ilvl w:val="0"/>
          <w:numId w:val="10"/>
        </w:numPr>
        <w:ind w:left="567" w:hanging="283"/>
        <w:rPr>
          <w:rFonts w:eastAsia="Calibri" w:cs="Times New Roman"/>
        </w:rPr>
      </w:pPr>
      <w:r w:rsidRPr="005D76F8">
        <w:rPr>
          <w:rFonts w:eastAsia="Calibri" w:cs="Times New Roman"/>
        </w:rPr>
        <w:t>Arkusz oceny formalnej</w:t>
      </w:r>
    </w:p>
    <w:p w14:paraId="63E18408" w14:textId="77777777" w:rsidR="00570E01" w:rsidRPr="005D76F8" w:rsidRDefault="00570E01" w:rsidP="005D76F8">
      <w:pPr>
        <w:numPr>
          <w:ilvl w:val="0"/>
          <w:numId w:val="10"/>
        </w:numPr>
        <w:ind w:left="567" w:hanging="283"/>
        <w:rPr>
          <w:rFonts w:eastAsia="Calibri" w:cs="Times New Roman"/>
        </w:rPr>
      </w:pPr>
      <w:r w:rsidRPr="005D76F8">
        <w:rPr>
          <w:rFonts w:eastAsia="Calibri" w:cs="Times New Roman"/>
        </w:rPr>
        <w:t>Arkusz oceny merytorycznej</w:t>
      </w:r>
    </w:p>
    <w:p w14:paraId="5D931221" w14:textId="75EB5A92" w:rsidR="00570E01" w:rsidRPr="005D76F8" w:rsidRDefault="00880F8B" w:rsidP="005D76F8">
      <w:pPr>
        <w:numPr>
          <w:ilvl w:val="0"/>
          <w:numId w:val="10"/>
        </w:numPr>
        <w:ind w:left="567" w:hanging="283"/>
        <w:rPr>
          <w:rFonts w:eastAsia="Calibri" w:cs="Times New Roman"/>
        </w:rPr>
      </w:pPr>
      <w:r>
        <w:rPr>
          <w:rFonts w:eastAsia="Calibri" w:cs="Times New Roman"/>
        </w:rPr>
        <w:t>Instrukcja</w:t>
      </w:r>
      <w:r w:rsidR="00570E01" w:rsidRPr="005D76F8">
        <w:rPr>
          <w:rFonts w:eastAsia="Calibri" w:cs="Times New Roman"/>
        </w:rPr>
        <w:t xml:space="preserve"> wypełniania</w:t>
      </w:r>
      <w:r>
        <w:rPr>
          <w:rFonts w:eastAsia="Calibri" w:cs="Times New Roman"/>
        </w:rPr>
        <w:t xml:space="preserve"> wniosku o dofinansowanie</w:t>
      </w:r>
    </w:p>
    <w:p w14:paraId="6E2B530D" w14:textId="4AE3E945" w:rsidR="00570E01" w:rsidRPr="005D76F8" w:rsidRDefault="00570E01" w:rsidP="005D76F8">
      <w:pPr>
        <w:numPr>
          <w:ilvl w:val="0"/>
          <w:numId w:val="10"/>
        </w:numPr>
        <w:ind w:left="567" w:hanging="283"/>
        <w:rPr>
          <w:rFonts w:eastAsia="Calibri" w:cs="Times New Roman"/>
        </w:rPr>
      </w:pPr>
      <w:r w:rsidRPr="005D76F8">
        <w:rPr>
          <w:rFonts w:eastAsia="Calibri" w:cs="Times New Roman"/>
        </w:rPr>
        <w:t>Wzór umowy finansowej</w:t>
      </w:r>
    </w:p>
    <w:p w14:paraId="2478E3B2" w14:textId="70594AB5" w:rsidR="00B444F1" w:rsidRPr="005D76F8" w:rsidRDefault="00B444F1" w:rsidP="005D76F8">
      <w:pPr>
        <w:numPr>
          <w:ilvl w:val="0"/>
          <w:numId w:val="10"/>
        </w:numPr>
        <w:ind w:left="567" w:hanging="283"/>
        <w:rPr>
          <w:rFonts w:eastAsia="Calibri" w:cs="Times New Roman"/>
        </w:rPr>
      </w:pPr>
      <w:r w:rsidRPr="005D76F8">
        <w:rPr>
          <w:rFonts w:eastAsia="Calibri" w:cs="Times New Roman"/>
        </w:rPr>
        <w:t>Procedura odwoławcza</w:t>
      </w:r>
      <w:r w:rsidR="004E027A" w:rsidRPr="005D76F8">
        <w:rPr>
          <w:rFonts w:eastAsia="Calibri" w:cs="Times New Roman"/>
        </w:rPr>
        <w:t xml:space="preserve"> wraz ze wzorem odwołania od wyników oceny merytorycznej</w:t>
      </w:r>
    </w:p>
    <w:p w14:paraId="7389C511" w14:textId="2708250F" w:rsidR="003457AB" w:rsidRPr="005D76F8" w:rsidRDefault="003457AB" w:rsidP="005D76F8">
      <w:pPr>
        <w:pStyle w:val="Tytu"/>
        <w:spacing w:after="120" w:line="276" w:lineRule="auto"/>
        <w:jc w:val="left"/>
        <w:rPr>
          <w:rFonts w:ascii="Lato" w:hAnsi="Lato"/>
          <w:sz w:val="22"/>
          <w:szCs w:val="22"/>
        </w:rPr>
      </w:pPr>
    </w:p>
    <w:sectPr w:rsidR="003457AB" w:rsidRPr="005D76F8" w:rsidSect="007E14C6">
      <w:headerReference w:type="default" r:id="rId9"/>
      <w:footerReference w:type="default" r:id="rId10"/>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3F564" w16cex:dateUtc="2024-11-29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88EED0" w16cid:durableId="2AF3F5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4D461" w14:textId="77777777" w:rsidR="00057EBC" w:rsidRDefault="00057EBC" w:rsidP="00D8262B">
      <w:pPr>
        <w:spacing w:after="0" w:line="240" w:lineRule="auto"/>
      </w:pPr>
      <w:r>
        <w:separator/>
      </w:r>
    </w:p>
  </w:endnote>
  <w:endnote w:type="continuationSeparator" w:id="0">
    <w:p w14:paraId="2E2070E0" w14:textId="77777777" w:rsidR="00057EBC" w:rsidRDefault="00057EBC" w:rsidP="00D8262B">
      <w:pPr>
        <w:spacing w:after="0" w:line="240" w:lineRule="auto"/>
      </w:pPr>
      <w:r>
        <w:continuationSeparator/>
      </w:r>
    </w:p>
  </w:endnote>
  <w:endnote w:type="continuationNotice" w:id="1">
    <w:p w14:paraId="74773BE6" w14:textId="77777777" w:rsidR="00057EBC" w:rsidRDefault="00057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068863"/>
      <w:docPartObj>
        <w:docPartGallery w:val="Page Numbers (Bottom of Page)"/>
        <w:docPartUnique/>
      </w:docPartObj>
    </w:sdtPr>
    <w:sdtEndPr/>
    <w:sdtContent>
      <w:p w14:paraId="2DD74FC3" w14:textId="7A05ECD6" w:rsidR="00057EBC" w:rsidRDefault="00057EBC">
        <w:pPr>
          <w:pStyle w:val="Stopka"/>
          <w:jc w:val="right"/>
        </w:pPr>
        <w:r>
          <w:fldChar w:fldCharType="begin"/>
        </w:r>
        <w:r>
          <w:instrText>PAGE   \* MERGEFORMAT</w:instrText>
        </w:r>
        <w:r>
          <w:fldChar w:fldCharType="separate"/>
        </w:r>
        <w:r w:rsidR="008A52CF">
          <w:rPr>
            <w:noProof/>
          </w:rPr>
          <w:t>5</w:t>
        </w:r>
        <w:r>
          <w:fldChar w:fldCharType="end"/>
        </w:r>
      </w:p>
    </w:sdtContent>
  </w:sdt>
  <w:p w14:paraId="381BA5E9" w14:textId="77777777" w:rsidR="00057EBC" w:rsidRDefault="00057E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66F0F" w14:textId="77777777" w:rsidR="00057EBC" w:rsidRDefault="00057EBC" w:rsidP="00D8262B">
      <w:pPr>
        <w:spacing w:after="0" w:line="240" w:lineRule="auto"/>
      </w:pPr>
      <w:r>
        <w:separator/>
      </w:r>
    </w:p>
  </w:footnote>
  <w:footnote w:type="continuationSeparator" w:id="0">
    <w:p w14:paraId="738681D6" w14:textId="77777777" w:rsidR="00057EBC" w:rsidRDefault="00057EBC" w:rsidP="00D8262B">
      <w:pPr>
        <w:spacing w:after="0" w:line="240" w:lineRule="auto"/>
      </w:pPr>
      <w:r>
        <w:continuationSeparator/>
      </w:r>
    </w:p>
  </w:footnote>
  <w:footnote w:type="continuationNotice" w:id="1">
    <w:p w14:paraId="0AFFB70C" w14:textId="77777777" w:rsidR="00057EBC" w:rsidRDefault="00057E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407F9" w14:textId="77777777" w:rsidR="00057EBC" w:rsidRDefault="00057E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2961"/>
    <w:multiLevelType w:val="hybridMultilevel"/>
    <w:tmpl w:val="55C85FF4"/>
    <w:lvl w:ilvl="0" w:tplc="426C9C1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121859BD"/>
    <w:multiLevelType w:val="hybridMultilevel"/>
    <w:tmpl w:val="67BC0DD6"/>
    <w:lvl w:ilvl="0" w:tplc="431CEE46">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933626"/>
    <w:multiLevelType w:val="hybridMultilevel"/>
    <w:tmpl w:val="34923896"/>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15:restartNumberingAfterBreak="0">
    <w:nsid w:val="1DBB4A9F"/>
    <w:multiLevelType w:val="hybridMultilevel"/>
    <w:tmpl w:val="DAA0E00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B2A37AF"/>
    <w:multiLevelType w:val="hybridMultilevel"/>
    <w:tmpl w:val="7D58FB3E"/>
    <w:lvl w:ilvl="0" w:tplc="1BC24012">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B9328B"/>
    <w:multiLevelType w:val="hybridMultilevel"/>
    <w:tmpl w:val="7CFE9F5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35F7089C"/>
    <w:multiLevelType w:val="hybridMultilevel"/>
    <w:tmpl w:val="ED125AE2"/>
    <w:lvl w:ilvl="0" w:tplc="426C9C1A">
      <w:start w:val="1"/>
      <w:numFmt w:val="bullet"/>
      <w:lvlText w:val=""/>
      <w:lvlJc w:val="left"/>
      <w:pPr>
        <w:ind w:left="1068" w:hanging="360"/>
      </w:pPr>
      <w:rPr>
        <w:rFonts w:ascii="Symbol" w:hAnsi="Symbol" w:hint="default"/>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 w15:restartNumberingAfterBreak="0">
    <w:nsid w:val="3E80003A"/>
    <w:multiLevelType w:val="hybridMultilevel"/>
    <w:tmpl w:val="9AC4D8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C72261"/>
    <w:multiLevelType w:val="hybridMultilevel"/>
    <w:tmpl w:val="23B2D4D2"/>
    <w:lvl w:ilvl="0" w:tplc="F6A49360">
      <w:start w:val="1"/>
      <w:numFmt w:val="decimal"/>
      <w:lvlText w:val="%1."/>
      <w:lvlJc w:val="left"/>
      <w:pPr>
        <w:ind w:left="720" w:hanging="360"/>
      </w:pPr>
      <w:rPr>
        <w:rFonts w:ascii="Lato" w:eastAsia="Times New Roman" w:hAnsi="Lato"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AA383A"/>
    <w:multiLevelType w:val="hybridMultilevel"/>
    <w:tmpl w:val="4EA22D2A"/>
    <w:lvl w:ilvl="0" w:tplc="04150019">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0" w15:restartNumberingAfterBreak="0">
    <w:nsid w:val="6DFE0103"/>
    <w:multiLevelType w:val="hybridMultilevel"/>
    <w:tmpl w:val="F10E41A0"/>
    <w:lvl w:ilvl="0" w:tplc="AF6EBCD8">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1" w15:restartNumberingAfterBreak="0">
    <w:nsid w:val="733C1A63"/>
    <w:multiLevelType w:val="hybridMultilevel"/>
    <w:tmpl w:val="16669CE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75226693"/>
    <w:multiLevelType w:val="hybridMultilevel"/>
    <w:tmpl w:val="EFD8DFE2"/>
    <w:lvl w:ilvl="0" w:tplc="A4B4180A">
      <w:start w:val="1"/>
      <w:numFmt w:val="upperLetter"/>
      <w:pStyle w:val="Styl2"/>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1A709C"/>
    <w:multiLevelType w:val="hybridMultilevel"/>
    <w:tmpl w:val="C4629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num>
  <w:num w:numId="13">
    <w:abstractNumId w:val="12"/>
  </w:num>
  <w:num w:numId="14">
    <w:abstractNumId w:val="7"/>
  </w:num>
  <w:num w:numId="15">
    <w:abstractNumId w:val="2"/>
  </w:num>
  <w:num w:numId="16">
    <w:abstractNumId w:val="10"/>
  </w:num>
  <w:num w:numId="17">
    <w:abstractNumId w:val="9"/>
  </w:num>
  <w:num w:numId="1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0F"/>
    <w:rsid w:val="00002711"/>
    <w:rsid w:val="00014583"/>
    <w:rsid w:val="00022A14"/>
    <w:rsid w:val="00024CA8"/>
    <w:rsid w:val="00026D26"/>
    <w:rsid w:val="00032731"/>
    <w:rsid w:val="00035210"/>
    <w:rsid w:val="00035719"/>
    <w:rsid w:val="00052514"/>
    <w:rsid w:val="00057DE2"/>
    <w:rsid w:val="00057EBC"/>
    <w:rsid w:val="000663CE"/>
    <w:rsid w:val="00066A40"/>
    <w:rsid w:val="000813A2"/>
    <w:rsid w:val="00083B12"/>
    <w:rsid w:val="000A19EC"/>
    <w:rsid w:val="000A2505"/>
    <w:rsid w:val="000A6C1A"/>
    <w:rsid w:val="000B29DC"/>
    <w:rsid w:val="000C0C62"/>
    <w:rsid w:val="000C2D28"/>
    <w:rsid w:val="000D13DC"/>
    <w:rsid w:val="000D14AD"/>
    <w:rsid w:val="000D2113"/>
    <w:rsid w:val="000E3CBE"/>
    <w:rsid w:val="000F0C74"/>
    <w:rsid w:val="000F3F20"/>
    <w:rsid w:val="000F6CAD"/>
    <w:rsid w:val="0010201A"/>
    <w:rsid w:val="00105F7D"/>
    <w:rsid w:val="00120B65"/>
    <w:rsid w:val="0012186F"/>
    <w:rsid w:val="0012597D"/>
    <w:rsid w:val="00126E6B"/>
    <w:rsid w:val="001368A3"/>
    <w:rsid w:val="00155D37"/>
    <w:rsid w:val="001704D8"/>
    <w:rsid w:val="00174E4B"/>
    <w:rsid w:val="001767DC"/>
    <w:rsid w:val="001955AD"/>
    <w:rsid w:val="00195C97"/>
    <w:rsid w:val="001A1442"/>
    <w:rsid w:val="001A162F"/>
    <w:rsid w:val="001B36F8"/>
    <w:rsid w:val="001C0E34"/>
    <w:rsid w:val="001C3D95"/>
    <w:rsid w:val="001C6893"/>
    <w:rsid w:val="001F4FBC"/>
    <w:rsid w:val="001F55E0"/>
    <w:rsid w:val="0020601D"/>
    <w:rsid w:val="00210658"/>
    <w:rsid w:val="00240A89"/>
    <w:rsid w:val="00241EC6"/>
    <w:rsid w:val="002430BD"/>
    <w:rsid w:val="00246097"/>
    <w:rsid w:val="002555B1"/>
    <w:rsid w:val="00260D1C"/>
    <w:rsid w:val="00261B91"/>
    <w:rsid w:val="00264817"/>
    <w:rsid w:val="00265336"/>
    <w:rsid w:val="00265B99"/>
    <w:rsid w:val="00267EBE"/>
    <w:rsid w:val="002838F0"/>
    <w:rsid w:val="00287787"/>
    <w:rsid w:val="002913A9"/>
    <w:rsid w:val="00292C01"/>
    <w:rsid w:val="002A0AD6"/>
    <w:rsid w:val="002A13A1"/>
    <w:rsid w:val="002A35BD"/>
    <w:rsid w:val="002A41F4"/>
    <w:rsid w:val="002A4536"/>
    <w:rsid w:val="002A52E2"/>
    <w:rsid w:val="002B2D86"/>
    <w:rsid w:val="002C462E"/>
    <w:rsid w:val="002C7BDD"/>
    <w:rsid w:val="002D2C08"/>
    <w:rsid w:val="002D7608"/>
    <w:rsid w:val="002E51E3"/>
    <w:rsid w:val="00302456"/>
    <w:rsid w:val="00302F32"/>
    <w:rsid w:val="00305C0A"/>
    <w:rsid w:val="00310C20"/>
    <w:rsid w:val="00316379"/>
    <w:rsid w:val="003246E8"/>
    <w:rsid w:val="003457AB"/>
    <w:rsid w:val="0036177F"/>
    <w:rsid w:val="00362C9F"/>
    <w:rsid w:val="0036538E"/>
    <w:rsid w:val="00370CE5"/>
    <w:rsid w:val="003812FF"/>
    <w:rsid w:val="00387338"/>
    <w:rsid w:val="00393473"/>
    <w:rsid w:val="003A2592"/>
    <w:rsid w:val="003A54D1"/>
    <w:rsid w:val="003B382A"/>
    <w:rsid w:val="003B453E"/>
    <w:rsid w:val="003B4C63"/>
    <w:rsid w:val="003B780B"/>
    <w:rsid w:val="003C1BC0"/>
    <w:rsid w:val="003C6FE4"/>
    <w:rsid w:val="003C75F9"/>
    <w:rsid w:val="003D237C"/>
    <w:rsid w:val="003E0743"/>
    <w:rsid w:val="003E468D"/>
    <w:rsid w:val="003F762D"/>
    <w:rsid w:val="004008BC"/>
    <w:rsid w:val="00406408"/>
    <w:rsid w:val="00406FEC"/>
    <w:rsid w:val="00407587"/>
    <w:rsid w:val="00411210"/>
    <w:rsid w:val="0042636D"/>
    <w:rsid w:val="0042689B"/>
    <w:rsid w:val="004328F4"/>
    <w:rsid w:val="00440C33"/>
    <w:rsid w:val="0044588B"/>
    <w:rsid w:val="00454831"/>
    <w:rsid w:val="00460F34"/>
    <w:rsid w:val="004665AD"/>
    <w:rsid w:val="00474AEC"/>
    <w:rsid w:val="004774FF"/>
    <w:rsid w:val="00482E45"/>
    <w:rsid w:val="00487F35"/>
    <w:rsid w:val="004A1DE2"/>
    <w:rsid w:val="004A4408"/>
    <w:rsid w:val="004A7ABA"/>
    <w:rsid w:val="004B5B07"/>
    <w:rsid w:val="004C1CAA"/>
    <w:rsid w:val="004D1B7A"/>
    <w:rsid w:val="004D3231"/>
    <w:rsid w:val="004D4323"/>
    <w:rsid w:val="004E01F7"/>
    <w:rsid w:val="004E027A"/>
    <w:rsid w:val="004F3150"/>
    <w:rsid w:val="004F3D8F"/>
    <w:rsid w:val="005125F2"/>
    <w:rsid w:val="00512800"/>
    <w:rsid w:val="00515DFE"/>
    <w:rsid w:val="005320A6"/>
    <w:rsid w:val="0053402A"/>
    <w:rsid w:val="0053497D"/>
    <w:rsid w:val="00536937"/>
    <w:rsid w:val="005456DF"/>
    <w:rsid w:val="00570E01"/>
    <w:rsid w:val="005711AC"/>
    <w:rsid w:val="00573F3F"/>
    <w:rsid w:val="00584AD3"/>
    <w:rsid w:val="005928C2"/>
    <w:rsid w:val="005934B2"/>
    <w:rsid w:val="005960E1"/>
    <w:rsid w:val="00596AA2"/>
    <w:rsid w:val="005A592C"/>
    <w:rsid w:val="005B4BD6"/>
    <w:rsid w:val="005D2346"/>
    <w:rsid w:val="005D76F8"/>
    <w:rsid w:val="005E4278"/>
    <w:rsid w:val="005E6D15"/>
    <w:rsid w:val="005F24BF"/>
    <w:rsid w:val="005F77D3"/>
    <w:rsid w:val="00601737"/>
    <w:rsid w:val="00604EA2"/>
    <w:rsid w:val="00604F37"/>
    <w:rsid w:val="00612915"/>
    <w:rsid w:val="00616D52"/>
    <w:rsid w:val="00641385"/>
    <w:rsid w:val="00641965"/>
    <w:rsid w:val="00644D60"/>
    <w:rsid w:val="00655A45"/>
    <w:rsid w:val="00657BE3"/>
    <w:rsid w:val="0066029F"/>
    <w:rsid w:val="006613D9"/>
    <w:rsid w:val="006738CB"/>
    <w:rsid w:val="006772F5"/>
    <w:rsid w:val="00687E6F"/>
    <w:rsid w:val="00690446"/>
    <w:rsid w:val="00691765"/>
    <w:rsid w:val="006950FF"/>
    <w:rsid w:val="006A3818"/>
    <w:rsid w:val="006A413D"/>
    <w:rsid w:val="006B1EB2"/>
    <w:rsid w:val="006B7E3F"/>
    <w:rsid w:val="006C25CD"/>
    <w:rsid w:val="006C5EC6"/>
    <w:rsid w:val="006D07DD"/>
    <w:rsid w:val="006D1DD4"/>
    <w:rsid w:val="006D4B58"/>
    <w:rsid w:val="006D5D68"/>
    <w:rsid w:val="006E186D"/>
    <w:rsid w:val="006E3A48"/>
    <w:rsid w:val="006F15C1"/>
    <w:rsid w:val="006F421A"/>
    <w:rsid w:val="006F4FA0"/>
    <w:rsid w:val="00702681"/>
    <w:rsid w:val="00711E7D"/>
    <w:rsid w:val="00722569"/>
    <w:rsid w:val="0072706A"/>
    <w:rsid w:val="007378F0"/>
    <w:rsid w:val="007443BE"/>
    <w:rsid w:val="00753284"/>
    <w:rsid w:val="007559DC"/>
    <w:rsid w:val="00764531"/>
    <w:rsid w:val="007675CA"/>
    <w:rsid w:val="007728E3"/>
    <w:rsid w:val="007744F3"/>
    <w:rsid w:val="00775131"/>
    <w:rsid w:val="00785724"/>
    <w:rsid w:val="007912BB"/>
    <w:rsid w:val="00794037"/>
    <w:rsid w:val="007940F6"/>
    <w:rsid w:val="0079599C"/>
    <w:rsid w:val="007978CF"/>
    <w:rsid w:val="007B2791"/>
    <w:rsid w:val="007B7DE7"/>
    <w:rsid w:val="007C0DA2"/>
    <w:rsid w:val="007C50D5"/>
    <w:rsid w:val="007D04BE"/>
    <w:rsid w:val="007D21C5"/>
    <w:rsid w:val="007D357C"/>
    <w:rsid w:val="007D41A8"/>
    <w:rsid w:val="007E0DF9"/>
    <w:rsid w:val="007E14C6"/>
    <w:rsid w:val="008074C3"/>
    <w:rsid w:val="00810A79"/>
    <w:rsid w:val="00820B89"/>
    <w:rsid w:val="00833CAB"/>
    <w:rsid w:val="00835EB8"/>
    <w:rsid w:val="008405F6"/>
    <w:rsid w:val="00843F13"/>
    <w:rsid w:val="00853E6A"/>
    <w:rsid w:val="00855E98"/>
    <w:rsid w:val="00860A8D"/>
    <w:rsid w:val="008615B3"/>
    <w:rsid w:val="00866197"/>
    <w:rsid w:val="00873D39"/>
    <w:rsid w:val="0087650F"/>
    <w:rsid w:val="00880F8B"/>
    <w:rsid w:val="008822A5"/>
    <w:rsid w:val="008824A1"/>
    <w:rsid w:val="00897129"/>
    <w:rsid w:val="008A368D"/>
    <w:rsid w:val="008A52CF"/>
    <w:rsid w:val="008A7E85"/>
    <w:rsid w:val="008B2E6F"/>
    <w:rsid w:val="008C5F5C"/>
    <w:rsid w:val="008D23BE"/>
    <w:rsid w:val="008D5486"/>
    <w:rsid w:val="008E0AE9"/>
    <w:rsid w:val="008E27E0"/>
    <w:rsid w:val="008E3CDB"/>
    <w:rsid w:val="008F61A8"/>
    <w:rsid w:val="008F71D3"/>
    <w:rsid w:val="009015EC"/>
    <w:rsid w:val="0090187D"/>
    <w:rsid w:val="00902A9B"/>
    <w:rsid w:val="00913159"/>
    <w:rsid w:val="00913BD8"/>
    <w:rsid w:val="0094124A"/>
    <w:rsid w:val="00943370"/>
    <w:rsid w:val="00946074"/>
    <w:rsid w:val="00947BCD"/>
    <w:rsid w:val="00960580"/>
    <w:rsid w:val="00960D42"/>
    <w:rsid w:val="00965FDF"/>
    <w:rsid w:val="00974195"/>
    <w:rsid w:val="00974CC4"/>
    <w:rsid w:val="00982EA8"/>
    <w:rsid w:val="00983325"/>
    <w:rsid w:val="00987AA8"/>
    <w:rsid w:val="00990BD0"/>
    <w:rsid w:val="00990C75"/>
    <w:rsid w:val="009B531C"/>
    <w:rsid w:val="009B5A6B"/>
    <w:rsid w:val="009C515A"/>
    <w:rsid w:val="009D0BCD"/>
    <w:rsid w:val="009D1629"/>
    <w:rsid w:val="009D5EC5"/>
    <w:rsid w:val="009E0251"/>
    <w:rsid w:val="009E084C"/>
    <w:rsid w:val="009F29A9"/>
    <w:rsid w:val="00A00CBE"/>
    <w:rsid w:val="00A05162"/>
    <w:rsid w:val="00A05D19"/>
    <w:rsid w:val="00A05F82"/>
    <w:rsid w:val="00A06E36"/>
    <w:rsid w:val="00A13146"/>
    <w:rsid w:val="00A156B4"/>
    <w:rsid w:val="00A25ADB"/>
    <w:rsid w:val="00A26327"/>
    <w:rsid w:val="00A30C62"/>
    <w:rsid w:val="00A310E6"/>
    <w:rsid w:val="00A319B9"/>
    <w:rsid w:val="00A34311"/>
    <w:rsid w:val="00A354EB"/>
    <w:rsid w:val="00A36DA6"/>
    <w:rsid w:val="00A43CC8"/>
    <w:rsid w:val="00A47846"/>
    <w:rsid w:val="00A56548"/>
    <w:rsid w:val="00A6146A"/>
    <w:rsid w:val="00A64251"/>
    <w:rsid w:val="00A66F4C"/>
    <w:rsid w:val="00A71209"/>
    <w:rsid w:val="00A72DBA"/>
    <w:rsid w:val="00A72FE2"/>
    <w:rsid w:val="00A74022"/>
    <w:rsid w:val="00A76B29"/>
    <w:rsid w:val="00A77321"/>
    <w:rsid w:val="00A849D8"/>
    <w:rsid w:val="00A92962"/>
    <w:rsid w:val="00AA101F"/>
    <w:rsid w:val="00AA7323"/>
    <w:rsid w:val="00AA7D45"/>
    <w:rsid w:val="00AB704A"/>
    <w:rsid w:val="00AC3DDD"/>
    <w:rsid w:val="00AD2162"/>
    <w:rsid w:val="00AD38F6"/>
    <w:rsid w:val="00AD5AC7"/>
    <w:rsid w:val="00AE7EDD"/>
    <w:rsid w:val="00AF1AE0"/>
    <w:rsid w:val="00AF32CC"/>
    <w:rsid w:val="00AF73F0"/>
    <w:rsid w:val="00B145CF"/>
    <w:rsid w:val="00B22BF9"/>
    <w:rsid w:val="00B2394F"/>
    <w:rsid w:val="00B378A6"/>
    <w:rsid w:val="00B3796A"/>
    <w:rsid w:val="00B42051"/>
    <w:rsid w:val="00B444F1"/>
    <w:rsid w:val="00B46ADF"/>
    <w:rsid w:val="00B60C8D"/>
    <w:rsid w:val="00B614DE"/>
    <w:rsid w:val="00B61891"/>
    <w:rsid w:val="00B64C60"/>
    <w:rsid w:val="00B67117"/>
    <w:rsid w:val="00B67660"/>
    <w:rsid w:val="00B70709"/>
    <w:rsid w:val="00B71F8F"/>
    <w:rsid w:val="00B72EB7"/>
    <w:rsid w:val="00B85BE7"/>
    <w:rsid w:val="00B85EB8"/>
    <w:rsid w:val="00B926F0"/>
    <w:rsid w:val="00B972DF"/>
    <w:rsid w:val="00BA229D"/>
    <w:rsid w:val="00BA2F26"/>
    <w:rsid w:val="00BA415B"/>
    <w:rsid w:val="00BA7AFC"/>
    <w:rsid w:val="00BB2EE6"/>
    <w:rsid w:val="00BB557F"/>
    <w:rsid w:val="00BB6DB6"/>
    <w:rsid w:val="00BB7B8D"/>
    <w:rsid w:val="00BB7DD4"/>
    <w:rsid w:val="00BC45E9"/>
    <w:rsid w:val="00BC6F2D"/>
    <w:rsid w:val="00BD4B16"/>
    <w:rsid w:val="00BE17D2"/>
    <w:rsid w:val="00BE37B0"/>
    <w:rsid w:val="00BF4790"/>
    <w:rsid w:val="00BF7249"/>
    <w:rsid w:val="00C02FBD"/>
    <w:rsid w:val="00C076D3"/>
    <w:rsid w:val="00C07D4A"/>
    <w:rsid w:val="00C12AB1"/>
    <w:rsid w:val="00C152AC"/>
    <w:rsid w:val="00C2026C"/>
    <w:rsid w:val="00C3368D"/>
    <w:rsid w:val="00C35042"/>
    <w:rsid w:val="00C35F1C"/>
    <w:rsid w:val="00C4157E"/>
    <w:rsid w:val="00C42124"/>
    <w:rsid w:val="00C444E1"/>
    <w:rsid w:val="00C47CF7"/>
    <w:rsid w:val="00C54039"/>
    <w:rsid w:val="00C54A27"/>
    <w:rsid w:val="00C57290"/>
    <w:rsid w:val="00C70AA1"/>
    <w:rsid w:val="00C8444F"/>
    <w:rsid w:val="00C86B2B"/>
    <w:rsid w:val="00C93235"/>
    <w:rsid w:val="00C9585C"/>
    <w:rsid w:val="00C978BF"/>
    <w:rsid w:val="00C97DE1"/>
    <w:rsid w:val="00CA5A11"/>
    <w:rsid w:val="00CB1608"/>
    <w:rsid w:val="00CB5EBE"/>
    <w:rsid w:val="00CD2F77"/>
    <w:rsid w:val="00CE0221"/>
    <w:rsid w:val="00CE02CD"/>
    <w:rsid w:val="00CE182A"/>
    <w:rsid w:val="00CF2025"/>
    <w:rsid w:val="00D02AC1"/>
    <w:rsid w:val="00D0340B"/>
    <w:rsid w:val="00D03F75"/>
    <w:rsid w:val="00D042DE"/>
    <w:rsid w:val="00D22CB9"/>
    <w:rsid w:val="00D34AFA"/>
    <w:rsid w:val="00D368FC"/>
    <w:rsid w:val="00D42ADB"/>
    <w:rsid w:val="00D4691C"/>
    <w:rsid w:val="00D501DB"/>
    <w:rsid w:val="00D6225C"/>
    <w:rsid w:val="00D62AFD"/>
    <w:rsid w:val="00D70749"/>
    <w:rsid w:val="00D7335B"/>
    <w:rsid w:val="00D819B8"/>
    <w:rsid w:val="00D8234B"/>
    <w:rsid w:val="00D82383"/>
    <w:rsid w:val="00D8262B"/>
    <w:rsid w:val="00D82F54"/>
    <w:rsid w:val="00D920F1"/>
    <w:rsid w:val="00D96FB4"/>
    <w:rsid w:val="00DA08D5"/>
    <w:rsid w:val="00DB329D"/>
    <w:rsid w:val="00DB359F"/>
    <w:rsid w:val="00DC0293"/>
    <w:rsid w:val="00DC0BBE"/>
    <w:rsid w:val="00DC199A"/>
    <w:rsid w:val="00DC457A"/>
    <w:rsid w:val="00E1202C"/>
    <w:rsid w:val="00E16FE7"/>
    <w:rsid w:val="00E20029"/>
    <w:rsid w:val="00E23956"/>
    <w:rsid w:val="00E34080"/>
    <w:rsid w:val="00E41614"/>
    <w:rsid w:val="00E42BAC"/>
    <w:rsid w:val="00E60494"/>
    <w:rsid w:val="00E67A4D"/>
    <w:rsid w:val="00E71B9F"/>
    <w:rsid w:val="00E72A43"/>
    <w:rsid w:val="00E74597"/>
    <w:rsid w:val="00E85363"/>
    <w:rsid w:val="00E94352"/>
    <w:rsid w:val="00E9597B"/>
    <w:rsid w:val="00E9651F"/>
    <w:rsid w:val="00EA2CC9"/>
    <w:rsid w:val="00EC0CE8"/>
    <w:rsid w:val="00EC10C6"/>
    <w:rsid w:val="00EC2437"/>
    <w:rsid w:val="00EC40E7"/>
    <w:rsid w:val="00ED053E"/>
    <w:rsid w:val="00ED1172"/>
    <w:rsid w:val="00ED35FD"/>
    <w:rsid w:val="00EF2B88"/>
    <w:rsid w:val="00EF2CF3"/>
    <w:rsid w:val="00EF3F4E"/>
    <w:rsid w:val="00F0549A"/>
    <w:rsid w:val="00F1536A"/>
    <w:rsid w:val="00F1784E"/>
    <w:rsid w:val="00F2539F"/>
    <w:rsid w:val="00F30369"/>
    <w:rsid w:val="00F32448"/>
    <w:rsid w:val="00F40E20"/>
    <w:rsid w:val="00F41B05"/>
    <w:rsid w:val="00F41C2E"/>
    <w:rsid w:val="00F4340F"/>
    <w:rsid w:val="00F5361A"/>
    <w:rsid w:val="00F536A0"/>
    <w:rsid w:val="00F53B72"/>
    <w:rsid w:val="00F569C8"/>
    <w:rsid w:val="00F67817"/>
    <w:rsid w:val="00F819B9"/>
    <w:rsid w:val="00F831DC"/>
    <w:rsid w:val="00F91AB9"/>
    <w:rsid w:val="00F93DC0"/>
    <w:rsid w:val="00F9723E"/>
    <w:rsid w:val="00FA11CB"/>
    <w:rsid w:val="00FC4C74"/>
    <w:rsid w:val="00FC5CC1"/>
    <w:rsid w:val="00FD366E"/>
    <w:rsid w:val="00FE5DEE"/>
    <w:rsid w:val="00FE770F"/>
    <w:rsid w:val="00FF16C7"/>
    <w:rsid w:val="00FF51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FF4B"/>
  <w15:docId w15:val="{215CB7AE-59FF-4A17-8CD1-5D478062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sz w:val="22"/>
        <w:szCs w:val="22"/>
        <w:lang w:val="pl-PL" w:eastAsia="en-US" w:bidi="ar-SA"/>
      </w:rPr>
    </w:rPrDefault>
    <w:pPrDefault>
      <w:pPr>
        <w:spacing w:after="120" w:line="276" w:lineRule="auto"/>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4A27"/>
  </w:style>
  <w:style w:type="paragraph" w:styleId="Nagwek1">
    <w:name w:val="heading 1"/>
    <w:basedOn w:val="Normalny"/>
    <w:next w:val="Normalny"/>
    <w:link w:val="Nagwek1Znak"/>
    <w:autoRedefine/>
    <w:uiPriority w:val="9"/>
    <w:qFormat/>
    <w:rsid w:val="00C54A27"/>
    <w:pPr>
      <w:keepNext/>
      <w:keepLines/>
      <w:numPr>
        <w:numId w:val="1"/>
      </w:numPr>
      <w:spacing w:before="240" w:after="0"/>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B145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569C8"/>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rsid w:val="00F569C8"/>
    <w:rPr>
      <w:rFonts w:ascii="Times New Roman" w:eastAsia="Times New Roman" w:hAnsi="Times New Roman" w:cs="Times New Roman"/>
      <w:b/>
      <w:bCs/>
      <w:sz w:val="24"/>
      <w:szCs w:val="24"/>
      <w:lang w:eastAsia="pl-PL"/>
    </w:rPr>
  </w:style>
  <w:style w:type="character" w:styleId="Hipercze">
    <w:name w:val="Hyperlink"/>
    <w:basedOn w:val="Domylnaczcionkaakapitu"/>
    <w:unhideWhenUsed/>
    <w:rsid w:val="00C35042"/>
    <w:rPr>
      <w:color w:val="0000FF"/>
      <w:u w:val="single"/>
    </w:rPr>
  </w:style>
  <w:style w:type="paragraph" w:styleId="Akapitzlist">
    <w:name w:val="List Paragraph"/>
    <w:basedOn w:val="Normalny"/>
    <w:uiPriority w:val="34"/>
    <w:qFormat/>
    <w:rsid w:val="00C07D4A"/>
    <w:pPr>
      <w:ind w:left="720"/>
      <w:contextualSpacing/>
    </w:pPr>
  </w:style>
  <w:style w:type="paragraph" w:styleId="Tekstdymka">
    <w:name w:val="Balloon Text"/>
    <w:basedOn w:val="Normalny"/>
    <w:link w:val="TekstdymkaZnak"/>
    <w:uiPriority w:val="99"/>
    <w:semiHidden/>
    <w:unhideWhenUsed/>
    <w:rsid w:val="000357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5719"/>
    <w:rPr>
      <w:rFonts w:ascii="Segoe UI" w:hAnsi="Segoe UI" w:cs="Segoe UI"/>
      <w:sz w:val="18"/>
      <w:szCs w:val="18"/>
    </w:rPr>
  </w:style>
  <w:style w:type="character" w:styleId="Odwoaniedokomentarza">
    <w:name w:val="annotation reference"/>
    <w:basedOn w:val="Domylnaczcionkaakapitu"/>
    <w:uiPriority w:val="99"/>
    <w:semiHidden/>
    <w:unhideWhenUsed/>
    <w:rsid w:val="00D6225C"/>
    <w:rPr>
      <w:sz w:val="16"/>
      <w:szCs w:val="16"/>
    </w:rPr>
  </w:style>
  <w:style w:type="paragraph" w:styleId="Tekstkomentarza">
    <w:name w:val="annotation text"/>
    <w:basedOn w:val="Normalny"/>
    <w:link w:val="TekstkomentarzaZnak"/>
    <w:uiPriority w:val="99"/>
    <w:unhideWhenUsed/>
    <w:rsid w:val="00D6225C"/>
    <w:pPr>
      <w:spacing w:line="240" w:lineRule="auto"/>
    </w:pPr>
    <w:rPr>
      <w:sz w:val="20"/>
      <w:szCs w:val="20"/>
    </w:rPr>
  </w:style>
  <w:style w:type="character" w:customStyle="1" w:styleId="TekstkomentarzaZnak">
    <w:name w:val="Tekst komentarza Znak"/>
    <w:basedOn w:val="Domylnaczcionkaakapitu"/>
    <w:link w:val="Tekstkomentarza"/>
    <w:uiPriority w:val="99"/>
    <w:rsid w:val="00D6225C"/>
    <w:rPr>
      <w:sz w:val="20"/>
      <w:szCs w:val="20"/>
    </w:rPr>
  </w:style>
  <w:style w:type="paragraph" w:styleId="Tematkomentarza">
    <w:name w:val="annotation subject"/>
    <w:basedOn w:val="Tekstkomentarza"/>
    <w:next w:val="Tekstkomentarza"/>
    <w:link w:val="TematkomentarzaZnak"/>
    <w:uiPriority w:val="99"/>
    <w:semiHidden/>
    <w:unhideWhenUsed/>
    <w:rsid w:val="00D6225C"/>
    <w:rPr>
      <w:b/>
      <w:bCs/>
    </w:rPr>
  </w:style>
  <w:style w:type="character" w:customStyle="1" w:styleId="TematkomentarzaZnak">
    <w:name w:val="Temat komentarza Znak"/>
    <w:basedOn w:val="TekstkomentarzaZnak"/>
    <w:link w:val="Tematkomentarza"/>
    <w:uiPriority w:val="99"/>
    <w:semiHidden/>
    <w:rsid w:val="00D6225C"/>
    <w:rPr>
      <w:b/>
      <w:bCs/>
      <w:sz w:val="20"/>
      <w:szCs w:val="20"/>
    </w:rPr>
  </w:style>
  <w:style w:type="character" w:styleId="UyteHipercze">
    <w:name w:val="FollowedHyperlink"/>
    <w:basedOn w:val="Domylnaczcionkaakapitu"/>
    <w:uiPriority w:val="99"/>
    <w:semiHidden/>
    <w:unhideWhenUsed/>
    <w:rsid w:val="003E468D"/>
    <w:rPr>
      <w:color w:val="800080" w:themeColor="followedHyperlink"/>
      <w:u w:val="single"/>
    </w:rPr>
  </w:style>
  <w:style w:type="paragraph" w:styleId="Poprawka">
    <w:name w:val="Revision"/>
    <w:hidden/>
    <w:uiPriority w:val="99"/>
    <w:semiHidden/>
    <w:rsid w:val="00057DE2"/>
    <w:pPr>
      <w:spacing w:after="0" w:line="240" w:lineRule="auto"/>
    </w:pPr>
  </w:style>
  <w:style w:type="paragraph" w:styleId="Nagwek">
    <w:name w:val="header"/>
    <w:basedOn w:val="Normalny"/>
    <w:link w:val="NagwekZnak"/>
    <w:uiPriority w:val="99"/>
    <w:unhideWhenUsed/>
    <w:rsid w:val="00D826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262B"/>
  </w:style>
  <w:style w:type="paragraph" w:styleId="Stopka">
    <w:name w:val="footer"/>
    <w:basedOn w:val="Normalny"/>
    <w:link w:val="StopkaZnak"/>
    <w:uiPriority w:val="99"/>
    <w:unhideWhenUsed/>
    <w:rsid w:val="00D826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262B"/>
  </w:style>
  <w:style w:type="paragraph" w:customStyle="1" w:styleId="Default">
    <w:name w:val="Default"/>
    <w:rsid w:val="00843F13"/>
    <w:pPr>
      <w:autoSpaceDE w:val="0"/>
      <w:autoSpaceDN w:val="0"/>
      <w:adjustRightInd w:val="0"/>
      <w:spacing w:after="0" w:line="240" w:lineRule="auto"/>
    </w:pPr>
    <w:rPr>
      <w:rFonts w:ascii="Symbol" w:hAnsi="Symbol" w:cs="Symbol"/>
      <w:color w:val="000000"/>
      <w:sz w:val="24"/>
      <w:szCs w:val="24"/>
    </w:rPr>
  </w:style>
  <w:style w:type="paragraph" w:styleId="Tekstprzypisukocowego">
    <w:name w:val="endnote text"/>
    <w:basedOn w:val="Normalny"/>
    <w:link w:val="TekstprzypisukocowegoZnak"/>
    <w:uiPriority w:val="99"/>
    <w:semiHidden/>
    <w:unhideWhenUsed/>
    <w:rsid w:val="006F421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F421A"/>
    <w:rPr>
      <w:sz w:val="20"/>
      <w:szCs w:val="20"/>
    </w:rPr>
  </w:style>
  <w:style w:type="character" w:styleId="Odwoanieprzypisukocowego">
    <w:name w:val="endnote reference"/>
    <w:basedOn w:val="Domylnaczcionkaakapitu"/>
    <w:uiPriority w:val="99"/>
    <w:semiHidden/>
    <w:unhideWhenUsed/>
    <w:rsid w:val="006F421A"/>
    <w:rPr>
      <w:vertAlign w:val="superscript"/>
    </w:rPr>
  </w:style>
  <w:style w:type="paragraph" w:styleId="Tekstprzypisudolnego">
    <w:name w:val="footnote text"/>
    <w:basedOn w:val="Normalny"/>
    <w:link w:val="TekstprzypisudolnegoZnak"/>
    <w:uiPriority w:val="99"/>
    <w:semiHidden/>
    <w:unhideWhenUsed/>
    <w:rsid w:val="00B614D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614DE"/>
    <w:rPr>
      <w:sz w:val="20"/>
      <w:szCs w:val="20"/>
    </w:rPr>
  </w:style>
  <w:style w:type="character" w:styleId="Odwoanieprzypisudolnego">
    <w:name w:val="footnote reference"/>
    <w:basedOn w:val="Domylnaczcionkaakapitu"/>
    <w:uiPriority w:val="99"/>
    <w:semiHidden/>
    <w:unhideWhenUsed/>
    <w:rsid w:val="00B614DE"/>
    <w:rPr>
      <w:vertAlign w:val="superscript"/>
    </w:rPr>
  </w:style>
  <w:style w:type="character" w:customStyle="1" w:styleId="Nagwek1Znak">
    <w:name w:val="Nagłówek 1 Znak"/>
    <w:basedOn w:val="Domylnaczcionkaakapitu"/>
    <w:link w:val="Nagwek1"/>
    <w:uiPriority w:val="9"/>
    <w:rsid w:val="00C54A27"/>
    <w:rPr>
      <w:rFonts w:eastAsiaTheme="majorEastAsia" w:cstheme="majorBidi"/>
      <w:b/>
      <w:szCs w:val="32"/>
    </w:rPr>
  </w:style>
  <w:style w:type="character" w:customStyle="1" w:styleId="Nagwek2Znak">
    <w:name w:val="Nagłówek 2 Znak"/>
    <w:basedOn w:val="Domylnaczcionkaakapitu"/>
    <w:link w:val="Nagwek2"/>
    <w:uiPriority w:val="9"/>
    <w:rsid w:val="00B145CF"/>
    <w:rPr>
      <w:rFonts w:asciiTheme="majorHAnsi" w:eastAsiaTheme="majorEastAsia" w:hAnsiTheme="majorHAnsi" w:cstheme="majorBidi"/>
      <w:color w:val="365F91" w:themeColor="accent1" w:themeShade="BF"/>
      <w:sz w:val="26"/>
      <w:szCs w:val="26"/>
    </w:rPr>
  </w:style>
  <w:style w:type="paragraph" w:styleId="NormalnyWeb">
    <w:name w:val="Normal (Web)"/>
    <w:basedOn w:val="Normalny"/>
    <w:uiPriority w:val="99"/>
    <w:semiHidden/>
    <w:unhideWhenUsed/>
    <w:rsid w:val="0079403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yl1">
    <w:name w:val="Styl1"/>
    <w:basedOn w:val="Tytu"/>
    <w:link w:val="Styl1Znak"/>
    <w:autoRedefine/>
    <w:qFormat/>
    <w:rsid w:val="00B22BF9"/>
    <w:rPr>
      <w:rFonts w:ascii="Lato" w:hAnsi="Lato"/>
    </w:rPr>
  </w:style>
  <w:style w:type="character" w:customStyle="1" w:styleId="Styl1Znak">
    <w:name w:val="Styl1 Znak"/>
    <w:basedOn w:val="TytuZnak"/>
    <w:link w:val="Styl1"/>
    <w:rsid w:val="00B22BF9"/>
    <w:rPr>
      <w:rFonts w:ascii="Times New Roman" w:eastAsia="Times New Roman" w:hAnsi="Times New Roman" w:cs="Times New Roman"/>
      <w:b/>
      <w:bCs/>
      <w:sz w:val="24"/>
      <w:szCs w:val="24"/>
      <w:lang w:eastAsia="pl-PL"/>
    </w:rPr>
  </w:style>
  <w:style w:type="paragraph" w:customStyle="1" w:styleId="Styl2">
    <w:name w:val="Styl2"/>
    <w:basedOn w:val="Normalny"/>
    <w:autoRedefine/>
    <w:qFormat/>
    <w:rsid w:val="00C54A27"/>
    <w:pPr>
      <w:numPr>
        <w:numId w:val="13"/>
      </w:numPr>
      <w:contextualSpacing/>
    </w:pPr>
    <w:rPr>
      <w:rFonts w:eastAsia="TimesNewRoman" w:cs="TimesNewRoman"/>
      <w:b/>
      <w:noProof/>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52134">
      <w:bodyDiv w:val="1"/>
      <w:marLeft w:val="0"/>
      <w:marRight w:val="0"/>
      <w:marTop w:val="0"/>
      <w:marBottom w:val="0"/>
      <w:divBdr>
        <w:top w:val="none" w:sz="0" w:space="0" w:color="auto"/>
        <w:left w:val="none" w:sz="0" w:space="0" w:color="auto"/>
        <w:bottom w:val="none" w:sz="0" w:space="0" w:color="auto"/>
        <w:right w:val="none" w:sz="0" w:space="0" w:color="auto"/>
      </w:divBdr>
    </w:div>
    <w:div w:id="1137913991">
      <w:bodyDiv w:val="1"/>
      <w:marLeft w:val="0"/>
      <w:marRight w:val="0"/>
      <w:marTop w:val="0"/>
      <w:marBottom w:val="0"/>
      <w:divBdr>
        <w:top w:val="none" w:sz="0" w:space="0" w:color="auto"/>
        <w:left w:val="none" w:sz="0" w:space="0" w:color="auto"/>
        <w:bottom w:val="none" w:sz="0" w:space="0" w:color="auto"/>
        <w:right w:val="none" w:sz="0" w:space="0" w:color="auto"/>
      </w:divBdr>
    </w:div>
    <w:div w:id="1734617830">
      <w:bodyDiv w:val="1"/>
      <w:marLeft w:val="0"/>
      <w:marRight w:val="0"/>
      <w:marTop w:val="0"/>
      <w:marBottom w:val="0"/>
      <w:divBdr>
        <w:top w:val="none" w:sz="0" w:space="0" w:color="auto"/>
        <w:left w:val="none" w:sz="0" w:space="0" w:color="auto"/>
        <w:bottom w:val="none" w:sz="0" w:space="0" w:color="auto"/>
        <w:right w:val="none" w:sz="0" w:space="0" w:color="auto"/>
      </w:divBdr>
      <w:divsChild>
        <w:div w:id="83961090">
          <w:marLeft w:val="0"/>
          <w:marRight w:val="0"/>
          <w:marTop w:val="0"/>
          <w:marBottom w:val="0"/>
          <w:divBdr>
            <w:top w:val="none" w:sz="0" w:space="0" w:color="auto"/>
            <w:left w:val="none" w:sz="0" w:space="0" w:color="auto"/>
            <w:bottom w:val="none" w:sz="0" w:space="0" w:color="auto"/>
            <w:right w:val="none" w:sz="0" w:space="0" w:color="auto"/>
          </w:divBdr>
        </w:div>
        <w:div w:id="1140465652">
          <w:marLeft w:val="0"/>
          <w:marRight w:val="0"/>
          <w:marTop w:val="0"/>
          <w:marBottom w:val="0"/>
          <w:divBdr>
            <w:top w:val="none" w:sz="0" w:space="0" w:color="auto"/>
            <w:left w:val="none" w:sz="0" w:space="0" w:color="auto"/>
            <w:bottom w:val="none" w:sz="0" w:space="0" w:color="auto"/>
            <w:right w:val="none" w:sz="0" w:space="0" w:color="auto"/>
          </w:divBdr>
        </w:div>
      </w:divsChild>
    </w:div>
    <w:div w:id="1752504192">
      <w:bodyDiv w:val="1"/>
      <w:marLeft w:val="0"/>
      <w:marRight w:val="0"/>
      <w:marTop w:val="0"/>
      <w:marBottom w:val="0"/>
      <w:divBdr>
        <w:top w:val="none" w:sz="0" w:space="0" w:color="auto"/>
        <w:left w:val="none" w:sz="0" w:space="0" w:color="auto"/>
        <w:bottom w:val="none" w:sz="0" w:space="0" w:color="auto"/>
        <w:right w:val="none" w:sz="0" w:space="0" w:color="auto"/>
      </w:divBdr>
    </w:div>
    <w:div w:id="195247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CB065-488A-4CCE-BC11-D98CD3334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1457</Words>
  <Characters>8742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Cieślak-Kondraszuk Monika</dc:creator>
  <cp:lastModifiedBy>Rataj Karolina</cp:lastModifiedBy>
  <cp:revision>14</cp:revision>
  <cp:lastPrinted>2024-11-06T12:29:00Z</cp:lastPrinted>
  <dcterms:created xsi:type="dcterms:W3CDTF">2025-12-11T10:41:00Z</dcterms:created>
  <dcterms:modified xsi:type="dcterms:W3CDTF">2026-01-14T13:17:00Z</dcterms:modified>
</cp:coreProperties>
</file>