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B35D" w14:textId="21F2CBAE" w:rsidR="00366741" w:rsidRPr="00366741" w:rsidRDefault="00553519" w:rsidP="00366741">
      <w:pPr>
        <w:pStyle w:val="Nagwek2"/>
        <w:rPr>
          <w:color w:val="auto"/>
          <w:sz w:val="28"/>
          <w:szCs w:val="28"/>
        </w:rPr>
      </w:pPr>
      <w:r w:rsidRPr="00366741">
        <w:rPr>
          <w:color w:val="auto"/>
          <w:sz w:val="28"/>
          <w:szCs w:val="28"/>
        </w:rPr>
        <w:t>Poprawa efektywności energetycznej budynków szpitalnych</w:t>
      </w:r>
    </w:p>
    <w:p w14:paraId="1A6FD686" w14:textId="77777777" w:rsidR="00553519" w:rsidRPr="00553519" w:rsidRDefault="00553519" w:rsidP="00366741">
      <w:pPr>
        <w:spacing w:before="240" w:after="120" w:line="288" w:lineRule="auto"/>
        <w:rPr>
          <w:b/>
          <w:bCs/>
        </w:rPr>
      </w:pPr>
      <w:r w:rsidRPr="00553519">
        <w:rPr>
          <w:b/>
          <w:bCs/>
        </w:rPr>
        <w:t>Cel programu</w:t>
      </w:r>
    </w:p>
    <w:p w14:paraId="4F85A46D" w14:textId="64DF332E" w:rsidR="00553519" w:rsidRPr="00553519" w:rsidRDefault="00553519" w:rsidP="00366741">
      <w:pPr>
        <w:spacing w:after="120" w:line="288" w:lineRule="auto"/>
      </w:pPr>
      <w:r w:rsidRPr="00553519">
        <w:t>Poprawa efektywności energetycznej budynków szpitalnych poprzez realizację kompleksowych modernizacji zmniejszających zużycie energii oraz emisję gazów cieplarnianych, z</w:t>
      </w:r>
      <w:r>
        <w:t> </w:t>
      </w:r>
      <w:r w:rsidRPr="00553519">
        <w:t>zastosowaniem odnawialnych źródeł energii, w tym poprzez zoptymalizowane inwestycje realizowane w formule ESCO/EPC. Program wspiera również zwiększenie samowystarczalności energetycznej budynków szpitalnych oraz ich adaptację do zmian klimatu.</w:t>
      </w:r>
    </w:p>
    <w:p w14:paraId="5501C9F4" w14:textId="77777777" w:rsidR="00553519" w:rsidRPr="00553519" w:rsidRDefault="00553519" w:rsidP="00366741">
      <w:pPr>
        <w:spacing w:after="120" w:line="288" w:lineRule="auto"/>
        <w:rPr>
          <w:b/>
          <w:bCs/>
        </w:rPr>
      </w:pPr>
      <w:r w:rsidRPr="00553519">
        <w:rPr>
          <w:b/>
          <w:bCs/>
        </w:rPr>
        <w:t>Budżet programu w ramach Funduszu Modernizacyjnego</w:t>
      </w:r>
    </w:p>
    <w:p w14:paraId="40AD861C" w14:textId="77777777" w:rsidR="00553519" w:rsidRPr="00553519" w:rsidRDefault="00553519" w:rsidP="00366741">
      <w:pPr>
        <w:spacing w:after="120" w:line="288" w:lineRule="auto"/>
      </w:pPr>
      <w:r w:rsidRPr="00553519">
        <w:t xml:space="preserve">Budżet programu wynosi do </w:t>
      </w:r>
      <w:r w:rsidRPr="00553519">
        <w:rPr>
          <w:b/>
          <w:bCs/>
        </w:rPr>
        <w:t>1 000 000 tys. zł</w:t>
      </w:r>
      <w:r w:rsidRPr="00553519">
        <w:t>, w tym:</w:t>
      </w:r>
    </w:p>
    <w:p w14:paraId="5BFEAC4C" w14:textId="77777777" w:rsidR="00553519" w:rsidRPr="00553519" w:rsidRDefault="00553519" w:rsidP="00366741">
      <w:pPr>
        <w:numPr>
          <w:ilvl w:val="0"/>
          <w:numId w:val="1"/>
        </w:numPr>
        <w:spacing w:after="120" w:line="288" w:lineRule="auto"/>
      </w:pPr>
      <w:r w:rsidRPr="00553519">
        <w:t xml:space="preserve">dla bezzwrotnych form dofinansowania – do </w:t>
      </w:r>
      <w:r w:rsidRPr="00553519">
        <w:rPr>
          <w:b/>
          <w:bCs/>
        </w:rPr>
        <w:t>900 000 tys. zł</w:t>
      </w:r>
      <w:r w:rsidRPr="00553519">
        <w:t>;</w:t>
      </w:r>
    </w:p>
    <w:p w14:paraId="5424CE6D" w14:textId="77777777" w:rsidR="00553519" w:rsidRPr="00553519" w:rsidRDefault="00553519" w:rsidP="00366741">
      <w:pPr>
        <w:numPr>
          <w:ilvl w:val="0"/>
          <w:numId w:val="1"/>
        </w:numPr>
        <w:spacing w:after="120" w:line="288" w:lineRule="auto"/>
      </w:pPr>
      <w:r w:rsidRPr="00553519">
        <w:t xml:space="preserve">dla zwrotnych form dofinansowania – do </w:t>
      </w:r>
      <w:r w:rsidRPr="00553519">
        <w:rPr>
          <w:b/>
          <w:bCs/>
        </w:rPr>
        <w:t>100 000 tys. zł</w:t>
      </w:r>
      <w:r w:rsidRPr="00553519">
        <w:t>.</w:t>
      </w:r>
    </w:p>
    <w:p w14:paraId="23101E3D" w14:textId="77777777" w:rsidR="00553519" w:rsidRPr="00553519" w:rsidRDefault="00553519" w:rsidP="00366741">
      <w:pPr>
        <w:spacing w:after="120" w:line="288" w:lineRule="auto"/>
        <w:rPr>
          <w:b/>
          <w:bCs/>
        </w:rPr>
      </w:pPr>
      <w:r w:rsidRPr="00553519">
        <w:rPr>
          <w:b/>
          <w:bCs/>
        </w:rPr>
        <w:t>Okres realizacji programu</w:t>
      </w:r>
    </w:p>
    <w:p w14:paraId="3C64E08E" w14:textId="77777777" w:rsidR="00553519" w:rsidRPr="00553519" w:rsidRDefault="00553519" w:rsidP="00366741">
      <w:pPr>
        <w:spacing w:after="120" w:line="288" w:lineRule="auto"/>
      </w:pPr>
      <w:r w:rsidRPr="00553519">
        <w:t xml:space="preserve">Program realizowany będzie w latach </w:t>
      </w:r>
      <w:r w:rsidRPr="00553519">
        <w:rPr>
          <w:b/>
          <w:bCs/>
        </w:rPr>
        <w:t>2026–2030</w:t>
      </w:r>
      <w:r w:rsidRPr="00553519">
        <w:t>, przy czym:</w:t>
      </w:r>
    </w:p>
    <w:p w14:paraId="05076BA0" w14:textId="31E8FA15" w:rsidR="00553519" w:rsidRPr="00553519" w:rsidRDefault="00553519" w:rsidP="00366741">
      <w:pPr>
        <w:numPr>
          <w:ilvl w:val="0"/>
          <w:numId w:val="2"/>
        </w:numPr>
        <w:spacing w:after="120" w:line="288" w:lineRule="auto"/>
      </w:pPr>
      <w:r w:rsidRPr="00553519">
        <w:t>zobowiązania (rozumiane jako podpisywanie umów) podejmowane będą do</w:t>
      </w:r>
      <w:r w:rsidR="007E2EEA">
        <w:t> </w:t>
      </w:r>
      <w:r w:rsidRPr="00553519">
        <w:rPr>
          <w:b/>
          <w:bCs/>
        </w:rPr>
        <w:t>31.12.2029</w:t>
      </w:r>
      <w:r>
        <w:rPr>
          <w:b/>
          <w:bCs/>
        </w:rPr>
        <w:t> </w:t>
      </w:r>
      <w:r w:rsidRPr="00553519">
        <w:rPr>
          <w:b/>
          <w:bCs/>
        </w:rPr>
        <w:t>r.</w:t>
      </w:r>
      <w:r w:rsidRPr="00553519">
        <w:t>;</w:t>
      </w:r>
    </w:p>
    <w:p w14:paraId="08B889E8" w14:textId="51ACD8CE" w:rsidR="00553519" w:rsidRPr="00553519" w:rsidRDefault="00553519" w:rsidP="00366741">
      <w:pPr>
        <w:numPr>
          <w:ilvl w:val="0"/>
          <w:numId w:val="2"/>
        </w:numPr>
        <w:spacing w:after="120" w:line="288" w:lineRule="auto"/>
      </w:pPr>
      <w:r w:rsidRPr="00553519">
        <w:t xml:space="preserve">środki wydatkowane będą do </w:t>
      </w:r>
      <w:r w:rsidRPr="00553519">
        <w:rPr>
          <w:b/>
          <w:bCs/>
        </w:rPr>
        <w:t>31.12.2030 r.</w:t>
      </w:r>
    </w:p>
    <w:p w14:paraId="2A8F4646" w14:textId="77777777" w:rsidR="00553519" w:rsidRPr="00553519" w:rsidRDefault="00553519" w:rsidP="00366741">
      <w:pPr>
        <w:spacing w:after="120" w:line="288" w:lineRule="auto"/>
        <w:rPr>
          <w:b/>
          <w:bCs/>
        </w:rPr>
      </w:pPr>
      <w:r w:rsidRPr="00553519">
        <w:rPr>
          <w:b/>
          <w:bCs/>
        </w:rPr>
        <w:t>Sposób składania wniosków</w:t>
      </w:r>
    </w:p>
    <w:p w14:paraId="5587BFB9" w14:textId="5EB3A9EB" w:rsidR="00553519" w:rsidRPr="00553519" w:rsidRDefault="00553519" w:rsidP="00366741">
      <w:pPr>
        <w:spacing w:after="120" w:line="288" w:lineRule="auto"/>
      </w:pPr>
      <w:r w:rsidRPr="00553519">
        <w:t xml:space="preserve">Nabór wniosków prowadzony będzie w </w:t>
      </w:r>
      <w:r w:rsidRPr="00553519">
        <w:rPr>
          <w:b/>
          <w:bCs/>
        </w:rPr>
        <w:t>trybie ciągłym lub ciągłym konkurencyjnym</w:t>
      </w:r>
      <w:r w:rsidRPr="00553519">
        <w:t>.</w:t>
      </w:r>
      <w:r w:rsidRPr="00553519">
        <w:br/>
        <w:t xml:space="preserve">Przewiduje się przeprowadzenie </w:t>
      </w:r>
      <w:r w:rsidRPr="00553519">
        <w:rPr>
          <w:b/>
          <w:bCs/>
        </w:rPr>
        <w:t>odrębnego naboru ciągłego dla inwestycji realizowanych w</w:t>
      </w:r>
      <w:r>
        <w:rPr>
          <w:b/>
          <w:bCs/>
        </w:rPr>
        <w:t> </w:t>
      </w:r>
      <w:r w:rsidRPr="00553519">
        <w:rPr>
          <w:b/>
          <w:bCs/>
        </w:rPr>
        <w:t>formule ESCO/EPC</w:t>
      </w:r>
      <w:r w:rsidRPr="00553519">
        <w:t>.</w:t>
      </w:r>
    </w:p>
    <w:p w14:paraId="53D3034F" w14:textId="77777777" w:rsidR="00553519" w:rsidRPr="00553519" w:rsidRDefault="00553519" w:rsidP="00366741">
      <w:pPr>
        <w:spacing w:after="120" w:line="288" w:lineRule="auto"/>
        <w:rPr>
          <w:b/>
          <w:bCs/>
        </w:rPr>
      </w:pPr>
      <w:r w:rsidRPr="00553519">
        <w:rPr>
          <w:b/>
          <w:bCs/>
        </w:rPr>
        <w:t>Formy dofinansowania (w tym intensywność dofinansowania)</w:t>
      </w:r>
    </w:p>
    <w:p w14:paraId="327F1500" w14:textId="77777777" w:rsidR="007E2EEA" w:rsidRPr="007E2EEA" w:rsidRDefault="007E2EEA" w:rsidP="00366741">
      <w:pPr>
        <w:spacing w:after="120" w:line="288" w:lineRule="auto"/>
      </w:pPr>
      <w:r w:rsidRPr="007E2EEA">
        <w:t xml:space="preserve">Wsparcie w ramach programu udzielane będzie w formie </w:t>
      </w:r>
      <w:r w:rsidRPr="007E2EEA">
        <w:rPr>
          <w:b/>
          <w:bCs/>
        </w:rPr>
        <w:t>dotacji oraz pożyczki</w:t>
      </w:r>
      <w:r w:rsidRPr="007E2EEA">
        <w:t>.</w:t>
      </w:r>
    </w:p>
    <w:p w14:paraId="50557C56" w14:textId="77777777" w:rsidR="007E2EEA" w:rsidRPr="007E2EEA" w:rsidRDefault="007E2EEA" w:rsidP="00366741">
      <w:pPr>
        <w:spacing w:after="120" w:line="288" w:lineRule="auto"/>
      </w:pPr>
      <w:r w:rsidRPr="007E2EEA">
        <w:t xml:space="preserve">Dofinansowanie w formie </w:t>
      </w:r>
      <w:r w:rsidRPr="007E2EEA">
        <w:rPr>
          <w:b/>
          <w:bCs/>
        </w:rPr>
        <w:t>dotacji</w:t>
      </w:r>
      <w:r w:rsidRPr="007E2EEA">
        <w:t xml:space="preserve"> wynosi do </w:t>
      </w:r>
      <w:r w:rsidRPr="007E2EEA">
        <w:rPr>
          <w:b/>
          <w:bCs/>
        </w:rPr>
        <w:t>85% kosztów kwalifikowanych</w:t>
      </w:r>
      <w:r w:rsidRPr="007E2EEA">
        <w:t>, z zastrzeżeniem, że:</w:t>
      </w:r>
    </w:p>
    <w:p w14:paraId="7A8FD930" w14:textId="2DD9FEC6" w:rsidR="007E2EEA" w:rsidRPr="007E2EEA" w:rsidRDefault="007E2EEA" w:rsidP="00366741">
      <w:pPr>
        <w:numPr>
          <w:ilvl w:val="0"/>
          <w:numId w:val="5"/>
        </w:numPr>
        <w:spacing w:after="120" w:line="288" w:lineRule="auto"/>
      </w:pPr>
      <w:r w:rsidRPr="007E2EEA">
        <w:t>jednostkowy koszt kwalifikowany, wyrażony jako iloraz kosztów kwalifikowanych do</w:t>
      </w:r>
      <w:r w:rsidR="00EA49FC">
        <w:t> </w:t>
      </w:r>
      <w:r w:rsidRPr="007E2EEA">
        <w:t xml:space="preserve">powierzchni o regulowanej temperaturze powietrza, nie może przekroczyć </w:t>
      </w:r>
      <w:r w:rsidRPr="007E2EEA">
        <w:rPr>
          <w:b/>
          <w:bCs/>
        </w:rPr>
        <w:t>2 500 zł za 1</w:t>
      </w:r>
      <w:r>
        <w:rPr>
          <w:b/>
          <w:bCs/>
        </w:rPr>
        <w:t> </w:t>
      </w:r>
      <w:r w:rsidRPr="007E2EEA">
        <w:rPr>
          <w:b/>
          <w:bCs/>
        </w:rPr>
        <w:t>m²</w:t>
      </w:r>
      <w:r w:rsidRPr="007E2EEA">
        <w:t xml:space="preserve">, a w przypadku budynków zabytkowych </w:t>
      </w:r>
      <w:r w:rsidRPr="007E2EEA">
        <w:rPr>
          <w:b/>
          <w:bCs/>
        </w:rPr>
        <w:t>3 000 zł za 1 m²</w:t>
      </w:r>
      <w:r w:rsidRPr="007E2EEA">
        <w:t>,</w:t>
      </w:r>
    </w:p>
    <w:p w14:paraId="7B8C007E" w14:textId="77777777" w:rsidR="007E2EEA" w:rsidRPr="007E2EEA" w:rsidRDefault="007E2EEA" w:rsidP="00366741">
      <w:pPr>
        <w:numPr>
          <w:ilvl w:val="0"/>
          <w:numId w:val="5"/>
        </w:numPr>
        <w:spacing w:after="120" w:line="288" w:lineRule="auto"/>
      </w:pPr>
      <w:r w:rsidRPr="007E2EEA">
        <w:t xml:space="preserve">inwestycja uzyska w ocenie co najmniej </w:t>
      </w:r>
      <w:r w:rsidRPr="007E2EEA">
        <w:rPr>
          <w:b/>
          <w:bCs/>
        </w:rPr>
        <w:t>7 punktów</w:t>
      </w:r>
      <w:r w:rsidRPr="007E2EEA">
        <w:t xml:space="preserve"> w ramach kryteriów jakościowych.</w:t>
      </w:r>
    </w:p>
    <w:p w14:paraId="44FBDDEE" w14:textId="666BC109" w:rsidR="007E2EEA" w:rsidRPr="007E2EEA" w:rsidRDefault="007E2EEA" w:rsidP="00366741">
      <w:pPr>
        <w:spacing w:after="120" w:line="288" w:lineRule="auto"/>
      </w:pPr>
      <w:r w:rsidRPr="007E2EEA">
        <w:t xml:space="preserve">W przypadku inwestycji </w:t>
      </w:r>
      <w:r w:rsidRPr="007E2EEA">
        <w:rPr>
          <w:b/>
          <w:bCs/>
        </w:rPr>
        <w:t>realizowanych w formule ESCO/EPC</w:t>
      </w:r>
      <w:r w:rsidRPr="007E2EEA">
        <w:t>, a także inwestycji, które nie</w:t>
      </w:r>
      <w:r w:rsidR="00EA49FC">
        <w:t> </w:t>
      </w:r>
      <w:r w:rsidRPr="007E2EEA">
        <w:t xml:space="preserve">uzyskały minimum 7 punktów, </w:t>
      </w:r>
      <w:r w:rsidRPr="007E2EEA">
        <w:rPr>
          <w:b/>
          <w:bCs/>
        </w:rPr>
        <w:t>intensywność dofinansowania w formie dotacji wynosi do 49% kosztów kwalifikowanych</w:t>
      </w:r>
      <w:r w:rsidRPr="007E2EEA">
        <w:t xml:space="preserve">, przy czym dla inwestycji realizowanych w formule ESCO/EPC </w:t>
      </w:r>
      <w:r w:rsidRPr="007E2EEA">
        <w:rPr>
          <w:b/>
          <w:bCs/>
        </w:rPr>
        <w:t>nie</w:t>
      </w:r>
      <w:r w:rsidR="00EA49FC">
        <w:rPr>
          <w:b/>
          <w:bCs/>
        </w:rPr>
        <w:t> </w:t>
      </w:r>
      <w:r w:rsidRPr="007E2EEA">
        <w:rPr>
          <w:b/>
          <w:bCs/>
        </w:rPr>
        <w:t>obowiązuje limit jednostkowego kosztu kwalifikowanego na 1 m² powierzchni o</w:t>
      </w:r>
      <w:r w:rsidR="00EA49FC">
        <w:rPr>
          <w:b/>
          <w:bCs/>
        </w:rPr>
        <w:t> </w:t>
      </w:r>
      <w:r w:rsidRPr="007E2EEA">
        <w:rPr>
          <w:b/>
          <w:bCs/>
        </w:rPr>
        <w:t>regulowanej temperaturze powietrza</w:t>
      </w:r>
      <w:r w:rsidRPr="007E2EEA">
        <w:t>.</w:t>
      </w:r>
    </w:p>
    <w:p w14:paraId="0D7DCC8E" w14:textId="77777777" w:rsidR="007E2EEA" w:rsidRPr="007E2EEA" w:rsidRDefault="007E2EEA" w:rsidP="00366741">
      <w:pPr>
        <w:spacing w:after="120" w:line="288" w:lineRule="auto"/>
      </w:pPr>
      <w:r w:rsidRPr="007E2EEA">
        <w:t xml:space="preserve">Dofinansowanie w formie </w:t>
      </w:r>
      <w:r w:rsidRPr="007E2EEA">
        <w:rPr>
          <w:b/>
          <w:bCs/>
        </w:rPr>
        <w:t>pożyczki</w:t>
      </w:r>
      <w:r w:rsidRPr="007E2EEA">
        <w:t xml:space="preserve"> stanowi finansowanie uzupełniające do poziomu </w:t>
      </w:r>
      <w:r w:rsidRPr="007E2EEA">
        <w:rPr>
          <w:b/>
          <w:bCs/>
        </w:rPr>
        <w:t>85% kosztów kwalifikowanych</w:t>
      </w:r>
      <w:r w:rsidRPr="007E2EEA">
        <w:t xml:space="preserve">, z zastrzeżeniem, że w przypadku inwestycji realizowanych w formule </w:t>
      </w:r>
      <w:r w:rsidRPr="007E2EEA">
        <w:rPr>
          <w:b/>
          <w:bCs/>
        </w:rPr>
        <w:lastRenderedPageBreak/>
        <w:t>ESCO/EPC możliwe jest uzupełniające finansowanie pożyczkowe do 100% kosztów kwalifikowanych</w:t>
      </w:r>
      <w:r w:rsidRPr="007E2EEA">
        <w:t>. Nie ma obowiązku łączenia finansowania dotacyjnego z pożyczkowym.</w:t>
      </w:r>
    </w:p>
    <w:p w14:paraId="2E1D15F0" w14:textId="77777777" w:rsidR="007E2EEA" w:rsidRPr="007E2EEA" w:rsidRDefault="007E2EEA" w:rsidP="00366741">
      <w:pPr>
        <w:spacing w:after="120" w:line="288" w:lineRule="auto"/>
      </w:pPr>
      <w:r w:rsidRPr="007E2EEA">
        <w:t xml:space="preserve">Pożyczki udzielane będą na warunkach preferencyjnych, w szczególności z </w:t>
      </w:r>
      <w:r w:rsidRPr="007E2EEA">
        <w:rPr>
          <w:b/>
          <w:bCs/>
        </w:rPr>
        <w:t>oprocentowaniem stałym w wysokości 1%</w:t>
      </w:r>
      <w:r w:rsidRPr="007E2EEA">
        <w:t xml:space="preserve">, okresem finansowania do </w:t>
      </w:r>
      <w:r w:rsidRPr="007E2EEA">
        <w:rPr>
          <w:b/>
          <w:bCs/>
        </w:rPr>
        <w:t>15 lat</w:t>
      </w:r>
      <w:r w:rsidRPr="007E2EEA">
        <w:t xml:space="preserve"> oraz możliwością zastosowania </w:t>
      </w:r>
      <w:r w:rsidRPr="007E2EEA">
        <w:rPr>
          <w:b/>
          <w:bCs/>
        </w:rPr>
        <w:t>karencji w spłacie kapitału</w:t>
      </w:r>
      <w:r w:rsidRPr="007E2EEA">
        <w:t>.</w:t>
      </w:r>
    </w:p>
    <w:p w14:paraId="3B39B080" w14:textId="771A1AB9" w:rsidR="00553519" w:rsidRPr="007E2EEA" w:rsidRDefault="00553519" w:rsidP="00366741">
      <w:pPr>
        <w:spacing w:after="120" w:line="288" w:lineRule="auto"/>
      </w:pPr>
      <w:r w:rsidRPr="00553519">
        <w:rPr>
          <w:b/>
          <w:bCs/>
        </w:rPr>
        <w:t>Rodzaje wspieranych inwestycji</w:t>
      </w:r>
    </w:p>
    <w:p w14:paraId="2F34F498" w14:textId="47118B59" w:rsidR="00553519" w:rsidRPr="00553519" w:rsidRDefault="00553519" w:rsidP="00366741">
      <w:pPr>
        <w:spacing w:after="120" w:line="288" w:lineRule="auto"/>
      </w:pPr>
      <w:r w:rsidRPr="00553519">
        <w:t>W ramach programu wsparcie przeznaczone jest na inwestycje polegające na poprawie efektywności energetycznej wraz z możliwością zastosowania odnawialnych źródeł energii w</w:t>
      </w:r>
      <w:r w:rsidR="00EA49FC">
        <w:t> </w:t>
      </w:r>
      <w:r w:rsidRPr="00553519">
        <w:rPr>
          <w:b/>
          <w:bCs/>
        </w:rPr>
        <w:t>budynku lub budynkach, w których podmiot leczniczy wykonuje działalność leczniczą w</w:t>
      </w:r>
      <w:r w:rsidR="00EA49FC">
        <w:rPr>
          <w:b/>
          <w:bCs/>
        </w:rPr>
        <w:t> </w:t>
      </w:r>
      <w:r w:rsidRPr="00553519">
        <w:rPr>
          <w:b/>
          <w:bCs/>
        </w:rPr>
        <w:t>rodzaju świadczenia szpitalne</w:t>
      </w:r>
      <w:r w:rsidRPr="00553519">
        <w:t xml:space="preserve">, na powierzchni </w:t>
      </w:r>
      <w:r w:rsidRPr="00553519">
        <w:rPr>
          <w:b/>
          <w:bCs/>
        </w:rPr>
        <w:t>nie mniejszej niż 80% powierzchni o</w:t>
      </w:r>
      <w:r w:rsidR="00EA49FC">
        <w:rPr>
          <w:b/>
          <w:bCs/>
        </w:rPr>
        <w:t> </w:t>
      </w:r>
      <w:r w:rsidRPr="00553519">
        <w:rPr>
          <w:b/>
          <w:bCs/>
        </w:rPr>
        <w:t>regulowanej temperaturze powietrza</w:t>
      </w:r>
      <w:r w:rsidRPr="00553519">
        <w:t>, przy spełnieniu wymogu minimalnej redukcji zużycia energii pierwotnej i końcowej.</w:t>
      </w:r>
    </w:p>
    <w:p w14:paraId="1D9839BF" w14:textId="77777777" w:rsidR="00553519" w:rsidRPr="00553519" w:rsidRDefault="00553519" w:rsidP="00366741">
      <w:pPr>
        <w:spacing w:after="120" w:line="288" w:lineRule="auto"/>
        <w:rPr>
          <w:b/>
          <w:bCs/>
        </w:rPr>
      </w:pPr>
      <w:r w:rsidRPr="00553519">
        <w:rPr>
          <w:b/>
          <w:bCs/>
        </w:rPr>
        <w:t>Beneficjenci</w:t>
      </w:r>
    </w:p>
    <w:p w14:paraId="73EC15A5" w14:textId="77777777" w:rsidR="00553519" w:rsidRPr="00553519" w:rsidRDefault="00553519" w:rsidP="00366741">
      <w:pPr>
        <w:spacing w:after="120" w:line="288" w:lineRule="auto"/>
      </w:pPr>
      <w:r w:rsidRPr="00553519">
        <w:t xml:space="preserve">Beneficjentami programu są </w:t>
      </w:r>
      <w:r w:rsidRPr="00553519">
        <w:rPr>
          <w:b/>
          <w:bCs/>
        </w:rPr>
        <w:t>jednostki samorządu terytorialnego (lub ich związki)</w:t>
      </w:r>
      <w:r w:rsidRPr="00553519">
        <w:t xml:space="preserve"> będące:</w:t>
      </w:r>
    </w:p>
    <w:p w14:paraId="43076329" w14:textId="77777777" w:rsidR="00553519" w:rsidRPr="00553519" w:rsidRDefault="00553519" w:rsidP="00366741">
      <w:pPr>
        <w:numPr>
          <w:ilvl w:val="0"/>
          <w:numId w:val="4"/>
        </w:numPr>
        <w:spacing w:after="120" w:line="288" w:lineRule="auto"/>
      </w:pPr>
      <w:r w:rsidRPr="00553519">
        <w:t>podmiotami tworzącymi samodzielne publiczne zakłady opieki zdrowotnej, lub</w:t>
      </w:r>
    </w:p>
    <w:p w14:paraId="0D73FE6E" w14:textId="77777777" w:rsidR="00553519" w:rsidRPr="00553519" w:rsidRDefault="00553519" w:rsidP="00366741">
      <w:pPr>
        <w:numPr>
          <w:ilvl w:val="0"/>
          <w:numId w:val="4"/>
        </w:numPr>
        <w:spacing w:after="120" w:line="288" w:lineRule="auto"/>
      </w:pPr>
      <w:r w:rsidRPr="00553519">
        <w:t>udziałowcami/akcjonariuszami podmiotów leczniczych prowadzących działalność szpitalną, w których JST posiada co najmniej 51% udziałów lub akcji, lub</w:t>
      </w:r>
    </w:p>
    <w:p w14:paraId="066ACE92" w14:textId="1812B071" w:rsidR="0077463B" w:rsidRDefault="00553519" w:rsidP="00366741">
      <w:pPr>
        <w:numPr>
          <w:ilvl w:val="0"/>
          <w:numId w:val="4"/>
        </w:numPr>
        <w:spacing w:after="120" w:line="288" w:lineRule="auto"/>
      </w:pPr>
      <w:r w:rsidRPr="00553519">
        <w:t>podmiotami tworzącymi szpital w formie samorządowej jednostki budżetowej.</w:t>
      </w:r>
    </w:p>
    <w:p w14:paraId="3F1802F9" w14:textId="4BAE1E6A" w:rsidR="0077463B" w:rsidRPr="0077463B" w:rsidRDefault="0077463B" w:rsidP="00366741">
      <w:pPr>
        <w:spacing w:after="120" w:line="288" w:lineRule="auto"/>
        <w:rPr>
          <w:b/>
          <w:bCs/>
        </w:rPr>
      </w:pPr>
      <w:r w:rsidRPr="0077463B">
        <w:rPr>
          <w:b/>
          <w:bCs/>
        </w:rPr>
        <w:t>Koordynator programu i kontakt:</w:t>
      </w:r>
    </w:p>
    <w:p w14:paraId="30F7DCBD" w14:textId="71D194B5" w:rsidR="0077463B" w:rsidRPr="0077463B" w:rsidRDefault="0077463B" w:rsidP="00366741">
      <w:pPr>
        <w:spacing w:after="120" w:line="288" w:lineRule="auto"/>
        <w:rPr>
          <w:lang w:val="en-US"/>
        </w:rPr>
      </w:pPr>
      <w:r>
        <w:t xml:space="preserve">Sylwia Dryka-Mizerska; tel. </w:t>
      </w:r>
      <w:r w:rsidRPr="0077463B">
        <w:rPr>
          <w:lang w:val="en-US"/>
        </w:rPr>
        <w:t>+48 885 773 305;</w:t>
      </w:r>
    </w:p>
    <w:p w14:paraId="272974C1" w14:textId="5AFDB715" w:rsidR="0077463B" w:rsidRPr="0077463B" w:rsidRDefault="0077463B" w:rsidP="00366741">
      <w:pPr>
        <w:spacing w:after="120" w:line="288" w:lineRule="auto"/>
        <w:rPr>
          <w:lang w:val="en-US"/>
        </w:rPr>
      </w:pPr>
      <w:r w:rsidRPr="0077463B">
        <w:rPr>
          <w:lang w:val="en-US"/>
        </w:rPr>
        <w:t xml:space="preserve">e-mail: </w:t>
      </w:r>
      <w:hyperlink r:id="rId5" w:tooltip="mail do Koordynatora " w:history="1">
        <w:r w:rsidR="00366741" w:rsidRPr="00BC048A">
          <w:rPr>
            <w:rStyle w:val="Hipercze"/>
            <w:lang w:val="en-US"/>
          </w:rPr>
          <w:t>sylwia.dryka-mizerska@nfosigw.gov.pl</w:t>
        </w:r>
      </w:hyperlink>
    </w:p>
    <w:p w14:paraId="578A4B49" w14:textId="6C31F743" w:rsidR="007264F9" w:rsidRDefault="0077463B" w:rsidP="00366741">
      <w:pPr>
        <w:spacing w:after="120" w:line="288" w:lineRule="auto"/>
      </w:pPr>
      <w:r>
        <w:t>Pytania prosimy przesyłać na adres:</w:t>
      </w:r>
      <w:hyperlink r:id="rId6" w:history="1">
        <w:r w:rsidR="006E6BF3" w:rsidRPr="00BC048A">
          <w:rPr>
            <w:rStyle w:val="Hipercze"/>
          </w:rPr>
          <w:t xml:space="preserve"> szpitale_konsultacjeFM@nfosigw.gov.pl</w:t>
        </w:r>
      </w:hyperlink>
    </w:p>
    <w:sectPr w:rsidR="0072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3C3C"/>
    <w:multiLevelType w:val="multilevel"/>
    <w:tmpl w:val="17E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C2645"/>
    <w:multiLevelType w:val="multilevel"/>
    <w:tmpl w:val="B3F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E590C"/>
    <w:multiLevelType w:val="multilevel"/>
    <w:tmpl w:val="BA00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27315"/>
    <w:multiLevelType w:val="multilevel"/>
    <w:tmpl w:val="60AA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76ECF"/>
    <w:multiLevelType w:val="multilevel"/>
    <w:tmpl w:val="800A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675466">
    <w:abstractNumId w:val="0"/>
  </w:num>
  <w:num w:numId="2" w16cid:durableId="236288942">
    <w:abstractNumId w:val="4"/>
  </w:num>
  <w:num w:numId="3" w16cid:durableId="1416054392">
    <w:abstractNumId w:val="2"/>
  </w:num>
  <w:num w:numId="4" w16cid:durableId="2062947461">
    <w:abstractNumId w:val="3"/>
  </w:num>
  <w:num w:numId="5" w16cid:durableId="2133396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19"/>
    <w:rsid w:val="00366741"/>
    <w:rsid w:val="00425D62"/>
    <w:rsid w:val="00524D0A"/>
    <w:rsid w:val="00553519"/>
    <w:rsid w:val="006E6BF3"/>
    <w:rsid w:val="007264F9"/>
    <w:rsid w:val="0077463B"/>
    <w:rsid w:val="007E2EEA"/>
    <w:rsid w:val="00B35C85"/>
    <w:rsid w:val="00DA125F"/>
    <w:rsid w:val="00DE73A7"/>
    <w:rsid w:val="00E01ED1"/>
    <w:rsid w:val="00EA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CC93"/>
  <w15:chartTrackingRefBased/>
  <w15:docId w15:val="{71E3F44A-82DE-4FF7-B454-A480AC55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5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5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5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5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5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5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5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5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5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5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5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5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674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szpitale_konsultacjeFM@nfosigw.gov.pl" TargetMode="External"/><Relationship Id="rId5" Type="http://schemas.openxmlformats.org/officeDocument/2006/relationships/hyperlink" Target="mailto:sylwia.dryka-mizerska@nfosig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460</Words>
  <Characters>3324</Characters>
  <Application>Microsoft Office Word</Application>
  <DocSecurity>0</DocSecurity>
  <Lines>57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programie</dc:title>
  <dc:subject/>
  <dc:creator>Dryka-Mizerska Sylwia</dc:creator>
  <cp:keywords/>
  <dc:description/>
  <cp:lastModifiedBy>Dryka-Mizerska Sylwia</cp:lastModifiedBy>
  <cp:revision>5</cp:revision>
  <dcterms:created xsi:type="dcterms:W3CDTF">2026-05-13T10:26:00Z</dcterms:created>
  <dcterms:modified xsi:type="dcterms:W3CDTF">2026-05-19T11:20:00Z</dcterms:modified>
</cp:coreProperties>
</file>