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629E" w14:textId="699C262D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CB61A4">
        <w:rPr>
          <w:sz w:val="22"/>
          <w:szCs w:val="22"/>
        </w:rPr>
        <w:t xml:space="preserve">3004-7-233. </w:t>
      </w:r>
      <w:r w:rsidR="00D0111C">
        <w:rPr>
          <w:sz w:val="22"/>
          <w:szCs w:val="22"/>
        </w:rPr>
        <w:t>4</w:t>
      </w:r>
      <w:r w:rsidR="002F044D">
        <w:rPr>
          <w:sz w:val="22"/>
          <w:szCs w:val="22"/>
        </w:rPr>
        <w:t>.2</w:t>
      </w:r>
      <w:r w:rsidR="00CB61A4">
        <w:rPr>
          <w:sz w:val="22"/>
          <w:szCs w:val="22"/>
        </w:rPr>
        <w:t>02</w:t>
      </w:r>
      <w:r w:rsidR="00D0111C">
        <w:rPr>
          <w:sz w:val="22"/>
          <w:szCs w:val="22"/>
        </w:rPr>
        <w:t>3</w:t>
      </w:r>
    </w:p>
    <w:p w14:paraId="34FA45A7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7B16E7C6" w:rsidR="00A552AE" w:rsidRPr="0001543A" w:rsidRDefault="00A552AE" w:rsidP="0001543A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01543A">
        <w:rPr>
          <w:sz w:val="22"/>
          <w:szCs w:val="22"/>
        </w:rPr>
        <w:t>Nazwa Podmiotu lub imię i nazwisko</w:t>
      </w:r>
    </w:p>
    <w:p w14:paraId="1AAE387F" w14:textId="489ED10B" w:rsidR="00A552AE" w:rsidRPr="00CF6FA2" w:rsidRDefault="00A552AE" w:rsidP="0001543A">
      <w:pPr>
        <w:shd w:val="clear" w:color="auto" w:fill="FFFFFF"/>
        <w:spacing w:after="120"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01543A">
        <w:rPr>
          <w:sz w:val="22"/>
          <w:szCs w:val="22"/>
        </w:rPr>
        <w:t>...</w:t>
      </w:r>
    </w:p>
    <w:p w14:paraId="28BA296B" w14:textId="3A678249" w:rsidR="00A552AE" w:rsidRPr="0001543A" w:rsidRDefault="00A552AE" w:rsidP="0001543A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01543A">
        <w:rPr>
          <w:sz w:val="22"/>
          <w:szCs w:val="22"/>
        </w:rPr>
        <w:t>Dokładny adres siedziby lub adres zamieszkania</w:t>
      </w:r>
    </w:p>
    <w:p w14:paraId="3D963A54" w14:textId="0FC65F80" w:rsidR="00A552AE" w:rsidRPr="00CF6FA2" w:rsidRDefault="00A552AE" w:rsidP="0001543A">
      <w:pPr>
        <w:shd w:val="clear" w:color="auto" w:fill="FFFFFF"/>
        <w:spacing w:after="120"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01543A">
        <w:rPr>
          <w:sz w:val="22"/>
          <w:szCs w:val="22"/>
        </w:rPr>
        <w:t>..</w:t>
      </w:r>
    </w:p>
    <w:p w14:paraId="41174D40" w14:textId="49EEC16F" w:rsidR="00A552AE" w:rsidRDefault="00A552AE" w:rsidP="0001543A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01543A">
        <w:rPr>
          <w:sz w:val="22"/>
          <w:szCs w:val="22"/>
        </w:rPr>
        <w:t>Telefon</w:t>
      </w:r>
      <w:r w:rsidR="0001543A">
        <w:rPr>
          <w:sz w:val="22"/>
          <w:szCs w:val="22"/>
        </w:rPr>
        <w:t xml:space="preserve"> </w:t>
      </w:r>
      <w:r w:rsidRPr="0001543A">
        <w:rPr>
          <w:sz w:val="22"/>
          <w:szCs w:val="22"/>
        </w:rPr>
        <w:t>kontaktowy</w:t>
      </w:r>
      <w:r w:rsidR="0001543A">
        <w:rPr>
          <w:sz w:val="22"/>
          <w:szCs w:val="22"/>
        </w:rPr>
        <w:t xml:space="preserve"> </w:t>
      </w:r>
      <w:r w:rsidRPr="0001543A">
        <w:rPr>
          <w:sz w:val="22"/>
          <w:szCs w:val="22"/>
        </w:rPr>
        <w:t>………………………………………………………………………………</w:t>
      </w:r>
      <w:r w:rsidR="0001543A">
        <w:rPr>
          <w:sz w:val="22"/>
          <w:szCs w:val="22"/>
        </w:rPr>
        <w:t>…..</w:t>
      </w:r>
    </w:p>
    <w:p w14:paraId="0803102D" w14:textId="7E6B50D3" w:rsidR="0001543A" w:rsidRPr="0001543A" w:rsidRDefault="00A552AE" w:rsidP="0001543A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after="120" w:line="360" w:lineRule="auto"/>
        <w:ind w:left="284" w:hanging="284"/>
        <w:jc w:val="both"/>
        <w:rPr>
          <w:color w:val="000000"/>
          <w:spacing w:val="-7"/>
          <w:sz w:val="22"/>
          <w:szCs w:val="22"/>
        </w:rPr>
      </w:pPr>
      <w:r w:rsidRPr="0001543A">
        <w:rPr>
          <w:color w:val="000000"/>
          <w:spacing w:val="-7"/>
          <w:sz w:val="22"/>
          <w:szCs w:val="22"/>
        </w:rPr>
        <w:t>Oświadczam, że zapoznałem  się ze stanem składników majątkowych / ponoszę odpowiedzialność</w:t>
      </w:r>
      <w:r w:rsidR="0001543A">
        <w:rPr>
          <w:color w:val="000000"/>
          <w:spacing w:val="-7"/>
          <w:sz w:val="22"/>
          <w:szCs w:val="22"/>
        </w:rPr>
        <w:t xml:space="preserve"> </w:t>
      </w:r>
      <w:r w:rsidRPr="0001543A">
        <w:rPr>
          <w:color w:val="000000"/>
          <w:spacing w:val="-7"/>
          <w:sz w:val="22"/>
          <w:szCs w:val="22"/>
        </w:rPr>
        <w:t>za skutki wynikające z rezygnacji z oględzin.</w:t>
      </w:r>
    </w:p>
    <w:p w14:paraId="0B15EF87" w14:textId="370CA4B1" w:rsidR="00A552AE" w:rsidRPr="0001543A" w:rsidRDefault="00A552AE" w:rsidP="0001543A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after="120" w:line="360" w:lineRule="auto"/>
        <w:ind w:left="284" w:hanging="284"/>
        <w:jc w:val="both"/>
        <w:rPr>
          <w:color w:val="000000"/>
          <w:spacing w:val="-11"/>
          <w:sz w:val="22"/>
          <w:szCs w:val="22"/>
        </w:rPr>
      </w:pPr>
      <w:r w:rsidRPr="0001543A">
        <w:rPr>
          <w:color w:val="000000"/>
          <w:spacing w:val="-7"/>
          <w:sz w:val="22"/>
          <w:szCs w:val="22"/>
        </w:rPr>
        <w:t>Oświadczam, że składniki majątku zakupione (przekazane) odbiorę w terminie 3</w:t>
      </w:r>
      <w:r w:rsidR="0001543A">
        <w:rPr>
          <w:color w:val="000000"/>
          <w:spacing w:val="-7"/>
          <w:sz w:val="22"/>
          <w:szCs w:val="22"/>
        </w:rPr>
        <w:t xml:space="preserve"> </w:t>
      </w:r>
      <w:r w:rsidRPr="0001543A">
        <w:rPr>
          <w:color w:val="000000"/>
          <w:spacing w:val="-7"/>
          <w:sz w:val="22"/>
          <w:szCs w:val="22"/>
        </w:rPr>
        <w:t xml:space="preserve">dni od dnia poinformowania mnie o wyborze mojej oferty </w:t>
      </w:r>
    </w:p>
    <w:p w14:paraId="6392CCE8" w14:textId="77777777" w:rsidR="00A552AE" w:rsidRPr="0001543A" w:rsidRDefault="00A552AE" w:rsidP="0001543A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after="120" w:line="360" w:lineRule="auto"/>
        <w:ind w:left="284" w:hanging="284"/>
        <w:jc w:val="both"/>
        <w:rPr>
          <w:color w:val="000000"/>
          <w:spacing w:val="-11"/>
          <w:sz w:val="22"/>
          <w:szCs w:val="22"/>
        </w:rPr>
      </w:pPr>
      <w:r w:rsidRPr="0001543A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Okręgowej w Ostrołęce w zadeklarowanej kwocie </w:t>
      </w:r>
    </w:p>
    <w:p w14:paraId="11CBC955" w14:textId="74A4763B" w:rsidR="00A552AE" w:rsidRPr="00CF6FA2" w:rsidRDefault="0001543A" w:rsidP="0001543A">
      <w:pPr>
        <w:shd w:val="clear" w:color="auto" w:fill="FFFFFF"/>
        <w:tabs>
          <w:tab w:val="left" w:pos="284"/>
        </w:tabs>
        <w:spacing w:after="120" w:line="360" w:lineRule="auto"/>
        <w:jc w:val="both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ab/>
      </w:r>
      <w:r w:rsidR="00A552AE"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77777777" w:rsidR="00A552AE" w:rsidRPr="0001543A" w:rsidRDefault="00A552AE" w:rsidP="0001543A">
      <w:pPr>
        <w:pStyle w:val="Akapitzlist"/>
        <w:numPr>
          <w:ilvl w:val="0"/>
          <w:numId w:val="7"/>
        </w:numPr>
        <w:spacing w:after="120" w:line="360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01543A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01543A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celu skorzystania z praw, o których mowa w pkt 8 ppk.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abstractNum w:abstractNumId="5" w15:restartNumberingAfterBreak="0">
    <w:nsid w:val="7D613B20"/>
    <w:multiLevelType w:val="hybridMultilevel"/>
    <w:tmpl w:val="1400A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61448">
    <w:abstractNumId w:val="2"/>
  </w:num>
  <w:num w:numId="2" w16cid:durableId="821653697">
    <w:abstractNumId w:val="3"/>
  </w:num>
  <w:num w:numId="3" w16cid:durableId="195363169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08109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940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826410">
    <w:abstractNumId w:val="0"/>
  </w:num>
  <w:num w:numId="7" w16cid:durableId="1289166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1543A"/>
    <w:rsid w:val="002F044D"/>
    <w:rsid w:val="00A552AE"/>
    <w:rsid w:val="00AB6667"/>
    <w:rsid w:val="00CB61A4"/>
    <w:rsid w:val="00D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Napiórkowski Michał (PO Ostrołęka)</cp:lastModifiedBy>
  <cp:revision>6</cp:revision>
  <dcterms:created xsi:type="dcterms:W3CDTF">2018-11-13T09:21:00Z</dcterms:created>
  <dcterms:modified xsi:type="dcterms:W3CDTF">2023-04-14T07:56:00Z</dcterms:modified>
</cp:coreProperties>
</file>