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20" w:line="240" w:lineRule="auto"/>
        <w:ind w:left="0" w:right="0" w:firstLine="0"/>
        <w:jc w:val="right"/>
      </w:pPr>
      <w:r>
        <w:rPr>
          <w:rStyle w:val="CharStyle3"/>
        </w:rPr>
        <w:t>Wronczynek, dnia 12 maja 2026 r.</w:t>
      </w:r>
    </w:p>
    <w:p>
      <w:pPr>
        <w:pStyle w:val="Style7"/>
        <w:keepNext/>
        <w:keepLines/>
        <w:widowControl w:val="0"/>
        <w:shd w:val="clear" w:color="auto" w:fill="auto"/>
        <w:bidi w:val="0"/>
        <w:spacing w:before="0" w:after="1700" w:line="240" w:lineRule="auto"/>
        <w:ind w:left="0" w:right="0" w:firstLine="0"/>
        <w:jc w:val="left"/>
      </w:pPr>
      <w:bookmarkStart w:id="0" w:name="bookmark0"/>
      <w:r>
        <w:rPr>
          <w:rStyle w:val="CharStyle8"/>
          <w:b/>
          <w:bCs/>
        </w:rPr>
        <w:t>Fundacja Obywatel To Nie Odpad</w:t>
      </w:r>
      <w:bookmarkEnd w:id="0"/>
    </w:p>
    <w:p>
      <w:pPr>
        <w:pStyle w:val="Style2"/>
        <w:keepNext w:val="0"/>
        <w:keepLines w:val="0"/>
        <w:widowControl w:val="0"/>
        <w:shd w:val="clear" w:color="auto" w:fill="auto"/>
        <w:bidi w:val="0"/>
        <w:spacing w:before="0" w:after="360"/>
        <w:ind w:left="0" w:right="0" w:firstLine="0"/>
        <w:jc w:val="left"/>
      </w:pPr>
      <w:r>
        <w:rPr>
          <w:rStyle w:val="CharStyle3"/>
        </w:rPr>
        <w:t>do</w:t>
      </w:r>
    </w:p>
    <w:p>
      <w:pPr>
        <w:pStyle w:val="Style7"/>
        <w:keepNext/>
        <w:keepLines/>
        <w:widowControl w:val="0"/>
        <w:shd w:val="clear" w:color="auto" w:fill="auto"/>
        <w:bidi w:val="0"/>
        <w:spacing w:before="0" w:after="0"/>
        <w:ind w:left="0" w:right="0" w:firstLine="0"/>
        <w:jc w:val="left"/>
      </w:pPr>
      <w:bookmarkStart w:id="2" w:name="bookmark2"/>
      <w:r>
        <w:rPr>
          <w:rStyle w:val="CharStyle8"/>
          <w:b/>
          <w:bCs/>
        </w:rPr>
        <w:t>Główny Inspektor Ochrony Środowiska</w:t>
      </w:r>
      <w:bookmarkEnd w:id="2"/>
    </w:p>
    <w:p>
      <w:pPr>
        <w:pStyle w:val="Style2"/>
        <w:keepNext w:val="0"/>
        <w:keepLines w:val="0"/>
        <w:widowControl w:val="0"/>
        <w:shd w:val="clear" w:color="auto" w:fill="auto"/>
        <w:bidi w:val="0"/>
        <w:spacing w:before="0" w:after="0"/>
        <w:ind w:left="0" w:right="0" w:firstLine="0"/>
        <w:jc w:val="left"/>
      </w:pPr>
      <w:r>
        <w:rPr>
          <w:rStyle w:val="CharStyle3"/>
        </w:rPr>
        <w:t>ul. Bitwy Warszawskiej 1920 r. 3</w:t>
      </w:r>
    </w:p>
    <w:p>
      <w:pPr>
        <w:pStyle w:val="Style2"/>
        <w:keepNext w:val="0"/>
        <w:keepLines w:val="0"/>
        <w:widowControl w:val="0"/>
        <w:shd w:val="clear" w:color="auto" w:fill="auto"/>
        <w:bidi w:val="0"/>
        <w:spacing w:before="0" w:after="0"/>
        <w:ind w:left="0" w:right="0" w:firstLine="0"/>
        <w:jc w:val="left"/>
      </w:pPr>
      <w:r>
        <w:rPr>
          <w:rStyle w:val="CharStyle3"/>
        </w:rPr>
        <w:t>02-362 Warszawa</w:t>
      </w:r>
    </w:p>
    <w:p>
      <w:pPr>
        <w:pStyle w:val="Style2"/>
        <w:keepNext w:val="0"/>
        <w:keepLines w:val="0"/>
        <w:widowControl w:val="0"/>
        <w:shd w:val="clear" w:color="auto" w:fill="auto"/>
        <w:bidi w:val="0"/>
        <w:spacing w:before="0" w:after="120"/>
        <w:ind w:left="0" w:right="0" w:firstLine="0"/>
        <w:jc w:val="left"/>
      </w:pPr>
      <w:r>
        <w:rPr>
          <w:rStyle w:val="CharStyle3"/>
        </w:rPr>
        <w:t>(dalej jako: GIOŚ)</w:t>
      </w:r>
    </w:p>
    <w:p>
      <w:pPr>
        <w:pStyle w:val="Style7"/>
        <w:keepNext/>
        <w:keepLines/>
        <w:widowControl w:val="0"/>
        <w:shd w:val="clear" w:color="auto" w:fill="auto"/>
        <w:bidi w:val="0"/>
        <w:spacing w:before="0" w:after="0"/>
        <w:ind w:left="0" w:right="0" w:firstLine="0"/>
        <w:jc w:val="left"/>
      </w:pPr>
      <w:bookmarkStart w:id="4" w:name="bookmark4"/>
      <w:r>
        <w:rPr>
          <w:rStyle w:val="CharStyle8"/>
          <w:b/>
          <w:bCs/>
        </w:rPr>
        <w:t>Szanowna Pani,</w:t>
      </w:r>
      <w:bookmarkEnd w:id="4"/>
    </w:p>
    <w:p>
      <w:pPr>
        <w:pStyle w:val="Style2"/>
        <w:keepNext w:val="0"/>
        <w:keepLines w:val="0"/>
        <w:widowControl w:val="0"/>
        <w:shd w:val="clear" w:color="auto" w:fill="auto"/>
        <w:bidi w:val="0"/>
        <w:spacing w:before="0" w:after="80"/>
        <w:ind w:left="0" w:right="0" w:firstLine="0"/>
        <w:jc w:val="left"/>
      </w:pPr>
      <w:r>
        <w:rPr>
          <w:rStyle w:val="CharStyle3"/>
        </w:rPr>
        <w:t>działając w imieniu Fundacji, na podstawie art. 2 ust. 1–3 ustawy z dnia 11 lipca 2014 roku o petycjach, wnoszę niniejszą petycję w interesie publicznym oraz w interesie własnym Fundacji jako organizacji społecznej działającej na rzecz ochrony środowiska.</w:t>
      </w:r>
    </w:p>
    <w:p>
      <w:pPr>
        <w:pStyle w:val="Style2"/>
        <w:keepNext w:val="0"/>
        <w:keepLines w:val="0"/>
        <w:widowControl w:val="0"/>
        <w:shd w:val="clear" w:color="auto" w:fill="auto"/>
        <w:bidi w:val="0"/>
        <w:spacing w:before="0" w:after="80"/>
        <w:ind w:left="0" w:right="0" w:firstLine="0"/>
        <w:jc w:val="left"/>
      </w:pPr>
      <w:r>
        <w:rPr>
          <w:rStyle w:val="CharStyle3"/>
        </w:rPr>
        <w:t>Przedmiot petycji</w:t>
      </w:r>
    </w:p>
    <w:p>
      <w:pPr>
        <w:pStyle w:val="Style2"/>
        <w:keepNext w:val="0"/>
        <w:keepLines w:val="0"/>
        <w:widowControl w:val="0"/>
        <w:shd w:val="clear" w:color="auto" w:fill="auto"/>
        <w:bidi w:val="0"/>
        <w:spacing w:before="0" w:after="120"/>
        <w:ind w:left="0" w:right="0" w:firstLine="0"/>
        <w:jc w:val="left"/>
      </w:pPr>
      <w:r>
        <w:rPr>
          <w:rStyle w:val="CharStyle3"/>
        </w:rPr>
        <w:t>Niniejsza petycja dotyczy podjęcia przez Głównego Inspektora Ochrony Środowiska działania systemowego dotyczącego praktyki organów Inspekcji Ochrony Środowiska w przypadku zidentyfikowania realizacji przedsięwzięcia bez uzyskania wymaganej art. 71 ust. 2 pkt 1 i 2 u.i.o.ś.* decyzji o środowiskowych uwarunkowaniach.</w:t>
      </w:r>
    </w:p>
    <w:p>
      <w:pPr>
        <w:pStyle w:val="Style7"/>
        <w:keepNext/>
        <w:keepLines/>
        <w:widowControl w:val="0"/>
        <w:shd w:val="clear" w:color="auto" w:fill="auto"/>
        <w:bidi w:val="0"/>
        <w:spacing w:before="0" w:after="0"/>
        <w:ind w:left="0" w:right="0" w:firstLine="0"/>
        <w:jc w:val="left"/>
      </w:pPr>
      <w:bookmarkStart w:id="6" w:name="bookmark6"/>
      <w:r>
        <w:rPr>
          <w:rStyle w:val="CharStyle8"/>
          <w:b/>
          <w:bCs/>
        </w:rPr>
        <w:t>I. Podstawowy dokument weryfikujący zakres oddziaływania na środowisko</w:t>
      </w:r>
      <w:bookmarkEnd w:id="6"/>
    </w:p>
    <w:p>
      <w:pPr>
        <w:pStyle w:val="Style2"/>
        <w:keepNext w:val="0"/>
        <w:keepLines w:val="0"/>
        <w:widowControl w:val="0"/>
        <w:numPr>
          <w:ilvl w:val="0"/>
          <w:numId w:val="1"/>
        </w:numPr>
        <w:shd w:val="clear" w:color="auto" w:fill="auto"/>
        <w:tabs>
          <w:tab w:pos="397" w:val="left"/>
        </w:tabs>
        <w:bidi w:val="0"/>
        <w:spacing w:before="0" w:after="0"/>
        <w:ind w:left="0" w:right="0" w:firstLine="0"/>
        <w:jc w:val="left"/>
      </w:pPr>
      <w:r>
        <w:rPr>
          <w:rStyle w:val="CharStyle3"/>
        </w:rPr>
        <w:t>Art. 71 ust. 1 i 2 ustawy u.i.o.ś. ustanawia zasadę, że decyzja o środowiskowych uwarunkowaniach określa środowiskowe warunki realizacji przedsięwzięcia. Uzyskanie takiej decyzji jest wymagane dla przedsięwzięć:</w:t>
      </w:r>
    </w:p>
    <w:p>
      <w:pPr>
        <w:pStyle w:val="Style2"/>
        <w:keepNext w:val="0"/>
        <w:keepLines w:val="0"/>
        <w:widowControl w:val="0"/>
        <w:numPr>
          <w:ilvl w:val="0"/>
          <w:numId w:val="3"/>
        </w:numPr>
        <w:shd w:val="clear" w:color="auto" w:fill="auto"/>
        <w:tabs>
          <w:tab w:pos="742" w:val="left"/>
        </w:tabs>
        <w:bidi w:val="0"/>
        <w:spacing w:before="0" w:after="0"/>
        <w:ind w:left="0" w:right="0" w:firstLine="340"/>
        <w:jc w:val="left"/>
      </w:pPr>
      <w:r>
        <w:rPr>
          <w:rStyle w:val="CharStyle3"/>
        </w:rPr>
        <w:t>mogących zawsze znacząco oddziaływać na środowisko,</w:t>
      </w:r>
    </w:p>
    <w:p>
      <w:pPr>
        <w:pStyle w:val="Style2"/>
        <w:keepNext w:val="0"/>
        <w:keepLines w:val="0"/>
        <w:widowControl w:val="0"/>
        <w:numPr>
          <w:ilvl w:val="0"/>
          <w:numId w:val="3"/>
        </w:numPr>
        <w:shd w:val="clear" w:color="auto" w:fill="auto"/>
        <w:tabs>
          <w:tab w:pos="737" w:val="left"/>
        </w:tabs>
        <w:bidi w:val="0"/>
        <w:spacing w:before="0" w:after="0"/>
        <w:ind w:left="0" w:right="0" w:firstLine="340"/>
        <w:jc w:val="left"/>
      </w:pPr>
      <w:r>
        <w:rPr>
          <w:rStyle w:val="CharStyle3"/>
        </w:rPr>
        <w:t>mogących potencjalnie znacząco oddziaływać na środowisko.</w:t>
      </w:r>
    </w:p>
    <w:p>
      <w:pPr>
        <w:pStyle w:val="Style2"/>
        <w:keepNext w:val="0"/>
        <w:keepLines w:val="0"/>
        <w:widowControl w:val="0"/>
        <w:numPr>
          <w:ilvl w:val="0"/>
          <w:numId w:val="1"/>
        </w:numPr>
        <w:shd w:val="clear" w:color="auto" w:fill="auto"/>
        <w:tabs>
          <w:tab w:pos="387" w:val="left"/>
        </w:tabs>
        <w:bidi w:val="0"/>
        <w:spacing w:before="0" w:after="0"/>
        <w:ind w:left="0" w:right="0" w:firstLine="0"/>
        <w:jc w:val="left"/>
      </w:pPr>
      <w:r>
        <w:rPr>
          <w:rStyle w:val="CharStyle3"/>
        </w:rPr>
        <w:t>Rozporządzenie z dnia 10 września 2019 roku, Dz.U. z 2019 poz. 1839, dalej jako: Rozporządzenie 2019, wyszczególnia:</w:t>
      </w:r>
    </w:p>
    <w:p>
      <w:pPr>
        <w:pStyle w:val="Style2"/>
        <w:keepNext w:val="0"/>
        <w:keepLines w:val="0"/>
        <w:widowControl w:val="0"/>
        <w:shd w:val="clear" w:color="auto" w:fill="auto"/>
        <w:bidi w:val="0"/>
        <w:spacing w:before="0" w:after="0"/>
        <w:ind w:left="340" w:right="0" w:firstLine="0"/>
        <w:jc w:val="left"/>
      </w:pPr>
      <w:r>
        <w:rPr>
          <w:rStyle w:val="CharStyle3"/>
        </w:rPr>
        <w:t>a1) mogące zawsze znacząco oddziaływać na środowisko, b1) mogące potencjalnie znacząco oddziaływać na środowisko.</w:t>
      </w:r>
    </w:p>
    <w:p>
      <w:pPr>
        <w:pStyle w:val="Style2"/>
        <w:keepNext w:val="0"/>
        <w:keepLines w:val="0"/>
        <w:widowControl w:val="0"/>
        <w:shd w:val="clear" w:color="auto" w:fill="auto"/>
        <w:bidi w:val="0"/>
        <w:spacing w:before="0" w:after="120"/>
        <w:ind w:left="0" w:right="0" w:firstLine="0"/>
        <w:jc w:val="left"/>
      </w:pPr>
      <w:r>
        <w:rPr>
          <w:rStyle w:val="CharStyle3"/>
        </w:rPr>
        <w:t>Każda decyzja umożliwiająca realizację przedsięwzięć wyszczególnionych w rozporządzeniu jako znacząco lub jako potencjalnie oddziałujących na środowisko wymaga wcześniejszego uzyskania i przedłożenia decyzji o środowiskowych uwarunkowaniach. Rozporządzenie 2019 wyznacza więc zakres wydawania decyzji środowiskowych jako podstawowego dokumentu opisującego oddziaływanie planowanego przedsięwzięcia na środowisko.</w:t>
      </w:r>
    </w:p>
    <w:p>
      <w:pPr>
        <w:pStyle w:val="Style7"/>
        <w:keepNext/>
        <w:keepLines/>
        <w:widowControl w:val="0"/>
        <w:numPr>
          <w:ilvl w:val="0"/>
          <w:numId w:val="1"/>
        </w:numPr>
        <w:shd w:val="clear" w:color="auto" w:fill="auto"/>
        <w:tabs>
          <w:tab w:pos="421" w:val="left"/>
        </w:tabs>
        <w:bidi w:val="0"/>
        <w:spacing w:before="0" w:after="0"/>
        <w:ind w:left="0" w:right="0" w:firstLine="0"/>
        <w:jc w:val="left"/>
      </w:pPr>
      <w:bookmarkStart w:id="8" w:name="bookmark8"/>
      <w:r>
        <w:rPr>
          <w:rStyle w:val="CharStyle8"/>
          <w:b/>
          <w:bCs/>
        </w:rPr>
        <w:t>Decyzja o środowiskowych uwarunkowaniach – przedkładane dokumenty</w:t>
      </w:r>
      <w:bookmarkEnd w:id="8"/>
    </w:p>
    <w:p>
      <w:pPr>
        <w:pStyle w:val="Style2"/>
        <w:keepNext w:val="0"/>
        <w:keepLines w:val="0"/>
        <w:widowControl w:val="0"/>
        <w:shd w:val="clear" w:color="auto" w:fill="auto"/>
        <w:bidi w:val="0"/>
        <w:spacing w:before="0" w:after="80"/>
        <w:ind w:left="0" w:right="0" w:firstLine="0"/>
        <w:jc w:val="left"/>
      </w:pPr>
      <w:r>
        <w:rPr>
          <w:rStyle w:val="CharStyle3"/>
        </w:rPr>
        <w:t>Przedkładanym dokumentem w przypadku przedsięwzięć mogących zawsze znacząco oddziaływać na środowisko jest raport o oddziaływaniu planowanego przedsięwzięcia na środowisko – art. 74 ust. 1 pkt 1 u.i.o.ś. Przedkładanym dokumentem w przypadku</w:t>
      </w:r>
    </w:p>
    <w:p>
      <w:pPr>
        <w:pStyle w:val="Style2"/>
        <w:keepNext w:val="0"/>
        <w:keepLines w:val="0"/>
        <w:widowControl w:val="0"/>
        <w:shd w:val="clear" w:color="auto" w:fill="auto"/>
        <w:bidi w:val="0"/>
        <w:spacing w:before="0" w:after="140"/>
        <w:ind w:left="0" w:right="0" w:firstLine="0"/>
        <w:jc w:val="left"/>
      </w:pPr>
      <w:r>
        <w:rPr>
          <w:rStyle w:val="CharStyle3"/>
        </w:rPr>
        <w:t>przedsięwzięć mogących potencjalnie znacząco oddziaływać na środowisko jest karta informacyjna przedsięwzięcia (planowanego). Oba powyższe dokumenty opisują wpływ planowanego przedsięwzięcia na bliższe i dalsze środowisko, różniąc się stopniem szczegółowości.</w:t>
      </w:r>
    </w:p>
    <w:p>
      <w:pPr>
        <w:pStyle w:val="Style7"/>
        <w:keepNext/>
        <w:keepLines/>
        <w:widowControl w:val="0"/>
        <w:numPr>
          <w:ilvl w:val="0"/>
          <w:numId w:val="1"/>
        </w:numPr>
        <w:shd w:val="clear" w:color="auto" w:fill="auto"/>
        <w:tabs>
          <w:tab w:pos="465" w:val="left"/>
        </w:tabs>
        <w:bidi w:val="0"/>
        <w:spacing w:before="0" w:after="0"/>
        <w:ind w:left="0" w:right="0" w:firstLine="0"/>
        <w:jc w:val="left"/>
      </w:pPr>
      <w:bookmarkStart w:id="10" w:name="bookmark10"/>
      <w:r>
        <w:rPr>
          <w:rStyle w:val="CharStyle8"/>
          <w:b/>
          <w:bCs/>
        </w:rPr>
        <w:t>Decyzja o środowiskowych uwarunkowaniach – udział społeczeństwa</w:t>
      </w:r>
      <w:bookmarkEnd w:id="10"/>
    </w:p>
    <w:p>
      <w:pPr>
        <w:pStyle w:val="Style2"/>
        <w:keepNext w:val="0"/>
        <w:keepLines w:val="0"/>
        <w:widowControl w:val="0"/>
        <w:shd w:val="clear" w:color="auto" w:fill="auto"/>
        <w:bidi w:val="0"/>
        <w:spacing w:before="0" w:after="0"/>
        <w:ind w:left="0" w:right="0" w:firstLine="0"/>
        <w:jc w:val="left"/>
      </w:pPr>
      <w:r>
        <w:rPr>
          <w:rStyle w:val="CharStyle3"/>
        </w:rPr>
        <w:t>Art. 5 u.i.o.ś. gwarantuje każdemu prawo uczestniczenia w postępowaniu wymagającym udziału społeczeństwa. Przedsięwzięcia:</w:t>
      </w:r>
    </w:p>
    <w:p>
      <w:pPr>
        <w:pStyle w:val="Style2"/>
        <w:keepNext w:val="0"/>
        <w:keepLines w:val="0"/>
        <w:widowControl w:val="0"/>
        <w:shd w:val="clear" w:color="auto" w:fill="auto"/>
        <w:bidi w:val="0"/>
        <w:spacing w:before="0" w:after="0"/>
        <w:ind w:left="340" w:right="0" w:firstLine="0"/>
        <w:jc w:val="left"/>
      </w:pPr>
      <w:r>
        <w:rPr>
          <w:rStyle w:val="CharStyle3"/>
        </w:rPr>
        <w:t>a2) mogące zawsze znacząco oddziaływać na środowisko zawsze poprzedzają konsultacje społeczne, tj. zawsze jest realizowane prawo uczestniczenia każdego w postępowaniu,</w:t>
      </w:r>
    </w:p>
    <w:p>
      <w:pPr>
        <w:pStyle w:val="Style2"/>
        <w:keepNext w:val="0"/>
        <w:keepLines w:val="0"/>
        <w:widowControl w:val="0"/>
        <w:shd w:val="clear" w:color="auto" w:fill="auto"/>
        <w:bidi w:val="0"/>
        <w:spacing w:before="0" w:after="0"/>
        <w:ind w:left="340" w:right="0" w:firstLine="0"/>
        <w:jc w:val="left"/>
      </w:pPr>
      <w:r>
        <w:rPr>
          <w:rStyle w:val="CharStyle3"/>
        </w:rPr>
        <w:t>b2) mogące potencjalnie znacząco oddziaływać na środowisko mogą, ale nie muszą być poprzedzone konsultacjami społecznymi gwarantującymi każdemu uczestniczenie w postępowaniu,</w:t>
      </w:r>
    </w:p>
    <w:p>
      <w:pPr>
        <w:pStyle w:val="Style2"/>
        <w:keepNext w:val="0"/>
        <w:keepLines w:val="0"/>
        <w:widowControl w:val="0"/>
        <w:shd w:val="clear" w:color="auto" w:fill="auto"/>
        <w:bidi w:val="0"/>
        <w:spacing w:before="0" w:after="0"/>
        <w:ind w:left="0" w:right="0" w:firstLine="0"/>
        <w:jc w:val="left"/>
      </w:pPr>
      <w:r>
        <w:rPr>
          <w:rStyle w:val="CharStyle3"/>
        </w:rPr>
        <w:t>– vide art. 71 ust. 1 u.i.o.ś. jako kryterium przeprowadzenia oceny oddziaływania planowanego przedsięwzięcia na środowisko. Prawo uczestniczenia w postępowaniu wymagającym udziału społeczeństwa realizowane jest przez każdego poprzez uprawnienie składania uwag i wniosków nadane art. 29 u.i.o.ś.</w:t>
      </w:r>
    </w:p>
    <w:p>
      <w:pPr>
        <w:pStyle w:val="Style2"/>
        <w:keepNext w:val="0"/>
        <w:keepLines w:val="0"/>
        <w:widowControl w:val="0"/>
        <w:shd w:val="clear" w:color="auto" w:fill="auto"/>
        <w:bidi w:val="0"/>
        <w:spacing w:before="0" w:after="0"/>
        <w:ind w:left="0" w:right="0" w:firstLine="0"/>
        <w:jc w:val="left"/>
      </w:pPr>
      <w:r>
        <w:rPr>
          <w:rStyle w:val="CharStyle3"/>
        </w:rPr>
        <w:t>Podsumowując powyższe:</w:t>
      </w:r>
    </w:p>
    <w:p>
      <w:pPr>
        <w:pStyle w:val="Style2"/>
        <w:keepNext w:val="0"/>
        <w:keepLines w:val="0"/>
        <w:widowControl w:val="0"/>
        <w:shd w:val="clear" w:color="auto" w:fill="auto"/>
        <w:bidi w:val="0"/>
        <w:spacing w:before="0" w:after="140"/>
        <w:ind w:left="340" w:right="0" w:firstLine="0"/>
        <w:jc w:val="left"/>
      </w:pPr>
      <w:r>
        <w:rPr>
          <w:rStyle w:val="CharStyle3"/>
        </w:rPr>
        <w:t>a3) zakres ochrony środowiska sporządzany jest w decyzji środowiskowej w sposób bardziej lub mniej szczegółowy w postępowaniu prowadzonym z domniemaniem udziału społeczeństwa, tj. zapewnieniem każdemu prawa wypowiedzenia się co do planowanego przedsięwzięcia, b3) weryfikacja, czy decyzja środowiskowa została wydana, zawiera także weryfikację, czy podstawowe prawo każdego do wypowiedzenia się zostało zagwarantowane, ewentualnie pominięte.</w:t>
      </w:r>
    </w:p>
    <w:p>
      <w:pPr>
        <w:pStyle w:val="Style2"/>
        <w:keepNext w:val="0"/>
        <w:keepLines w:val="0"/>
        <w:widowControl w:val="0"/>
        <w:numPr>
          <w:ilvl w:val="0"/>
          <w:numId w:val="1"/>
        </w:numPr>
        <w:shd w:val="clear" w:color="auto" w:fill="auto"/>
        <w:tabs>
          <w:tab w:pos="470" w:val="left"/>
        </w:tabs>
        <w:bidi w:val="0"/>
        <w:spacing w:before="0" w:after="0"/>
        <w:ind w:left="0" w:right="0" w:firstLine="0"/>
        <w:jc w:val="left"/>
      </w:pPr>
      <w:r>
        <w:rPr>
          <w:rStyle w:val="CharStyle3"/>
          <w:b/>
          <w:bCs/>
        </w:rPr>
        <w:t>Zadania Inspekcji Ochrony Środowiska – kontrola podmiotów i organów</w:t>
      </w:r>
    </w:p>
    <w:p>
      <w:pPr>
        <w:pStyle w:val="Style2"/>
        <w:keepNext w:val="0"/>
        <w:keepLines w:val="0"/>
        <w:widowControl w:val="0"/>
        <w:numPr>
          <w:ilvl w:val="0"/>
          <w:numId w:val="5"/>
        </w:numPr>
        <w:shd w:val="clear" w:color="auto" w:fill="auto"/>
        <w:tabs>
          <w:tab w:pos="364" w:val="left"/>
        </w:tabs>
        <w:bidi w:val="0"/>
        <w:spacing w:before="0" w:after="0"/>
        <w:ind w:left="0" w:right="0" w:firstLine="0"/>
        <w:jc w:val="left"/>
      </w:pPr>
      <w:r>
        <w:rPr>
          <w:rStyle w:val="CharStyle3"/>
        </w:rPr>
        <w:t>Kontrola podmiotów korzystających ze środowiska.</w:t>
      </w:r>
    </w:p>
    <w:p>
      <w:pPr>
        <w:pStyle w:val="Style2"/>
        <w:keepNext w:val="0"/>
        <w:keepLines w:val="0"/>
        <w:widowControl w:val="0"/>
        <w:shd w:val="clear" w:color="auto" w:fill="auto"/>
        <w:bidi w:val="0"/>
        <w:spacing w:before="0" w:after="0"/>
        <w:ind w:left="0" w:right="0" w:firstLine="0"/>
        <w:jc w:val="left"/>
      </w:pPr>
      <w:r>
        <w:rPr>
          <w:rStyle w:val="CharStyle3"/>
        </w:rPr>
        <w:t>Inspekcja Ochrony Środowiska kontroluje przede wszystkim podmioty korzystające ze środowiska – vide art. 2 ust. 1 ustawy z dnia 20 lipca 1991 roku o Inspekcji Ochrony Środowiska, obecnie Dz.U. z 2024 poz. 425, dalej jako: ustawa o IOŚ. W ramach tej kontroli IOŚ weryfikuje przede wszystkim: „przestrzeganie przepisów o ochronie środowiska”.</w:t>
      </w:r>
    </w:p>
    <w:p>
      <w:pPr>
        <w:pStyle w:val="Style2"/>
        <w:keepNext w:val="0"/>
        <w:keepLines w:val="0"/>
        <w:widowControl w:val="0"/>
        <w:numPr>
          <w:ilvl w:val="0"/>
          <w:numId w:val="5"/>
        </w:numPr>
        <w:shd w:val="clear" w:color="auto" w:fill="auto"/>
        <w:tabs>
          <w:tab w:pos="364" w:val="left"/>
        </w:tabs>
        <w:bidi w:val="0"/>
        <w:spacing w:before="0" w:after="140"/>
        <w:ind w:left="0" w:right="0" w:firstLine="0"/>
        <w:jc w:val="left"/>
      </w:pPr>
      <w:r>
        <w:rPr>
          <w:rStyle w:val="CharStyle3"/>
        </w:rPr>
        <w:t>Kontrola organów wydających decyzje o środowiskowych uwarunkowaniach. Art. 16a ustawy o IOŚ nakłada na Inspekcję Ochrony Środowiska obowiązek sporządzania wystąpień w przypadkach: „stwierdzenia nieprawidłowości w zakresie wydawania decyzji przez organy ochrony środowiska decyzji ustalających warunki korzystania ze środowiska”.</w:t>
      </w:r>
    </w:p>
    <w:p>
      <w:pPr>
        <w:pStyle w:val="Style7"/>
        <w:keepNext/>
        <w:keepLines/>
        <w:widowControl w:val="0"/>
        <w:numPr>
          <w:ilvl w:val="0"/>
          <w:numId w:val="7"/>
        </w:numPr>
        <w:shd w:val="clear" w:color="auto" w:fill="auto"/>
        <w:tabs>
          <w:tab w:pos="412" w:val="left"/>
        </w:tabs>
        <w:bidi w:val="0"/>
        <w:spacing w:before="0" w:after="0"/>
        <w:ind w:left="0" w:right="0" w:firstLine="0"/>
        <w:jc w:val="left"/>
      </w:pPr>
      <w:bookmarkStart w:id="12" w:name="bookmark12"/>
      <w:r>
        <w:rPr>
          <w:rStyle w:val="CharStyle8"/>
          <w:b/>
          <w:bCs/>
        </w:rPr>
        <w:t>Nieprawidłowości w zakresie wydawania decyzji</w:t>
      </w:r>
      <w:bookmarkEnd w:id="12"/>
    </w:p>
    <w:p>
      <w:pPr>
        <w:pStyle w:val="Style2"/>
        <w:keepNext w:val="0"/>
        <w:keepLines w:val="0"/>
        <w:widowControl w:val="0"/>
        <w:shd w:val="clear" w:color="auto" w:fill="auto"/>
        <w:bidi w:val="0"/>
        <w:spacing w:before="0" w:after="0"/>
        <w:ind w:left="0" w:right="0" w:firstLine="0"/>
        <w:jc w:val="left"/>
      </w:pPr>
      <w:r>
        <w:rPr>
          <w:rStyle w:val="CharStyle3"/>
        </w:rPr>
        <w:t>Zakres wydawania decyzji ustalających warunki korzystania ze środowiska wyznacza art. 71 ust. 2 pkt 1 oraz 2 u.i.o.ś. oraz akt wykonawczy, tj. Rozporządzenie 2019, i jest to zamknięty katalog przedsięwzięć określony w Rozporządzeniu 2019. Nieprawidłowości w zakresie wydawania decyzji ustalających warunki korzystania ze środowiska dotyczą więc nieprawidłowości w wydawaniu tych decyzji w przypadku każdego przedsięwzięcia wyszczególnionego Rozporządzeniem 2019. Ze względu na treść ustalanych warunków korzystania ze środowiska katalog nieprawidłowości jest obszerny.</w:t>
      </w:r>
    </w:p>
    <w:p>
      <w:pPr>
        <w:pStyle w:val="Style2"/>
        <w:keepNext w:val="0"/>
        <w:keepLines w:val="0"/>
        <w:widowControl w:val="0"/>
        <w:shd w:val="clear" w:color="auto" w:fill="auto"/>
        <w:bidi w:val="0"/>
        <w:spacing w:before="0" w:after="0"/>
        <w:ind w:left="0" w:right="0" w:firstLine="0"/>
        <w:jc w:val="left"/>
      </w:pPr>
      <w:r>
        <w:rPr>
          <w:rStyle w:val="CharStyle3"/>
        </w:rPr>
        <w:t>W niniejszej petycji Fundacja zwraca uwagę na dwie nieprawidłowości:</w:t>
      </w:r>
    </w:p>
    <w:p>
      <w:pPr>
        <w:pStyle w:val="Style2"/>
        <w:keepNext w:val="0"/>
        <w:keepLines w:val="0"/>
        <w:widowControl w:val="0"/>
        <w:shd w:val="clear" w:color="auto" w:fill="auto"/>
        <w:bidi w:val="0"/>
        <w:spacing w:before="0" w:after="140"/>
        <w:ind w:left="360" w:right="0" w:firstLine="0"/>
        <w:jc w:val="left"/>
      </w:pPr>
      <w:r>
        <w:rPr>
          <w:rStyle w:val="CharStyle3"/>
        </w:rPr>
        <w:t>a4) niezakwalifikowanie planowanego przedsięwzięcia do zakresu przedsięwzięć wskazanych Rozporządzeniem 2019 i wskutek tego pominięcie wydania decyzji ustalającej warunki korzystania ze środowiska, b4) pominięcie konsultacji społecznych, tj. pozbawienie prawa każdego do wypowiedzenia się w sprawie planowanego przedsięwzięcia – nieprawidłowość procesowa.</w:t>
      </w:r>
    </w:p>
    <w:p>
      <w:pPr>
        <w:pStyle w:val="Style7"/>
        <w:keepNext/>
        <w:keepLines/>
        <w:widowControl w:val="0"/>
        <w:numPr>
          <w:ilvl w:val="0"/>
          <w:numId w:val="7"/>
        </w:numPr>
        <w:shd w:val="clear" w:color="auto" w:fill="auto"/>
        <w:tabs>
          <w:tab w:pos="462" w:val="left"/>
        </w:tabs>
        <w:bidi w:val="0"/>
        <w:spacing w:before="0" w:after="0"/>
        <w:ind w:left="0" w:right="0" w:firstLine="0"/>
        <w:jc w:val="left"/>
      </w:pPr>
      <w:bookmarkStart w:id="14" w:name="bookmark14"/>
      <w:r>
        <w:rPr>
          <w:rStyle w:val="CharStyle8"/>
          <w:b/>
          <w:bCs/>
        </w:rPr>
        <w:t>Nieprawidłowości w zakresie wydawania decyzji – kompetencja z art. 16a ustawy o IOŚ</w:t>
      </w:r>
      <w:bookmarkEnd w:id="14"/>
    </w:p>
    <w:p>
      <w:pPr>
        <w:pStyle w:val="Style2"/>
        <w:keepNext w:val="0"/>
        <w:keepLines w:val="0"/>
        <w:widowControl w:val="0"/>
        <w:shd w:val="clear" w:color="auto" w:fill="auto"/>
        <w:bidi w:val="0"/>
        <w:spacing w:before="0" w:after="140"/>
        <w:ind w:left="0" w:right="0" w:firstLine="0"/>
        <w:jc w:val="left"/>
      </w:pPr>
      <w:r>
        <w:rPr>
          <w:rStyle w:val="CharStyle3"/>
        </w:rPr>
        <w:t>Art. 16a ustawy o IOŚ zobowiązuje Inspekcję Ochrony Środowiska do podejmowania stosownych czynności w przypadku stwierdzenia nieprawidłowości w zakresie wydawania decyzji określających warunki korzystania ze środowiska. Kompetencja nadana art. 16a ust. 1 ustawy o IOŚ jest niezwykle szeroka, umożliwia między innymi wystąpienie o stwierdzenie nieważności decyzji środowiskowej, co w konsekwencji skuteczności podjętego wystąpienia doprowadzi do sytuacji, w której decyzja umożliwiająca realizację przedsięwzięcia pozbawiona będzie wymaganej art. 71 ust. 2 pkt 1 i 2 u.i.o.ś. decyzji środowiskowej.</w:t>
      </w:r>
    </w:p>
    <w:p>
      <w:pPr>
        <w:pStyle w:val="Style7"/>
        <w:keepNext/>
        <w:keepLines/>
        <w:widowControl w:val="0"/>
        <w:numPr>
          <w:ilvl w:val="0"/>
          <w:numId w:val="7"/>
        </w:numPr>
        <w:shd w:val="clear" w:color="auto" w:fill="auto"/>
        <w:tabs>
          <w:tab w:pos="538" w:val="left"/>
        </w:tabs>
        <w:bidi w:val="0"/>
        <w:spacing w:before="0" w:after="0"/>
        <w:ind w:left="0" w:right="0" w:firstLine="0"/>
        <w:jc w:val="left"/>
      </w:pPr>
      <w:bookmarkStart w:id="16" w:name="bookmark16"/>
      <w:r>
        <w:rPr>
          <w:rStyle w:val="CharStyle8"/>
          <w:b/>
          <w:bCs/>
        </w:rPr>
        <w:t>Zawartość zbioru „nieprawidłowości”</w:t>
      </w:r>
      <w:bookmarkEnd w:id="16"/>
    </w:p>
    <w:p>
      <w:pPr>
        <w:pStyle w:val="Style2"/>
        <w:keepNext w:val="0"/>
        <w:keepLines w:val="0"/>
        <w:widowControl w:val="0"/>
        <w:shd w:val="clear" w:color="auto" w:fill="auto"/>
        <w:bidi w:val="0"/>
        <w:spacing w:before="0" w:after="0"/>
        <w:ind w:left="0" w:right="0" w:firstLine="0"/>
        <w:jc w:val="left"/>
      </w:pPr>
      <w:r>
        <w:rPr>
          <w:rStyle w:val="CharStyle3"/>
        </w:rPr>
        <w:t>Co ważne, kompetencja z art. 16a ust. 1 ustawy o IOŚ nie odnosi się do zamkniętego zbioru dokumentów urzędowych, tj. wydanych decyzji środowiskowych, a do zbioru znacznie szerszego, określonego jako zbiór nieprawidłowości w procesie określania warunków korzystania ze środowiska dla wskazanych i opisanych w Rozporządzeniu 2019 przedsięwzięć. Tak zakreślony zbiór nieprawidłowości obejmuje wszystkie sytuacje, w których organy ochrony środowiska nie zastosowały przepisów prawa w sposób właściwy, w tym nie wydały decyzji określającej warunki korzystania ze środowiska, do wydania której zobowiązują art. 71 ust. 2 pkt 1 i 2 u.i.o.ś. oraz Rozporządzenie 2019. Nie sposób uznać, że tak scharakteryzowane naruszenie prawa, tj. niewydanie w ogóle wymaganej decyzji, nie stanowi nieprawidłowości w rozumieniu art. 16a ust. 1 ustawy o IOŚ.</w:t>
      </w:r>
    </w:p>
    <w:p>
      <w:pPr>
        <w:pStyle w:val="Style2"/>
        <w:keepNext w:val="0"/>
        <w:keepLines w:val="0"/>
        <w:widowControl w:val="0"/>
        <w:shd w:val="clear" w:color="auto" w:fill="auto"/>
        <w:bidi w:val="0"/>
        <w:spacing w:before="0" w:after="140"/>
        <w:ind w:left="0" w:right="0" w:firstLine="0"/>
        <w:jc w:val="left"/>
      </w:pPr>
      <w:r>
        <w:rPr>
          <w:rStyle w:val="CharStyle3"/>
        </w:rPr>
        <w:t>Kierunek ten znajduje potwierdzenie w praktyce stosowania tego przepisu opisanej w wyroku Wojewódzkiego Sądu Administracyjnego w Gorzowie Wielkopolskim z dnia 26 stycznia 2023 r., sygn. akt II SA/Go 657/22, treść opublikowana w CBOSA. W sprawie tej Wojewódzki Inspektor Ochrony Środowiska, działając na podstawie art. 16a ust. 1 i 2 ustawy o IOŚ, poparł wniosek Regionalnego Dyrektora Ochrony Środowiska o stwierdzenie nieważności decyzji wydanej bez uprzedniego uzyskania wymaganej decyzji o środowiskowych uwarunkowaniach. Sąd, referując podstawę działania WIOŚ, wskazał, że art. 16a ust. 1 ustawy o IOŚ znajduje zastosowanie „w przypadku stwierdzenia nieprawidłowości w zakresie wydawania przez organy ochrony środowiska decyzji ustalających warunki korzystania ze środowiska”.</w:t>
      </w:r>
    </w:p>
    <w:p>
      <w:pPr>
        <w:pStyle w:val="Style7"/>
        <w:keepNext/>
        <w:keepLines/>
        <w:widowControl w:val="0"/>
        <w:numPr>
          <w:ilvl w:val="0"/>
          <w:numId w:val="7"/>
        </w:numPr>
        <w:shd w:val="clear" w:color="auto" w:fill="auto"/>
        <w:tabs>
          <w:tab w:pos="620" w:val="left"/>
        </w:tabs>
        <w:bidi w:val="0"/>
        <w:spacing w:before="0" w:after="0"/>
        <w:ind w:left="0" w:right="0" w:firstLine="0"/>
        <w:jc w:val="left"/>
      </w:pPr>
      <w:bookmarkStart w:id="18" w:name="bookmark18"/>
      <w:r>
        <w:rPr>
          <w:rStyle w:val="CharStyle8"/>
          <w:b/>
          <w:bCs/>
        </w:rPr>
        <w:t>Nieprawidłowości w zakresie wydawania decyzji – brak konsultacji społecznych</w:t>
      </w:r>
      <w:bookmarkEnd w:id="18"/>
    </w:p>
    <w:p>
      <w:pPr>
        <w:pStyle w:val="Style2"/>
        <w:keepNext w:val="0"/>
        <w:keepLines w:val="0"/>
        <w:widowControl w:val="0"/>
        <w:shd w:val="clear" w:color="auto" w:fill="auto"/>
        <w:bidi w:val="0"/>
        <w:spacing w:before="0" w:after="60"/>
        <w:ind w:left="0" w:right="0" w:firstLine="0"/>
        <w:jc w:val="left"/>
      </w:pPr>
      <w:r>
        <w:rPr>
          <w:rStyle w:val="CharStyle3"/>
        </w:rPr>
        <w:t>W niniejszej petycji skutkiem nieprawidłowości w zakresie wydawania decyzji ustalających warunki korzystania ze środowiska, na który Fundacja zwraca uwagę, jest brak przeprowadzenia konsultacji społecznych. Skutek ten z oczywistych względów wystąpi, gdy wymagana decyzja środowiskowa w ogóle nie zostanie wydana. Wówczas określenie zakresu ochrony środowiska w planowanym przedsięwzięciu pozbawione</w:t>
      </w:r>
    </w:p>
    <w:p>
      <w:pPr>
        <w:pStyle w:val="Style2"/>
        <w:keepNext w:val="0"/>
        <w:keepLines w:val="0"/>
        <w:widowControl w:val="0"/>
        <w:shd w:val="clear" w:color="auto" w:fill="auto"/>
        <w:bidi w:val="0"/>
        <w:spacing w:before="0" w:after="140"/>
        <w:ind w:left="0" w:right="0" w:firstLine="0"/>
        <w:jc w:val="left"/>
      </w:pPr>
      <w:r>
        <w:rPr>
          <w:rStyle w:val="CharStyle3"/>
        </w:rPr>
        <w:t>zostaje opinii lokalnej społeczności, której bezpośrednio będzie dotyczyć mniej lub bardziej uciążliwe oddziaływanie planowanego przedsięwzięcia.</w:t>
      </w:r>
    </w:p>
    <w:p>
      <w:pPr>
        <w:pStyle w:val="Style7"/>
        <w:keepNext/>
        <w:keepLines/>
        <w:widowControl w:val="0"/>
        <w:numPr>
          <w:ilvl w:val="0"/>
          <w:numId w:val="7"/>
        </w:numPr>
        <w:shd w:val="clear" w:color="auto" w:fill="auto"/>
        <w:tabs>
          <w:tab w:pos="445" w:val="left"/>
        </w:tabs>
        <w:bidi w:val="0"/>
        <w:spacing w:before="0" w:after="0"/>
        <w:ind w:left="0" w:right="0" w:firstLine="0"/>
        <w:jc w:val="left"/>
      </w:pPr>
      <w:bookmarkStart w:id="20" w:name="bookmark20"/>
      <w:r>
        <w:rPr>
          <w:rStyle w:val="CharStyle8"/>
          <w:b/>
          <w:bCs/>
        </w:rPr>
        <w:t>Ujawnianie braku decyzji środowiskowej w protokołach z kontroli</w:t>
      </w:r>
      <w:bookmarkEnd w:id="20"/>
    </w:p>
    <w:p>
      <w:pPr>
        <w:pStyle w:val="Style2"/>
        <w:keepNext w:val="0"/>
        <w:keepLines w:val="0"/>
        <w:widowControl w:val="0"/>
        <w:shd w:val="clear" w:color="auto" w:fill="auto"/>
        <w:bidi w:val="0"/>
        <w:spacing w:before="0" w:after="140"/>
        <w:ind w:left="0" w:right="0" w:firstLine="0"/>
        <w:jc w:val="left"/>
      </w:pPr>
      <w:r>
        <w:rPr>
          <w:rStyle w:val="CharStyle3"/>
        </w:rPr>
        <w:t>Art. 4a ust. 1 pkt 3 ustawy o IOŚ upoważnia GIOŚ do ustalenia zakresu podejmowanych czynności. Niniejsza petycja Fundacji dotyczy jednoznacznego zobowiązania przez GIOŚ wojewódzkich inspektorów ochrony środowiska do weryfikowania w pierwszej kolejności w czasie każdej kontroli faktu wydania decyzji określającej środowiskowe uwarunkowania zgodnie z katalogiem przedsięwzięć wyszczególnionych w Rozporządzeniu 2019. Dokonanie tej weryfikacji winno być odnotowywane w sporządzanym protokole z kontroli.</w:t>
      </w:r>
    </w:p>
    <w:p>
      <w:pPr>
        <w:pStyle w:val="Style7"/>
        <w:keepNext/>
        <w:keepLines/>
        <w:widowControl w:val="0"/>
        <w:numPr>
          <w:ilvl w:val="0"/>
          <w:numId w:val="7"/>
        </w:numPr>
        <w:shd w:val="clear" w:color="auto" w:fill="auto"/>
        <w:tabs>
          <w:tab w:pos="387" w:val="left"/>
        </w:tabs>
        <w:bidi w:val="0"/>
        <w:spacing w:before="0" w:after="0"/>
        <w:ind w:left="0" w:right="0" w:firstLine="0"/>
        <w:jc w:val="left"/>
      </w:pPr>
      <w:bookmarkStart w:id="22" w:name="bookmark22"/>
      <w:r>
        <w:rPr>
          <w:rStyle w:val="CharStyle8"/>
          <w:b/>
          <w:bCs/>
        </w:rPr>
        <w:t>Roczne sprawozdania przedkładane Ministrowi</w:t>
      </w:r>
      <w:bookmarkEnd w:id="22"/>
    </w:p>
    <w:p>
      <w:pPr>
        <w:pStyle w:val="Style2"/>
        <w:keepNext w:val="0"/>
        <w:keepLines w:val="0"/>
        <w:widowControl w:val="0"/>
        <w:shd w:val="clear" w:color="auto" w:fill="auto"/>
        <w:bidi w:val="0"/>
        <w:spacing w:before="0" w:after="0"/>
        <w:ind w:left="0" w:right="0" w:firstLine="0"/>
        <w:jc w:val="left"/>
      </w:pPr>
      <w:r>
        <w:rPr>
          <w:rStyle w:val="CharStyle3"/>
        </w:rPr>
        <w:t>Przedkładane Ministrowi Klimatu na podstawie zobowiązania stypizowanego art. 4a ust. 1 pkt 9 ustawy o IOŚ roczne sprawozdania za lata 2022, 2023 oraz 2024 zawierają:</w:t>
      </w:r>
    </w:p>
    <w:p>
      <w:pPr>
        <w:pStyle w:val="Style2"/>
        <w:keepNext w:val="0"/>
        <w:keepLines w:val="0"/>
        <w:widowControl w:val="0"/>
        <w:shd w:val="clear" w:color="auto" w:fill="auto"/>
        <w:bidi w:val="0"/>
        <w:spacing w:before="0" w:after="0"/>
        <w:ind w:left="320" w:right="0" w:firstLine="20"/>
        <w:jc w:val="left"/>
      </w:pPr>
      <w:r>
        <w:rPr>
          <w:rStyle w:val="CharStyle3"/>
        </w:rPr>
        <w:t>a5) za rok 2022 w punkcie 3.3.26: „Kontrole przestrzegania decyzji o środowiskowych uwarunkowaniach”, wśród najczęściej stwierdzanych naruszeń wskazanie realizacji przedsięwzięcia bez uzyskania wymaganej decyzji o środowiskowych uwarunkowaniach,</w:t>
      </w:r>
    </w:p>
    <w:p>
      <w:pPr>
        <w:pStyle w:val="Style2"/>
        <w:keepNext w:val="0"/>
        <w:keepLines w:val="0"/>
        <w:widowControl w:val="0"/>
        <w:shd w:val="clear" w:color="auto" w:fill="auto"/>
        <w:bidi w:val="0"/>
        <w:spacing w:before="0" w:after="0"/>
        <w:ind w:left="320" w:right="0" w:firstLine="20"/>
        <w:jc w:val="left"/>
      </w:pPr>
      <w:r>
        <w:rPr>
          <w:rStyle w:val="CharStyle3"/>
        </w:rPr>
        <w:t>b5) za rok 2023 w punkcie 3.3.25: „Kontrole przestrzegania decyzji o środowiskowych uwarunkowaniach” wskazanie braku decyzji o środowiskowych uwarunkowaniach dla zrealizowanego przedsięwzięcia, bez określenia rozmiaru tego zjawiska, c5) za rok 2024 nie zawierają już generalnego odniesienia do stwierdzanych w czasie kontroli, a wymaganych przepisami art. 71 ust. 1 i 2 u.i.o.ś. oraz Rozporządzenia 2019, braków posiadania decyzji środowiskowych; w Załączniku nr 2 omawiany jest jedynie jeden przykład uruchomienia mobilnej instalacji bez posiadania decyzji środowiskowej.</w:t>
      </w:r>
    </w:p>
    <w:p>
      <w:pPr>
        <w:pStyle w:val="Style2"/>
        <w:keepNext w:val="0"/>
        <w:keepLines w:val="0"/>
        <w:widowControl w:val="0"/>
        <w:shd w:val="clear" w:color="auto" w:fill="auto"/>
        <w:bidi w:val="0"/>
        <w:spacing w:before="0" w:after="140"/>
        <w:ind w:left="0" w:right="0" w:firstLine="0"/>
        <w:jc w:val="left"/>
      </w:pPr>
      <w:r>
        <w:rPr>
          <w:rStyle w:val="CharStyle3"/>
        </w:rPr>
        <w:t>Z powyższego zestawienia wynika, że kontrola faktu wydania decyzji środowiskowych umożliwiających uzyskanie decyzji umożliwiających podjęcie działalności w zakresie katalogu przedsięwzięć wyszczególnionego w Rozporządzeniu 2019, jeszcze aktywna w roku 2022, w roku 2024 nie odnalazła w sprawozdaniu złożonym Ministrowi Klimatu swojego odzwierciedlenia.</w:t>
      </w:r>
    </w:p>
    <w:p>
      <w:pPr>
        <w:pStyle w:val="Style7"/>
        <w:keepNext/>
        <w:keepLines/>
        <w:widowControl w:val="0"/>
        <w:numPr>
          <w:ilvl w:val="0"/>
          <w:numId w:val="7"/>
        </w:numPr>
        <w:shd w:val="clear" w:color="auto" w:fill="auto"/>
        <w:tabs>
          <w:tab w:pos="464" w:val="left"/>
        </w:tabs>
        <w:bidi w:val="0"/>
        <w:spacing w:before="0" w:after="0"/>
        <w:ind w:left="0" w:right="0" w:firstLine="0"/>
        <w:jc w:val="left"/>
      </w:pPr>
      <w:bookmarkStart w:id="24" w:name="bookmark24"/>
      <w:r>
        <w:rPr>
          <w:rStyle w:val="CharStyle8"/>
          <w:b/>
          <w:bCs/>
        </w:rPr>
        <w:t>Wniosek na wypadek uznania niewłaściwości</w:t>
      </w:r>
      <w:bookmarkEnd w:id="24"/>
    </w:p>
    <w:p>
      <w:pPr>
        <w:pStyle w:val="Style2"/>
        <w:keepNext w:val="0"/>
        <w:keepLines w:val="0"/>
        <w:widowControl w:val="0"/>
        <w:shd w:val="clear" w:color="auto" w:fill="auto"/>
        <w:bidi w:val="0"/>
        <w:spacing w:before="0" w:after="140"/>
        <w:ind w:left="0" w:right="0" w:firstLine="0"/>
        <w:jc w:val="left"/>
      </w:pPr>
      <w:r>
        <w:rPr>
          <w:rStyle w:val="CharStyle3"/>
        </w:rPr>
        <w:t>W razie uznania, że Główny Inspektor Ochrony Środowiska nie jest właściwy do rozpatrzenia niniejszej petycji w całości albo w części, Fundacja wnosi o przekazanie petycji właściwemu podmiotowi w trybie art. 6 ust. 1 albo art. 6 ust. 2 ustawy o petycjach, z równoczesnym zawiadomieniem Fundacji. Fundacja wnosi również, aby w takim przypadku organ wskazał, w jakim zakresie uznaje się za niewłaściwy oraz jaki podmiot jest właściwy do rozpatrzenia petycji.</w:t>
      </w:r>
    </w:p>
    <w:p>
      <w:pPr>
        <w:pStyle w:val="Style7"/>
        <w:keepNext/>
        <w:keepLines/>
        <w:widowControl w:val="0"/>
        <w:numPr>
          <w:ilvl w:val="0"/>
          <w:numId w:val="7"/>
        </w:numPr>
        <w:shd w:val="clear" w:color="auto" w:fill="auto"/>
        <w:tabs>
          <w:tab w:pos="541" w:val="left"/>
        </w:tabs>
        <w:bidi w:val="0"/>
        <w:spacing w:before="0" w:after="0"/>
        <w:ind w:left="0" w:right="0" w:firstLine="0"/>
        <w:jc w:val="left"/>
      </w:pPr>
      <w:bookmarkStart w:id="26" w:name="bookmark26"/>
      <w:r>
        <w:rPr>
          <w:rStyle w:val="CharStyle8"/>
          <w:b/>
          <w:bCs/>
        </w:rPr>
        <w:t>Wniosek na wypadek wątpliwości co do treści żądania</w:t>
      </w:r>
      <w:bookmarkEnd w:id="26"/>
    </w:p>
    <w:p>
      <w:pPr>
        <w:pStyle w:val="Style2"/>
        <w:keepNext w:val="0"/>
        <w:keepLines w:val="0"/>
        <w:widowControl w:val="0"/>
        <w:shd w:val="clear" w:color="auto" w:fill="auto"/>
        <w:bidi w:val="0"/>
        <w:spacing w:before="0" w:after="60"/>
        <w:ind w:left="0" w:right="0" w:firstLine="0"/>
        <w:jc w:val="left"/>
      </w:pPr>
      <w:r>
        <w:rPr>
          <w:rStyle w:val="CharStyle3"/>
        </w:rPr>
        <w:t>W razie uznania, że treść niniejszej petycji wymaga doprecyzowania lub wyjaśnienia, Fundacja wnosi o wezwanie do wyjaśnienia treści petycji w trybie art. 7 ust. 2 ustawy o petycjach. Fundacja wnosi, aby organ nie kwalifikował niniejszego pisma jako wystąpienia niepodlegającego rozpatrzeniu w trybie ustawy o petycjach bez uprzedniego umożliwienia Fundacji doprecyzowania treści żądania.</w:t>
      </w:r>
    </w:p>
    <w:p>
      <w:pPr>
        <w:pStyle w:val="Style7"/>
        <w:keepNext/>
        <w:keepLines/>
        <w:widowControl w:val="0"/>
        <w:numPr>
          <w:ilvl w:val="0"/>
          <w:numId w:val="7"/>
        </w:numPr>
        <w:shd w:val="clear" w:color="auto" w:fill="auto"/>
        <w:tabs>
          <w:tab w:pos="680" w:val="left"/>
        </w:tabs>
        <w:bidi w:val="0"/>
        <w:spacing w:before="0" w:after="0" w:line="240" w:lineRule="auto"/>
        <w:ind w:left="0" w:right="0" w:firstLine="0"/>
        <w:jc w:val="left"/>
      </w:pPr>
      <w:bookmarkStart w:id="28" w:name="bookmark28"/>
      <w:r>
        <w:rPr>
          <w:rStyle w:val="CharStyle8"/>
          <w:b/>
          <w:bCs/>
        </w:rPr>
        <w:t>Wnioski końcowe</w:t>
      </w:r>
      <w:bookmarkEnd w:id="28"/>
    </w:p>
    <w:p>
      <w:pPr>
        <w:pStyle w:val="Style2"/>
        <w:keepNext w:val="0"/>
        <w:keepLines w:val="0"/>
        <w:widowControl w:val="0"/>
        <w:shd w:val="clear" w:color="auto" w:fill="auto"/>
        <w:bidi w:val="0"/>
        <w:spacing w:before="0" w:after="0"/>
        <w:ind w:left="0" w:right="0" w:firstLine="0"/>
        <w:jc w:val="left"/>
      </w:pPr>
      <w:r>
        <w:rPr>
          <w:rStyle w:val="CharStyle3"/>
        </w:rPr>
        <w:t>Mając powyższe na względzie, Fundacja wnosi o:</w:t>
      </w:r>
    </w:p>
    <w:p>
      <w:pPr>
        <w:pStyle w:val="Style2"/>
        <w:keepNext w:val="0"/>
        <w:keepLines w:val="0"/>
        <w:widowControl w:val="0"/>
        <w:shd w:val="clear" w:color="auto" w:fill="auto"/>
        <w:bidi w:val="0"/>
        <w:spacing w:before="0" w:after="0"/>
        <w:ind w:left="0" w:right="0" w:firstLine="360"/>
        <w:jc w:val="left"/>
      </w:pPr>
      <w:r>
        <w:rPr>
          <w:rStyle w:val="CharStyle3"/>
        </w:rPr>
        <w:t>– rozpatrzenie niniejszej petycji w trybie ustawy o petycjach;</w:t>
      </w:r>
    </w:p>
    <w:p>
      <w:pPr>
        <w:pStyle w:val="Style2"/>
        <w:keepNext w:val="0"/>
        <w:keepLines w:val="0"/>
        <w:widowControl w:val="0"/>
        <w:shd w:val="clear" w:color="auto" w:fill="auto"/>
        <w:bidi w:val="0"/>
        <w:spacing w:before="0" w:after="0"/>
        <w:ind w:left="360" w:right="0" w:firstLine="0"/>
        <w:jc w:val="left"/>
      </w:pPr>
      <w:r>
        <w:rPr>
          <w:rStyle w:val="CharStyle3"/>
        </w:rPr>
        <w:t>– zamieszczenie informacji o jej wniesieniu na stronie internetowej Głównego Inspektoratu Ochrony Środowiska, zgodnie z art. 8 ust. 1–2 ustawy o petycjach; – podjęcie działania systemowego opisanego w niniejszej petycji;</w:t>
      </w:r>
    </w:p>
    <w:p>
      <w:pPr>
        <w:pStyle w:val="Style2"/>
        <w:keepNext w:val="0"/>
        <w:keepLines w:val="0"/>
        <w:widowControl w:val="0"/>
        <w:shd w:val="clear" w:color="auto" w:fill="auto"/>
        <w:bidi w:val="0"/>
        <w:spacing w:before="0"/>
        <w:ind w:left="360" w:right="0" w:firstLine="0"/>
        <w:jc w:val="left"/>
      </w:pPr>
      <w:r>
        <w:rPr>
          <w:rStyle w:val="CharStyle3"/>
        </w:rPr>
        <w:t>– zawiadomienie Fundacji o sposobie załatwienia petycji wraz z uzasadnieniem, zgodnie z art. 13 ust. 1 ustawy o petycjach.</w:t>
      </w:r>
    </w:p>
    <w:p>
      <w:pPr>
        <w:pStyle w:val="Style7"/>
        <w:keepNext/>
        <w:keepLines/>
        <w:widowControl w:val="0"/>
        <w:numPr>
          <w:ilvl w:val="0"/>
          <w:numId w:val="7"/>
        </w:numPr>
        <w:shd w:val="clear" w:color="auto" w:fill="auto"/>
        <w:tabs>
          <w:tab w:pos="685" w:val="left"/>
        </w:tabs>
        <w:bidi w:val="0"/>
        <w:spacing w:before="0" w:after="0"/>
        <w:ind w:left="0" w:right="0" w:firstLine="0"/>
        <w:jc w:val="left"/>
      </w:pPr>
      <w:bookmarkStart w:id="30" w:name="bookmark30"/>
      <w:r>
        <w:rPr>
          <w:rStyle w:val="CharStyle8"/>
          <w:b/>
          <w:bCs/>
        </w:rPr>
        <w:t>Zgoda Fundacji na publikację petycji</w:t>
      </w:r>
      <w:bookmarkEnd w:id="30"/>
    </w:p>
    <w:p>
      <w:pPr>
        <w:pStyle w:val="Style2"/>
        <w:keepNext w:val="0"/>
        <w:keepLines w:val="0"/>
        <w:widowControl w:val="0"/>
        <w:shd w:val="clear" w:color="auto" w:fill="auto"/>
        <w:bidi w:val="0"/>
        <w:spacing w:before="0"/>
        <w:ind w:left="0" w:right="0" w:firstLine="0"/>
        <w:jc w:val="left"/>
      </w:pPr>
      <w:r>
        <w:rPr>
          <w:rStyle w:val="CharStyle3"/>
        </w:rPr>
        <w:t>Fundacja Obywatel To Nie Odpad, działając na podstawie art. 4 ust. 3 ustawy o petycjach, wyraża zgodę na ujawnienie na stronie internetowej podmiotu rozpatrującego petycję danych identyfikujących Fundację, w tym jej nazwy i danych adresowych wskazanych w niniejszym piśmie. Zgoda obejmuje publikację informacji o wniesieniu petycji, w tym odwzorowania cyfrowego petycji, daty jej złożenia oraz nazwy podmiotu wnoszącego petycję, zgodnie z art. 8 ust. 1–2 ustawy o petycjach. Fundacja wnosi zarazem o niezwłoczne zamieszczenie na stronie internetowej Głównego Inspektoratu Ochrony Środowiska informacji o wniesieniu niniejszej petycji oraz o aktualizowanie tej informacji o dane dotyczące przebiegu jej rozpatrywania, w szczególności dotyczące zasięganych opinii, przewidywanego terminu oraz sposobu załatwienia petycji.</w:t>
      </w:r>
    </w:p>
    <w:p>
      <w:pPr>
        <w:pStyle w:val="Style2"/>
        <w:keepNext w:val="0"/>
        <w:keepLines w:val="0"/>
        <w:widowControl w:val="0"/>
        <w:shd w:val="clear" w:color="auto" w:fill="auto"/>
        <w:bidi w:val="0"/>
        <w:spacing w:before="0"/>
        <w:ind w:left="0" w:right="0" w:firstLine="0"/>
        <w:jc w:val="left"/>
      </w:pPr>
      <w:r>
        <w:rPr>
          <w:rStyle w:val="CharStyle3"/>
        </w:rPr>
        <w:t>* u.i.o.ś. – ustawa z dnia 3 października 2008 roku o udostępnianiu informacji o środowisku i jego ochronie, obecnie tekst Dz.U. z 2024 poz. 1112.</w:t>
      </w:r>
    </w:p>
    <w:p>
      <w:pPr>
        <w:pStyle w:val="Style2"/>
        <w:keepNext w:val="0"/>
        <w:keepLines w:val="0"/>
        <w:widowControl w:val="0"/>
        <w:shd w:val="clear" w:color="auto" w:fill="auto"/>
        <w:bidi w:val="0"/>
        <w:spacing w:before="0"/>
        <w:ind w:left="0" w:right="0" w:firstLine="0"/>
        <w:jc w:val="left"/>
      </w:pPr>
      <w:r>
        <w:rPr>
          <w:rStyle w:val="CharStyle3"/>
        </w:rPr>
        <w:t>Z poważaniem,</w:t>
      </w:r>
    </w:p>
    <w:sectPr>
      <w:footerReference w:type="default" r:id="rId5"/>
      <w:footnotePr>
        <w:pos w:val="pageBottom"/>
        <w:numFmt w:val="decimal"/>
        <w:numRestart w:val="continuous"/>
      </w:footnotePr>
      <w:pgSz w:w="12240" w:h="15840"/>
      <w:pgMar w:top="1163" w:right="1415" w:bottom="1019" w:left="1383" w:header="735"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3853180</wp:posOffset>
              </wp:positionH>
              <wp:positionV relativeFrom="page">
                <wp:posOffset>9496425</wp:posOffset>
              </wp:positionV>
              <wp:extent cx="76200" cy="97790"/>
              <wp:wrapNone/>
              <wp:docPr id="1" name="Shape 1"/>
              <a:graphic xmlns:a="http://schemas.openxmlformats.org/drawingml/2006/main">
                <a:graphicData uri="http://schemas.microsoft.com/office/word/2010/wordprocessingShape">
                  <wps:wsp>
                    <wps:cNvSpPr txBox="1"/>
                    <wps:spPr>
                      <a:xfrm>
                        <a:ext cx="76200" cy="977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Style w:val="CharStyle5"/>
                                <w:rFonts w:ascii="Arial" w:eastAsia="Arial" w:hAnsi="Arial" w:cs="Arial"/>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03.40000000000003pt;margin-top:747.75pt;width:6.pt;height:7.7000000000000002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Style w:val="CharStyle5"/>
                          <w:rFonts w:ascii="Arial" w:eastAsia="Arial" w:hAnsi="Arial" w:cs="Arial"/>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4">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6">
    <w:multiLevelType w:val="multilevel"/>
    <w:lvl w:ilvl="0">
      <w:start w:val="5"/>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5">
    <w:name w:val="Header or footer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Heading #1_"/>
    <w:basedOn w:val="DefaultParagraphFont"/>
    <w:link w:val="Style7"/>
    <w:rPr>
      <w:rFonts w:ascii="Arial" w:eastAsia="Arial" w:hAnsi="Arial" w:cs="Arial"/>
      <w:b/>
      <w:bCs/>
      <w:i w:val="0"/>
      <w:iCs w:val="0"/>
      <w:smallCaps w:val="0"/>
      <w:strike w:val="0"/>
      <w:sz w:val="20"/>
      <w:szCs w:val="20"/>
      <w:u w:val="none"/>
    </w:rPr>
  </w:style>
  <w:style w:type="paragraph" w:styleId="Style2">
    <w:name w:val="Body text"/>
    <w:basedOn w:val="Normal"/>
    <w:link w:val="CharStyle3"/>
    <w:qFormat/>
    <w:pPr>
      <w:widowControl w:val="0"/>
      <w:shd w:val="clear" w:color="auto" w:fill="auto"/>
      <w:spacing w:after="100" w:line="276" w:lineRule="auto"/>
    </w:pPr>
    <w:rPr>
      <w:rFonts w:ascii="Arial" w:eastAsia="Arial" w:hAnsi="Arial" w:cs="Arial"/>
      <w:b w:val="0"/>
      <w:bCs w:val="0"/>
      <w:i w:val="0"/>
      <w:iCs w:val="0"/>
      <w:smallCaps w:val="0"/>
      <w:strike w:val="0"/>
      <w:sz w:val="20"/>
      <w:szCs w:val="20"/>
      <w:u w:val="none"/>
    </w:rPr>
  </w:style>
  <w:style w:type="paragraph" w:customStyle="1" w:styleId="Style4">
    <w:name w:val="Header or footer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Heading #1"/>
    <w:basedOn w:val="Normal"/>
    <w:link w:val="CharStyle8"/>
    <w:pPr>
      <w:widowControl w:val="0"/>
      <w:shd w:val="clear" w:color="auto" w:fill="auto"/>
      <w:spacing w:line="276" w:lineRule="auto"/>
      <w:outlineLvl w:val="0"/>
    </w:pPr>
    <w:rPr>
      <w:rFonts w:ascii="Arial" w:eastAsia="Arial" w:hAnsi="Arial" w:cs="Arial"/>
      <w:b/>
      <w:bCs/>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python-docx</dc:creator>
  <cp:keywords/>
</cp:coreProperties>
</file>