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5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DLŁ-WNO.053.8.2026.AP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4366637.18405296.14847135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8"/>
        </w:rPr>
        <w:t>Warszawa, 23-07-2026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40" w:line="264" w:lineRule="auto"/>
        <w:ind w:left="0" w:right="0" w:firstLine="0"/>
        <w:jc w:val="both"/>
      </w:pPr>
      <w:r>
        <w:rPr>
          <w:rStyle w:val="CharStyle8"/>
          <w:b/>
          <w:bCs/>
        </w:rPr>
        <w:t xml:space="preserve">Dotyczy: </w:t>
      </w:r>
      <w:r>
        <w:rPr>
          <w:rStyle w:val="CharStyle8"/>
        </w:rPr>
        <w:t>Zawiadomienie o sposobie załatwienia petycji</w:t>
      </w:r>
      <w:r>
        <w:rPr>
          <w:rStyle w:val="CharStyle8"/>
          <w:vertAlign w:val="superscript"/>
        </w:rPr>
        <w:t>1</w:t>
      </w:r>
      <w:r>
        <w:rPr>
          <w:rStyle w:val="CharStyle8"/>
        </w:rPr>
        <w:t xml:space="preserve"> o doprecyzowanie ustawy z dnia 13 października 1995 r. – </w:t>
      </w:r>
      <w:r>
        <w:rPr>
          <w:rStyle w:val="CharStyle8"/>
          <w:i/>
          <w:iCs/>
        </w:rPr>
        <w:t>Prawo łowieckie</w:t>
      </w:r>
      <w:r>
        <w:rPr>
          <w:rStyle w:val="CharStyle8"/>
          <w:i/>
          <w:iCs/>
          <w:vertAlign w:val="superscript"/>
        </w:rPr>
        <w:t>2</w:t>
      </w:r>
      <w:r>
        <w:rPr>
          <w:rStyle w:val="CharStyle8"/>
        </w:rPr>
        <w:t xml:space="preserve"> i Rozporządzenia z dnia 16 kwietnia 2019 r. </w:t>
      </w:r>
      <w:r>
        <w:rPr>
          <w:rStyle w:val="CharStyle8"/>
          <w:i/>
          <w:iCs/>
        </w:rPr>
        <w:t>w sprawie szczegółowych warunków szacowania szkód w uprawach i płodach rolnych, w zakresie dotyczącym procesu szacowania szkód łowieckich</w:t>
      </w:r>
      <w:r>
        <w:rPr>
          <w:rStyle w:val="CharStyle8"/>
          <w:i/>
          <w:iCs/>
          <w:vertAlign w:val="superscript"/>
        </w:rPr>
        <w:t>3</w:t>
      </w:r>
      <w:r>
        <w:rPr>
          <w:rStyle w:val="CharStyle8"/>
        </w:rPr>
        <w:t xml:space="preserve"> oraz procedury tworzenia obwodów łowieckich.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20" w:line="240" w:lineRule="auto"/>
        <w:ind w:left="0" w:right="0" w:firstLine="0"/>
        <w:jc w:val="both"/>
      </w:pPr>
      <w:r>
        <w:rPr>
          <w:rStyle w:val="CharStyle8"/>
          <w:b/>
          <w:bCs/>
        </w:rPr>
        <w:t>Pan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Szanowny Panie Dyrektorze,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86" w:lineRule="auto"/>
        <w:ind w:left="0" w:right="0" w:firstLine="0"/>
        <w:jc w:val="both"/>
      </w:pPr>
      <w:r>
        <w:rPr>
          <w:rStyle w:val="CharStyle8"/>
        </w:rPr>
        <w:t xml:space="preserve">po przeanalizowaniu przesłanej petycji informujemy, że na chwilę obecną została ona </w:t>
      </w:r>
      <w:r>
        <w:rPr>
          <w:rStyle w:val="CharStyle8"/>
          <w:b/>
          <w:bCs/>
        </w:rPr>
        <w:t>częściowo uwzględniona</w:t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W pierwszej kolejności chcemy zapewnić, że Ministerstwo Klimatu i Środowiska dostrzega istniejące problemy wynikające z nieprecyzyjnych regulacji prawnych, związanych z realizacją nałożonego obowiązku szacowania szkód łowieckich przez podmioty reprezentujące Skarb Państwa.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Jednocześnie informujemy, że postulaty zgłoszone przez Urząd Marszałkowski były przedmiotem analizy </w:t>
      </w:r>
      <w:r>
        <w:rPr>
          <w:rStyle w:val="CharStyle8"/>
          <w:i/>
          <w:iCs/>
        </w:rPr>
        <w:t>Zespołu ds. zmian systemowych w łowiectwie,</w:t>
      </w:r>
      <w:r>
        <w:rPr>
          <w:rStyle w:val="CharStyle8"/>
        </w:rPr>
        <w:t xml:space="preserve"> jako organu opiniodawczo-doradczego Ministra Klimatu i Środowiska, powołanego w celu analizy istniejących rozwiązań prawnych i wypracowania rekomendacji do zmian przepisów prawa. Rekomendacje do zmian przepisów prawa, opracowane przez </w:t>
      </w:r>
      <w:r>
        <w:rPr>
          <w:rStyle w:val="CharStyle8"/>
          <w:i/>
          <w:iCs/>
        </w:rPr>
        <w:t>Zespół</w:t>
      </w:r>
      <w:r>
        <w:rPr>
          <w:rStyle w:val="CharStyle8"/>
        </w:rPr>
        <w:t>, zostały przekazane do akceptacji Kierownictwa Ministerstwa Klimatu i Środowiska.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Odnosząc się kolejno do zgłoszonych propozycji, przedstawiamy następujące wyjaśnienia.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Nie widzimy dodatkowego uzasadnienia dla dopisania w art. 46 ust. 3 – ustawy </w:t>
      </w:r>
      <w:r>
        <w:rPr>
          <w:rStyle w:val="CharStyle8"/>
          <w:i/>
          <w:iCs/>
        </w:rPr>
        <w:t>Prawo łowieckie</w:t>
      </w:r>
      <w:r>
        <w:rPr>
          <w:rStyle w:val="CharStyle8"/>
        </w:rPr>
        <w:t xml:space="preserve"> obowiązku dołączania do wniosku o oszacowanie szkody dokumentu potwierdzającego tytuł prawny do władania danym gruntem.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90" w:lineRule="auto"/>
        <w:ind w:left="0" w:right="0" w:firstLine="0"/>
        <w:jc w:val="both"/>
      </w:pPr>
      <w:r>
        <w:rPr>
          <w:rStyle w:val="CharStyle8"/>
        </w:rPr>
        <w:t xml:space="preserve">Obecny zakres wniosku o szacowanie szkody ustala ustawa – </w:t>
      </w:r>
      <w:r>
        <w:rPr>
          <w:rStyle w:val="CharStyle8"/>
          <w:i/>
          <w:iCs/>
        </w:rPr>
        <w:t>Prawo łowieckie</w:t>
      </w:r>
      <w:r>
        <w:rPr>
          <w:rStyle w:val="CharStyle8"/>
        </w:rPr>
        <w:t>. Wniosek ten powinien zawierać w szczególności: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8" w:val="left"/>
        </w:tabs>
        <w:bidi w:val="0"/>
        <w:spacing w:before="0" w:line="290" w:lineRule="auto"/>
        <w:ind w:left="0" w:right="0" w:firstLine="0"/>
        <w:jc w:val="both"/>
      </w:pPr>
      <w:r>
        <w:rPr>
          <w:rStyle w:val="CharStyle8"/>
        </w:rPr>
        <w:t>imię i nazwisko albo nazwę, adres miejsca zamieszkania albo adres i siedzibę oraz numer telefonu właściciela albo posiadacza gruntów rolnych;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9" w:val="left"/>
        </w:tabs>
        <w:bidi w:val="0"/>
        <w:spacing w:before="0"/>
        <w:ind w:left="0" w:right="0" w:firstLine="0"/>
        <w:jc w:val="both"/>
      </w:pPr>
      <w:r>
        <w:rPr>
          <w:rStyle w:val="CharStyle8"/>
        </w:rPr>
        <w:t>wskazanie miejsca wystąpienia szkody;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4" w:val="left"/>
        </w:tabs>
        <w:bidi w:val="0"/>
        <w:spacing w:before="0" w:after="280"/>
        <w:ind w:left="0" w:right="0" w:firstLine="0"/>
        <w:jc w:val="both"/>
      </w:pPr>
      <w:r>
        <w:rPr>
          <w:rStyle w:val="CharStyle8"/>
        </w:rPr>
        <w:t>wskazanie rodzaju uszkodzonej uprawy lub płodu rolnego.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Z dnia 11 maja 2026 r.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5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Dz. U. z 2025 r., poz. 539 z późn. zm.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58" w:val="left"/>
        </w:tabs>
        <w:bidi w:val="0"/>
        <w:spacing w:before="0" w:after="500" w:line="240" w:lineRule="auto"/>
        <w:ind w:left="0" w:right="0" w:firstLine="0"/>
        <w:jc w:val="both"/>
      </w:pPr>
      <w:r>
        <w:rPr>
          <w:rStyle w:val="CharStyle3"/>
        </w:rPr>
        <w:t>Dz. U. z 2019 r., poz. 776.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3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3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  <w:sz w:val="16"/>
          <w:szCs w:val="16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both"/>
        <w:rPr>
          <w:sz w:val="16"/>
          <w:szCs w:val="1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55" w:bottom="482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6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9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6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</w:rPr>
        <w:t>www.gov.pl/klimat</w:t>
      </w:r>
      <w:r>
        <w:fldChar w:fldCharType="end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Użycie sformułowania „w szczególności” oznacza, że organ reprezentujący Skarb Państwa - w przypadku niejasności związanych z problemami z potwierdzaniem prawa własności do danej nieruchomości lub uprawy - może wystąpić o dodatkowe uzupełnienie wniosku w tym zakresie, bez potrzeby zmiany przepisów.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Nie przychylamy się również do propozycji wydłużenia okresu na dokonanie oględzin danej uszkodzonej uprawy do 14 dni kalendarzowych. W sezonie wegetacyjnym, w przypadku takiego wydłużenia okresu na dokonanie oględzin od daty zgłoszenia szkody, dana uprawa może się rozwinąć na tyle, że będą istniały poważne trudności z dokonaniem oceny realnych szkód.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86" w:lineRule="auto"/>
        <w:ind w:left="0" w:right="0" w:firstLine="0"/>
        <w:jc w:val="both"/>
      </w:pPr>
      <w:r>
        <w:rPr>
          <w:rStyle w:val="CharStyle8"/>
        </w:rPr>
        <w:t xml:space="preserve">Natomiast </w:t>
      </w:r>
      <w:r>
        <w:rPr>
          <w:rStyle w:val="CharStyle8"/>
          <w:b/>
          <w:bCs/>
        </w:rPr>
        <w:t xml:space="preserve">propozycję wprowadzenia dodatkowego obowiązku informowania właściwego terytorialnie marszałka województwa przez starostę o złożeniu i cofnięciu oświadczenia o zakazie wykonywania polowania uważamy za słuszną </w:t>
      </w:r>
      <w:r>
        <w:rPr>
          <w:rStyle w:val="CharStyle8"/>
        </w:rPr>
        <w:t>z uwagi na obowiązki związane z szacowaniem szkód nałożonych na marszałków.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Widzimy także </w:t>
      </w:r>
      <w:r>
        <w:rPr>
          <w:rStyle w:val="CharStyle8"/>
          <w:b/>
          <w:bCs/>
        </w:rPr>
        <w:t xml:space="preserve">potrzebę rozszerzenia art. 48 pkt 6 ustawy – </w:t>
      </w:r>
      <w:r>
        <w:rPr>
          <w:rStyle w:val="CharStyle8"/>
          <w:b/>
          <w:bCs/>
          <w:i/>
          <w:iCs/>
        </w:rPr>
        <w:t>Prawo łowieckie,</w:t>
      </w:r>
      <w:r>
        <w:rPr>
          <w:rStyle w:val="CharStyle8"/>
          <w:b/>
          <w:bCs/>
        </w:rPr>
        <w:t xml:space="preserve"> w zakresie uregulowania braku odpowiedzialności za szkody wyrządzone w uprawach prowadzonych z rażącym naruszeniem zasad agrotechnicznych. </w:t>
      </w:r>
      <w:r>
        <w:rPr>
          <w:rStyle w:val="CharStyle8"/>
        </w:rPr>
        <w:t>Obecny zapis dotyczy braku obowiązku szacowania szkód jedynie w uprawach, które zostały założone z rażącym naruszeniem zasad agrotechnicznych. Zasadnym jest również uwzględnienie wyłączenia z odpowiedzialności odszkodowawczej w przypadku prowadzenia takich upraw niezgodnie z zasadami agrotechniki.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Treść przepisu art. 50 ust. 1b ustawy – </w:t>
      </w:r>
      <w:r>
        <w:rPr>
          <w:rStyle w:val="CharStyle8"/>
          <w:i/>
          <w:iCs/>
        </w:rPr>
        <w:t>Prawo łowieckie</w:t>
      </w:r>
      <w:r>
        <w:rPr>
          <w:rStyle w:val="CharStyle8"/>
        </w:rPr>
        <w:t xml:space="preserve"> jednoznacznie wskazuje, że Skarb Państwa odpowiada za szkody, o których mowa w art. 46 ust. 1 tejże ustawy, wyrządzone przez zwierzęta łowne objęte całoroczną ochroną. W związku z tym nie widzimy potrzeby dodatkowego doprecyzowywania zakresu odpowiedzialności Skarbu Państwa.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  <w:b/>
          <w:bCs/>
        </w:rPr>
        <w:t xml:space="preserve">Zasadnym jest </w:t>
      </w:r>
      <w:r>
        <w:rPr>
          <w:rStyle w:val="CharStyle8"/>
        </w:rPr>
        <w:t>natomiast, zgodnie ze złożonym postulatem</w:t>
      </w:r>
      <w:r>
        <w:rPr>
          <w:rStyle w:val="CharStyle8"/>
          <w:b/>
          <w:bCs/>
        </w:rPr>
        <w:t xml:space="preserve">, rozszerzenie zakresu obecnie obowiązującego Rozporządzenia Ministra Klimatu i Środowiska </w:t>
      </w:r>
      <w:r>
        <w:rPr>
          <w:rStyle w:val="CharStyle8"/>
          <w:i/>
          <w:iCs/>
        </w:rPr>
        <w:t>w sprawie szczegółowych warunków szacowania szkód w uprawach i płodach rolnych</w:t>
      </w:r>
      <w:r>
        <w:rPr>
          <w:rStyle w:val="CharStyle8"/>
          <w:b/>
          <w:bCs/>
        </w:rPr>
        <w:t xml:space="preserve"> o metodykę szacowania szkód wyrządzonych w uprawach wieloletnich.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86" w:lineRule="auto"/>
        <w:ind w:left="0" w:right="0" w:firstLine="0"/>
        <w:jc w:val="both"/>
      </w:pPr>
      <w:r>
        <w:rPr>
          <w:rStyle w:val="CharStyle8"/>
        </w:rPr>
        <w:t xml:space="preserve">W kontekście złożonych postulatów, widzimy również </w:t>
      </w:r>
      <w:r>
        <w:rPr>
          <w:rStyle w:val="CharStyle8"/>
          <w:b/>
          <w:bCs/>
        </w:rPr>
        <w:t xml:space="preserve">potrzebę uwzględnienia w ustawie – </w:t>
      </w:r>
      <w:r>
        <w:rPr>
          <w:rStyle w:val="CharStyle8"/>
          <w:b/>
          <w:bCs/>
          <w:i/>
          <w:iCs/>
        </w:rPr>
        <w:t>Prawo łowieckie</w:t>
      </w:r>
      <w:r>
        <w:rPr>
          <w:rStyle w:val="CharStyle8"/>
          <w:b/>
          <w:bCs/>
        </w:rPr>
        <w:t xml:space="preserve"> dodatkowych uwarunkowań i trybu, które będą podstawą do podjęcia działań w zakresie zmiany granic obwodu łowieckiego, </w:t>
      </w:r>
      <w:r>
        <w:rPr>
          <w:rStyle w:val="CharStyle8"/>
        </w:rPr>
        <w:t>mających charakter technicznego dostosowania granic obwodów do stanu faktycznego w terenie.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40"/>
        <w:ind w:left="0" w:right="0" w:firstLine="0"/>
        <w:jc w:val="both"/>
      </w:pPr>
      <w:r>
        <w:rPr>
          <w:rStyle w:val="CharStyle8"/>
        </w:rPr>
        <w:t xml:space="preserve">Kwestia ewentualnego wskazania organu administracji samorządowej odpowiedzialnego za opracowania kartograficzne i analityczne, posiadającego kompetencje w zakresie geodezji, kartografii, geografii oraz technologii informatycznych, będzie przedmiotem dodatkowych analiz w przypadku podjęcia decyzji o nowelizacji ustawy – </w:t>
      </w:r>
      <w:r>
        <w:rPr>
          <w:rStyle w:val="CharStyle8"/>
          <w:i/>
          <w:iCs/>
        </w:rPr>
        <w:t xml:space="preserve">Prawo łowieckie </w:t>
      </w:r>
      <w:r>
        <w:rPr>
          <w:rStyle w:val="CharStyle8"/>
        </w:rPr>
        <w:t>we wskazanym zakresie.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  <w:b/>
          <w:bCs/>
        </w:rPr>
        <w:t>Podstawa prawna: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760"/>
        <w:ind w:left="0" w:right="0" w:firstLine="0"/>
        <w:jc w:val="both"/>
      </w:pPr>
      <w:r>
        <w:rPr>
          <w:rStyle w:val="CharStyle8"/>
        </w:rPr>
        <w:t>Art. 12 i 13 ustawy z dnia 11 lipca 2014 r. o petycjach.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  <w:b/>
          <w:bCs/>
        </w:rPr>
        <w:t>Pouczenie: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20" w:line="343" w:lineRule="auto"/>
        <w:ind w:left="0" w:right="0" w:firstLine="0"/>
        <w:jc w:val="left"/>
      </w:pPr>
      <w:r>
        <w:rPr>
          <w:rStyle w:val="CharStyle8"/>
        </w:rPr>
        <w:t>Informuję, że na sposób załatwienia petycji nie służy Państwu prawo wniesienia skargi w trybie określonym w Rozdziale 2 Działu VIII Kodeksu postępowania administracyjnego. 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left"/>
      </w:pPr>
      <w:r>
        <w:rPr>
          <w:rStyle w:val="CharStyle8"/>
        </w:rPr>
        <w:t>Z wyrazami szacunku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20" w:line="343" w:lineRule="auto"/>
        <w:ind w:left="0" w:right="0" w:firstLine="0"/>
        <w:jc w:val="left"/>
      </w:pPr>
      <w:r>
        <w:rPr>
          <w:rStyle w:val="CharStyle8"/>
        </w:rPr>
        <w:t>Z up. Ministra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Dyrektor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Departament Leśnictwa i Łowiectwa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Ministerstwo Klimatu i Środowiska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20" w:line="240" w:lineRule="auto"/>
        <w:ind w:left="0" w:right="0" w:firstLine="0"/>
        <w:jc w:val="left"/>
      </w:pPr>
      <w:r>
        <w:rPr>
          <w:rStyle w:val="CharStyle8"/>
        </w:rPr>
        <w:t>/ – podpisany cyfrowo/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  <w:b/>
          <w:bCs/>
          <w:u w:val="single"/>
        </w:rPr>
        <w:t>Do wiadomości: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left"/>
      </w:pPr>
      <w:r>
        <w:rPr>
          <w:rStyle w:val="CharStyle8"/>
        </w:rPr>
        <w:t>Biuro Kontroli i Audytu w Ministerstwie Klimatu i Środowiska.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center"/>
      </w:pPr>
      <w:r>
        <w:rPr>
          <w:rStyle w:val="CharStyle3"/>
          <w:b/>
          <w:bCs/>
        </w:rPr>
        <w:t>Klauzula informacyjna</w:t>
        <w:br/>
        <w:t>dotycząca przetwarzania danych osobowych osób wnoszących petycję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Tożsamość administratora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Administratorem Pani/Pana danych osobowych jest 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Może się Pani/Pan z nami kontaktować w następujący sposób: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adres eDoręczeń: AE:PL-76338-88700-JTFJE-30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 xml:space="preserve"> </w:t>
      </w:r>
      <w:r>
        <w:rPr>
          <w:rStyle w:val="CharStyle3"/>
          <w:color w:val="0000FF"/>
          <w:u w:val="single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160"/>
        <w:ind w:left="0" w:right="0" w:firstLine="380"/>
        <w:jc w:val="left"/>
      </w:pPr>
      <w:r>
        <w:rPr>
          <w:rStyle w:val="CharStyle3"/>
        </w:rPr>
        <w:t>telefonicznie: 22 36 92 900.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Dane kontaktowe inspektora ochrony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Nad prawidłowością przetwarzania Pani/Pana danych osobowych czuwa wyznaczony przez Administratora inspektor ochrony danych, z którym można się kontaktować: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160"/>
        <w:ind w:left="0" w:right="0" w:firstLine="380"/>
        <w:jc w:val="left"/>
      </w:pPr>
      <w:r>
        <w:rPr>
          <w:rStyle w:val="CharStyle3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Cele przetwarzania danych osobowych i podstawa prawna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  <w:b/>
          <w:bCs/>
        </w:rPr>
        <w:t>Odbiorcy danych osobowych lub kategorie odbiorców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Okres przechowywania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</w:rPr>
        <w:t>Pani/Pana dane osobowe będą przechowywane przez okres niezbędny do realizacji celu przetwarzania, a następnie 25 lat (kat. archiwalna A) na podstawie Instrukcji Kancelaryjnej obowiązującej w Ministerstwie Klimatu i Środowiska) i przepisów ustawy z dnia 14 lipca 1983 r. o narodowym zasobie archiwalnym i archiwach.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Przysługujące uprawnienia związane z przetwarzaniem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Przysługują Pani/Panu następujące uprawnienia: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dostępu do danych osobowych i uzyskania ich kopii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sprostowania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usunięcia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ograniczenia przetwarzania.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Aby skorzystać z powyższych praw należy skontaktować się z nami lub z naszym inspektorem ochrony danych (dane kontaktowe zawarte są powyżej).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wniesienia skargi do Prezesa Urzędu Ochrony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740" w:right="0" w:firstLine="0"/>
        <w:jc w:val="left"/>
      </w:pPr>
      <w:r>
        <w:rPr>
          <w:rStyle w:val="CharStyle3"/>
        </w:rPr>
        <w:t>(ul. Moniuszki 1A, 00-014 Warszawa), jeśli uzna Pani/Pan, że przetwarzamy Pani/Pana dane osobowe niezgodnie z prawem.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Informacja o przekazywaniu danych osobowych do państw trzecich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</w:rPr>
        <w:t>Nie przekazujemy Pani/Pana danych osobowych do państw trzecich.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Informacja o profilowaniu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</w:rPr>
        <w:t>Pani/Pana dane osobowe nie podlegają zautomatyzowanemu przetwarzaniu, w tym profilowaniu.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Informacja o dowolności lub obowiązku podania danych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094" w:right="1962" w:bottom="1774" w:left="1941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3749040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2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19999999999999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2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vertAlign w:val="superscript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6">
    <w:name w:val="Body text (3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8">
    <w:name w:val="Body text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2">
    <w:name w:val="Header or footer (2)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  <w:spacing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5">
    <w:name w:val="Body text (3)"/>
    <w:basedOn w:val="Normal"/>
    <w:link w:val="CharStyle6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7">
    <w:name w:val="Body text"/>
    <w:basedOn w:val="Normal"/>
    <w:link w:val="CharStyle8"/>
    <w:qFormat/>
    <w:pPr>
      <w:widowControl w:val="0"/>
      <w:shd w:val="clear" w:color="auto" w:fill="auto"/>
      <w:spacing w:after="80" w:line="288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1">
    <w:name w:val="Header or footer (2)"/>
    <w:basedOn w:val="Normal"/>
    <w:link w:val="CharStyle12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