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FE4A6" w14:textId="534A623B" w:rsidR="006D286A" w:rsidRDefault="006D286A" w:rsidP="000522E1">
      <w:pPr>
        <w:jc w:val="both"/>
      </w:pPr>
      <w:r w:rsidRPr="00FE6F2B">
        <w:rPr>
          <w:rFonts w:ascii="Trebuchet MS" w:hAnsi="Trebuchet MS"/>
          <w:b/>
        </w:rPr>
        <w:t>Informacja o zmian</w:t>
      </w:r>
      <w:r>
        <w:rPr>
          <w:rFonts w:ascii="Trebuchet MS" w:hAnsi="Trebuchet MS"/>
          <w:b/>
        </w:rPr>
        <w:t>ie</w:t>
      </w:r>
      <w:r w:rsidRPr="00FE6F2B">
        <w:rPr>
          <w:rFonts w:ascii="Trebuchet MS" w:hAnsi="Trebuchet MS"/>
          <w:b/>
        </w:rPr>
        <w:t xml:space="preserve"> w dokumentacji </w:t>
      </w:r>
      <w:r>
        <w:rPr>
          <w:rFonts w:ascii="Trebuchet MS" w:hAnsi="Trebuchet MS"/>
          <w:b/>
        </w:rPr>
        <w:t xml:space="preserve">dla naboru </w:t>
      </w:r>
      <w:r w:rsidRPr="00FE6F2B">
        <w:rPr>
          <w:rFonts w:ascii="Trebuchet MS" w:hAnsi="Trebuchet MS"/>
          <w:b/>
        </w:rPr>
        <w:t xml:space="preserve">nr </w:t>
      </w:r>
      <w:r w:rsidR="000522E1" w:rsidRPr="000522E1">
        <w:rPr>
          <w:rFonts w:ascii="Trebuchet MS" w:hAnsi="Trebuchet MS"/>
          <w:b/>
          <w:bCs/>
        </w:rPr>
        <w:t>FERS.0</w:t>
      </w:r>
      <w:r w:rsidR="006B3591">
        <w:rPr>
          <w:rFonts w:ascii="Trebuchet MS" w:hAnsi="Trebuchet MS"/>
          <w:b/>
          <w:bCs/>
        </w:rPr>
        <w:t>1</w:t>
      </w:r>
      <w:r w:rsidR="000522E1" w:rsidRPr="000522E1">
        <w:rPr>
          <w:rFonts w:ascii="Trebuchet MS" w:hAnsi="Trebuchet MS"/>
          <w:b/>
          <w:bCs/>
        </w:rPr>
        <w:t>.0</w:t>
      </w:r>
      <w:r w:rsidR="006B3591">
        <w:rPr>
          <w:rFonts w:ascii="Trebuchet MS" w:hAnsi="Trebuchet MS"/>
          <w:b/>
          <w:bCs/>
        </w:rPr>
        <w:t>9</w:t>
      </w:r>
      <w:r w:rsidR="000522E1" w:rsidRPr="000522E1">
        <w:rPr>
          <w:rFonts w:ascii="Trebuchet MS" w:hAnsi="Trebuchet MS"/>
          <w:b/>
          <w:bCs/>
        </w:rPr>
        <w:t>-IP.03-00</w:t>
      </w:r>
      <w:r w:rsidR="006B3591">
        <w:rPr>
          <w:rFonts w:ascii="Trebuchet MS" w:hAnsi="Trebuchet MS"/>
          <w:b/>
          <w:bCs/>
        </w:rPr>
        <w:t>1</w:t>
      </w:r>
      <w:r w:rsidR="000522E1" w:rsidRPr="000522E1">
        <w:rPr>
          <w:rFonts w:ascii="Trebuchet MS" w:hAnsi="Trebuchet MS"/>
          <w:b/>
          <w:bCs/>
        </w:rPr>
        <w:t>/2</w:t>
      </w:r>
      <w:r w:rsidR="006B3591">
        <w:rPr>
          <w:rFonts w:ascii="Trebuchet MS" w:hAnsi="Trebuchet MS"/>
          <w:b/>
          <w:bCs/>
        </w:rPr>
        <w:t>4</w:t>
      </w:r>
      <w:r w:rsidR="000522E1">
        <w:rPr>
          <w:rFonts w:ascii="Trebuchet MS" w:hAnsi="Trebuchet MS"/>
          <w:b/>
          <w:bCs/>
        </w:rPr>
        <w:t xml:space="preserve"> </w:t>
      </w:r>
      <w:r w:rsidRPr="00FE6F2B">
        <w:rPr>
          <w:rFonts w:ascii="Trebuchet MS" w:hAnsi="Trebuchet MS"/>
          <w:b/>
          <w:bCs/>
        </w:rPr>
        <w:t xml:space="preserve">w ramach działania </w:t>
      </w:r>
      <w:r w:rsidR="001E4F0F" w:rsidRPr="001E4F0F">
        <w:rPr>
          <w:rFonts w:ascii="Trebuchet MS" w:hAnsi="Trebuchet MS"/>
          <w:b/>
          <w:bCs/>
        </w:rPr>
        <w:t>01.09 Rozwój kompetencji cyfrowych</w:t>
      </w:r>
      <w:r w:rsidR="000522E1" w:rsidRPr="000522E1">
        <w:rPr>
          <w:rFonts w:ascii="Trebuchet MS" w:hAnsi="Trebuchet MS"/>
          <w:b/>
          <w:bCs/>
        </w:rPr>
        <w:t xml:space="preserve"> </w:t>
      </w:r>
      <w:r w:rsidR="000522E1">
        <w:rPr>
          <w:rFonts w:ascii="Trebuchet MS" w:hAnsi="Trebuchet MS"/>
          <w:b/>
          <w:bCs/>
        </w:rPr>
        <w:t xml:space="preserve">programu </w:t>
      </w:r>
      <w:r w:rsidR="000522E1" w:rsidRPr="000522E1">
        <w:rPr>
          <w:rFonts w:ascii="Trebuchet MS" w:hAnsi="Trebuchet MS"/>
          <w:b/>
          <w:bCs/>
        </w:rPr>
        <w:t>Fundusze Europejskie dla Rozwoju Społecznego 2021-2027</w:t>
      </w:r>
    </w:p>
    <w:p w14:paraId="77D19884" w14:textId="2AE59957" w:rsidR="0066598A" w:rsidRDefault="00407BB6">
      <w:r>
        <w:t>W Regulaminie wyboru projektów w</w:t>
      </w:r>
      <w:r w:rsidR="006D286A">
        <w:t>prowadzon</w:t>
      </w:r>
      <w:r>
        <w:t>o następujące</w:t>
      </w:r>
      <w:r w:rsidR="006D286A">
        <w:t xml:space="preserve"> zmiany:</w:t>
      </w:r>
      <w:r w:rsidR="006D286A">
        <w:br/>
        <w:t>1)</w:t>
      </w:r>
      <w:r w:rsidR="000522E1">
        <w:t xml:space="preserve"> </w:t>
      </w:r>
      <w:r w:rsidR="006D286A">
        <w:t xml:space="preserve"> </w:t>
      </w:r>
      <w:r w:rsidR="006B3591" w:rsidRPr="006B3591">
        <w:t>§ 2 pkt 11 uzyskał brzmienie: „W przypadkach uzasadnionych koniecznością zapewnienia prawidłowej i terminowej realizacji projektu, za zgodą właściwej instytucji, może nastąpić zmiana partnera”. Po dodaniu zapisu w pkt. 11 punkty 11-17, zmieniły numer odpowiednio na 12-18;</w:t>
      </w:r>
    </w:p>
    <w:p w14:paraId="1F7130C2" w14:textId="0511E5E1" w:rsidR="001E4F0F" w:rsidRDefault="001E4F0F">
      <w:r>
        <w:t xml:space="preserve">2) </w:t>
      </w:r>
      <w:r w:rsidRPr="006B3591">
        <w:t xml:space="preserve">§ </w:t>
      </w:r>
      <w:r>
        <w:t>5</w:t>
      </w:r>
      <w:r w:rsidRPr="006B3591">
        <w:t xml:space="preserve"> pkt</w:t>
      </w:r>
      <w:r>
        <w:t xml:space="preserve"> 3</w:t>
      </w:r>
      <w:r w:rsidRPr="006B3591">
        <w:t xml:space="preserve"> uzyskał brzmienie: „</w:t>
      </w:r>
      <w:r w:rsidRPr="001E4F0F">
        <w:t>Okres kwalifikowalności wydatków określony został w § 4 umowy o dofinansowanie. Wydatki w projekcie mogą być kwalifikowane przed podpisaniem umowy o dofinansowanie</w:t>
      </w:r>
      <w:r>
        <w:t>”;</w:t>
      </w:r>
    </w:p>
    <w:p w14:paraId="57E0499D" w14:textId="0F4176A4" w:rsidR="001E4F0F" w:rsidRDefault="001E4F0F" w:rsidP="001E4F0F">
      <w:r>
        <w:t xml:space="preserve">3) </w:t>
      </w:r>
      <w:r w:rsidRPr="006B3591">
        <w:t xml:space="preserve">§ </w:t>
      </w:r>
      <w:r>
        <w:t>5</w:t>
      </w:r>
      <w:r w:rsidRPr="006B3591">
        <w:t xml:space="preserve"> pkt</w:t>
      </w:r>
      <w:r>
        <w:t xml:space="preserve"> 6</w:t>
      </w:r>
      <w:r w:rsidRPr="006B3591">
        <w:t xml:space="preserve"> uzyskał brzmienie: „</w:t>
      </w:r>
      <w:r w:rsidRPr="001E4F0F">
        <w:t>W projektach do 5 mln euro podatek VAT jest wydatkiem kwalifikowalnym, a możliwość jego odzyskania nie jest badana. Wnioskodawca do przeliczenia wartości projektu stosuje miesięczny obrachunkowy kurs wymiany walut stosowany przez Komisję Europejską z dnia ogłoszenia naboru. Kurs euro, według którego należy przeliczyć wartość projektu znajduje się na stronie: https://www.ecb.europa.eu/stats/policy_and_exchange_rates/euro_reference_exchange_rates/html/eurofxref-graph-pln.en.html.</w:t>
      </w:r>
      <w:r>
        <w:t>”</w:t>
      </w:r>
      <w:r w:rsidR="00D66130">
        <w:t>.</w:t>
      </w:r>
    </w:p>
    <w:p w14:paraId="3DF9ED33" w14:textId="63A7ECF6" w:rsidR="001E4F0F" w:rsidRDefault="001E4F0F">
      <w:r w:rsidRPr="006B3591">
        <w:t>Po dodaniu zapis</w:t>
      </w:r>
      <w:r>
        <w:t>ów</w:t>
      </w:r>
      <w:r w:rsidRPr="006B3591">
        <w:t xml:space="preserve"> w pkt. </w:t>
      </w:r>
      <w:r>
        <w:t>3 i 6</w:t>
      </w:r>
      <w:r w:rsidRPr="006B3591">
        <w:t>, zmienił</w:t>
      </w:r>
      <w:r>
        <w:t>a się numeracja</w:t>
      </w:r>
      <w:r w:rsidRPr="006B3591">
        <w:t xml:space="preserve"> </w:t>
      </w:r>
      <w:r>
        <w:t>kolejnych punktów</w:t>
      </w:r>
      <w:r w:rsidR="00D66130">
        <w:t>;</w:t>
      </w:r>
    </w:p>
    <w:p w14:paraId="184AD4AC" w14:textId="27FCE4C8" w:rsidR="001E4F0F" w:rsidRDefault="001E4F0F">
      <w:r>
        <w:t xml:space="preserve">4) </w:t>
      </w:r>
      <w:r w:rsidRPr="006B3591">
        <w:t xml:space="preserve">§ </w:t>
      </w:r>
      <w:r>
        <w:t>5</w:t>
      </w:r>
      <w:r w:rsidRPr="006B3591">
        <w:t xml:space="preserve"> pkt</w:t>
      </w:r>
      <w:r>
        <w:t xml:space="preserve"> 7</w:t>
      </w:r>
      <w:r w:rsidRPr="006B3591">
        <w:t xml:space="preserve"> </w:t>
      </w:r>
      <w:r>
        <w:t>(po zmianie) dodano zdanie drugie</w:t>
      </w:r>
      <w:r w:rsidRPr="006B3591">
        <w:t xml:space="preserve"> „</w:t>
      </w:r>
      <w:r w:rsidRPr="001E4F0F">
        <w:t>Standard, o którym mowa w zdaniu pierwszym obowiązuje beneficjenta na etapie sporządzania wniosku o dofinansowanie oraz realizacji i rozliczenia projektu. Standard może ulec zmianie w trakcie realizacji projektu po jego aktualizacji przez Instytucję Zarządzającą</w:t>
      </w:r>
      <w:r>
        <w:t>”;</w:t>
      </w:r>
    </w:p>
    <w:p w14:paraId="15658680" w14:textId="2835BA8D" w:rsidR="001E4F0F" w:rsidRDefault="001E4F0F">
      <w:r>
        <w:t xml:space="preserve">5) </w:t>
      </w:r>
      <w:r w:rsidRPr="006B3591">
        <w:t xml:space="preserve">§ </w:t>
      </w:r>
      <w:r>
        <w:t>5</w:t>
      </w:r>
      <w:r w:rsidRPr="006B3591">
        <w:t xml:space="preserve"> pkt</w:t>
      </w:r>
      <w:r>
        <w:t xml:space="preserve"> 8 (po zmianie)</w:t>
      </w:r>
      <w:r w:rsidRPr="006B3591">
        <w:t xml:space="preserve"> </w:t>
      </w:r>
      <w:r>
        <w:t>doprecyzowano „</w:t>
      </w:r>
      <w:r w:rsidRPr="001E4F0F">
        <w:t>ION w naborze dopuszcza rozliczanie projektów jedynie na podstawie rzeczywiście poniesionych wydatków (z wyłączeniem kosztów pośrednich obowiązkowo rozliczanych stawką ryczałtową)</w:t>
      </w:r>
      <w:r>
        <w:t>”;</w:t>
      </w:r>
    </w:p>
    <w:p w14:paraId="16F5A4E6" w14:textId="77777777" w:rsidR="001E4F0F" w:rsidRDefault="001E4F0F" w:rsidP="001E4F0F">
      <w:r>
        <w:t>6)</w:t>
      </w:r>
      <w:r w:rsidRPr="001E4F0F">
        <w:t xml:space="preserve"> </w:t>
      </w:r>
      <w:r w:rsidRPr="006B3591">
        <w:t xml:space="preserve">§ </w:t>
      </w:r>
      <w:r>
        <w:t>5</w:t>
      </w:r>
      <w:r w:rsidRPr="006B3591">
        <w:t xml:space="preserve"> pkt</w:t>
      </w:r>
      <w:r>
        <w:t xml:space="preserve"> 9 (po zmianie) dodano zdanie drugie: „Wydatki w ramach limitu mogą być przeznaczone wyłącznie na:</w:t>
      </w:r>
    </w:p>
    <w:p w14:paraId="68C3BE5B" w14:textId="77777777" w:rsidR="001E4F0F" w:rsidRDefault="001E4F0F" w:rsidP="001E4F0F">
      <w:r>
        <w:t>1)</w:t>
      </w:r>
      <w:r>
        <w:tab/>
        <w:t>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(zgodnie z Wytycznymi kwalifikowalności podrozdział 2.4. pkt 6 b) – z wyłączeniem możliwości zakupu infrastruktury rozumianej jako budowa nowej infrastruktury);</w:t>
      </w:r>
    </w:p>
    <w:p w14:paraId="02DA1F9F" w14:textId="69F4F9A4" w:rsidR="001E4F0F" w:rsidRDefault="001E4F0F" w:rsidP="001E4F0F">
      <w:r>
        <w:t>2)</w:t>
      </w:r>
      <w:r>
        <w:tab/>
        <w:t xml:space="preserve">zakup mebli, sprzętu i pojazdów (zgodnie z Wytycznymi kwalifikowalności podrozdział 2.4. pkt 6 c), w tym z uwzględnieniem wyjątków wskazanych w </w:t>
      </w:r>
      <w:proofErr w:type="spellStart"/>
      <w:r>
        <w:t>ppkt</w:t>
      </w:r>
      <w:proofErr w:type="spellEnd"/>
      <w:r>
        <w:t xml:space="preserve">. i) – iii)). Warunki z </w:t>
      </w:r>
      <w:proofErr w:type="spellStart"/>
      <w:r>
        <w:t>tiretów</w:t>
      </w:r>
      <w:proofErr w:type="spellEnd"/>
      <w:r>
        <w:t xml:space="preserve"> i-iii są rozłączne, co oznacza, że w przypadku spełnienia któregokolwiek z nich, zakup mebli, sprzętu i pojazdów może być kwalifikowalny w ramach EFS+ poza cross-</w:t>
      </w:r>
      <w:proofErr w:type="spellStart"/>
      <w:r>
        <w:t>financingiem</w:t>
      </w:r>
      <w:proofErr w:type="spellEnd"/>
      <w:r>
        <w:t xml:space="preserve">. Zakup mebli, sprzętu i pojazdów niespełniający żadnego z warunków wskazanych w </w:t>
      </w:r>
      <w:proofErr w:type="spellStart"/>
      <w:r>
        <w:t>tirecie</w:t>
      </w:r>
      <w:proofErr w:type="spellEnd"/>
      <w:r>
        <w:t xml:space="preserve"> i-iii stanowi cross-</w:t>
      </w:r>
      <w:proofErr w:type="spellStart"/>
      <w:r>
        <w:t>financing</w:t>
      </w:r>
      <w:proofErr w:type="spellEnd"/>
      <w:r>
        <w:t>”</w:t>
      </w:r>
      <w:r w:rsidR="00D66130">
        <w:t>.;</w:t>
      </w:r>
      <w:r>
        <w:t xml:space="preserve"> </w:t>
      </w:r>
    </w:p>
    <w:p w14:paraId="5073B974" w14:textId="4538CB88" w:rsidR="001E4F0F" w:rsidRDefault="001E4F0F" w:rsidP="001E4F0F">
      <w:r>
        <w:t xml:space="preserve">7) </w:t>
      </w:r>
      <w:r w:rsidRPr="006B3591">
        <w:t xml:space="preserve">§ </w:t>
      </w:r>
      <w:r>
        <w:t>5</w:t>
      </w:r>
      <w:r w:rsidRPr="006B3591">
        <w:t xml:space="preserve"> pkt</w:t>
      </w:r>
      <w:r>
        <w:t xml:space="preserve"> 12 (po zmianie)</w:t>
      </w:r>
      <w:r w:rsidRPr="006B3591">
        <w:t xml:space="preserve"> </w:t>
      </w:r>
      <w:r>
        <w:t xml:space="preserve">dodano zapis „Kwalifikowalność wynagrodzeń pracowników zaangażowanych w realizację projektów EFS+ jest możliwa pod warunkiem spełnienia wymogów wynikających z art. 16 rozporządzenia w sprawie EFS+. W konkursie obowiązuje dodatkowy warunek kwalifikowania dodatku do wynagrodzenia personelu projektu - maksymalny poziom kwalifikowalności dla danego pracownika nie powinien przekraczać 40% wynagrodzenia podstawowego, które należy rozumieć zgodnie regulaminem wynagradzania w danym podmiocie, </w:t>
      </w:r>
      <w:r>
        <w:lastRenderedPageBreak/>
        <w:t>obejmuje ono składniki wynagrodzenia stanowiące podstawę do wyliczenia wysokości dodatku, zgodnie z obowiązującymi przepisami. Przekroczenie limitu 40% uzasadnione będzie wtedy, gdy wynika z aktów prawa powszechnie obowiązującego, o ile stanowią one o maksymalnej wysokości dodatku dla danej grupy zawodowej”.</w:t>
      </w:r>
    </w:p>
    <w:p w14:paraId="4B53198A" w14:textId="46ABDE3E" w:rsidR="00503CCA" w:rsidRPr="00D66130" w:rsidRDefault="00407BB6" w:rsidP="00503CCA">
      <w:pPr>
        <w:spacing w:after="0" w:line="240" w:lineRule="auto"/>
        <w:rPr>
          <w:rFonts w:eastAsia="Times New Roman"/>
        </w:rPr>
      </w:pPr>
      <w:r>
        <w:t xml:space="preserve">W zał. </w:t>
      </w:r>
      <w:r w:rsidR="00503CCA">
        <w:t xml:space="preserve">9 wzór umowy o dofinansowanie </w:t>
      </w:r>
      <w:r w:rsidR="00503CCA">
        <w:rPr>
          <w:rFonts w:eastAsia="Times New Roman"/>
        </w:rPr>
        <w:t>wykreślono:</w:t>
      </w:r>
    </w:p>
    <w:p w14:paraId="0C920C8E" w14:textId="596FED12" w:rsidR="00503CCA" w:rsidRDefault="00503CCA" w:rsidP="00503CCA">
      <w:pPr>
        <w:pStyle w:val="Akapitzlist"/>
        <w:spacing w:after="240"/>
      </w:pPr>
      <w:r>
        <w:t>- § 5 ust. 5</w:t>
      </w:r>
      <w:r w:rsidR="00D66130">
        <w:t>,</w:t>
      </w:r>
    </w:p>
    <w:p w14:paraId="4E079B79" w14:textId="434394AF" w:rsidR="00503CCA" w:rsidRDefault="00503CCA" w:rsidP="00503CCA">
      <w:pPr>
        <w:pStyle w:val="Akapitzlist"/>
        <w:spacing w:after="240"/>
      </w:pPr>
      <w:r>
        <w:t xml:space="preserve">- </w:t>
      </w:r>
      <w:r w:rsidRPr="00503CCA">
        <w:t>§ 10 ust. 6</w:t>
      </w:r>
      <w:r w:rsidR="00D66130">
        <w:t>,</w:t>
      </w:r>
      <w:r>
        <w:br/>
        <w:t>- § 11 ust. 1 ppk1</w:t>
      </w:r>
      <w:r w:rsidR="00D66130">
        <w:t xml:space="preserve"> słowa</w:t>
      </w:r>
      <w:r>
        <w:t xml:space="preserve"> „</w:t>
      </w:r>
      <w:r>
        <w:rPr>
          <w:i/>
          <w:iCs/>
        </w:rPr>
        <w:t>pod warunkiem wniesienia zabezpieczenia, o którym mowa w § 17”</w:t>
      </w:r>
      <w:r w:rsidR="00D66130">
        <w:rPr>
          <w:i/>
          <w:iCs/>
        </w:rPr>
        <w:t>,</w:t>
      </w:r>
      <w:r>
        <w:rPr>
          <w:i/>
          <w:iCs/>
        </w:rPr>
        <w:br/>
      </w:r>
      <w:r>
        <w:t>- § 17 w całości</w:t>
      </w:r>
      <w:r w:rsidR="00D66130">
        <w:t>.</w:t>
      </w:r>
    </w:p>
    <w:p w14:paraId="0D86E1E8" w14:textId="14E450B8" w:rsidR="001E4F0F" w:rsidRDefault="001E4F0F" w:rsidP="001E4F0F"/>
    <w:sectPr w:rsidR="001E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820C9"/>
    <w:multiLevelType w:val="hybridMultilevel"/>
    <w:tmpl w:val="47528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04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29"/>
    <w:rsid w:val="000522E1"/>
    <w:rsid w:val="001E4F0F"/>
    <w:rsid w:val="00287292"/>
    <w:rsid w:val="00327329"/>
    <w:rsid w:val="003640E5"/>
    <w:rsid w:val="00393AF6"/>
    <w:rsid w:val="00397A7B"/>
    <w:rsid w:val="00407BB6"/>
    <w:rsid w:val="00503CCA"/>
    <w:rsid w:val="0066598A"/>
    <w:rsid w:val="006B3591"/>
    <w:rsid w:val="006D286A"/>
    <w:rsid w:val="00783F6E"/>
    <w:rsid w:val="00920347"/>
    <w:rsid w:val="00BB0C97"/>
    <w:rsid w:val="00CC295A"/>
    <w:rsid w:val="00D6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56E0"/>
  <w15:chartTrackingRefBased/>
  <w15:docId w15:val="{2BFA4752-6516-494A-A8D8-018F96BF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8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8F0E-09B1-4540-BFA4-C857397A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Olga Chyczewska</cp:lastModifiedBy>
  <cp:revision>8</cp:revision>
  <dcterms:created xsi:type="dcterms:W3CDTF">2024-06-12T09:26:00Z</dcterms:created>
  <dcterms:modified xsi:type="dcterms:W3CDTF">2024-06-14T12:15:00Z</dcterms:modified>
</cp:coreProperties>
</file>