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1C970E" w14:textId="564AFF47" w:rsidR="004D1514" w:rsidRPr="00894EBA" w:rsidRDefault="004D1514" w:rsidP="00983826">
      <w:pPr>
        <w:tabs>
          <w:tab w:val="left" w:pos="709"/>
          <w:tab w:val="left" w:pos="4095"/>
        </w:tabs>
        <w:spacing w:before="120" w:line="300" w:lineRule="atLeast"/>
        <w:jc w:val="both"/>
        <w:rPr>
          <w:rFonts w:ascii="Helvetica" w:hAnsi="Helvetica" w:cs="Helvetica"/>
          <w:sz w:val="20"/>
        </w:rPr>
      </w:pPr>
      <w:r w:rsidRPr="00894EBA">
        <w:rPr>
          <w:rFonts w:ascii="Helvetica" w:hAnsi="Helvetica" w:cs="Helvetica"/>
          <w:sz w:val="22"/>
          <w:szCs w:val="22"/>
        </w:rPr>
        <w:t>DNK.WK.1743.1.2021.MJ</w:t>
      </w:r>
      <w:r w:rsidRPr="00894EBA">
        <w:rPr>
          <w:rFonts w:ascii="Helvetica" w:hAnsi="Helvetica" w:cs="Helvetica"/>
          <w:szCs w:val="24"/>
        </w:rPr>
        <w:tab/>
      </w:r>
      <w:r w:rsidR="0045747F">
        <w:rPr>
          <w:rFonts w:ascii="Helvetica" w:hAnsi="Helvetica" w:cs="Helvetica"/>
          <w:szCs w:val="24"/>
        </w:rPr>
        <w:tab/>
      </w:r>
      <w:r w:rsidR="0045747F">
        <w:rPr>
          <w:rFonts w:ascii="Helvetica" w:hAnsi="Helvetica" w:cs="Helvetica"/>
          <w:szCs w:val="24"/>
        </w:rPr>
        <w:tab/>
        <w:t>     Warszawa, /elektroniczny znacznik czasu/</w:t>
      </w:r>
    </w:p>
    <w:p w14:paraId="3CDBCE00" w14:textId="77777777" w:rsidR="004D1514" w:rsidRPr="00894EBA" w:rsidRDefault="004D1514" w:rsidP="00983826">
      <w:pPr>
        <w:tabs>
          <w:tab w:val="left" w:pos="709"/>
        </w:tabs>
        <w:suppressAutoHyphens/>
        <w:spacing w:before="720"/>
        <w:ind w:left="5812"/>
        <w:rPr>
          <w:rFonts w:ascii="Helvetica" w:hAnsi="Helvetica" w:cs="Helvetica"/>
          <w:b/>
          <w:color w:val="000080"/>
          <w:sz w:val="26"/>
          <w:szCs w:val="26"/>
        </w:rPr>
      </w:pPr>
      <w:r w:rsidRPr="00894EBA">
        <w:rPr>
          <w:rFonts w:ascii="Helvetica" w:hAnsi="Helvetica" w:cs="Helvetica"/>
          <w:b/>
          <w:color w:val="000080"/>
          <w:sz w:val="26"/>
          <w:szCs w:val="26"/>
        </w:rPr>
        <w:t>Pani</w:t>
      </w:r>
      <w:r w:rsidRPr="00894EBA">
        <w:rPr>
          <w:rFonts w:ascii="Helvetica" w:hAnsi="Helvetica" w:cs="Helvetica"/>
          <w:b/>
          <w:color w:val="000080"/>
          <w:sz w:val="26"/>
          <w:szCs w:val="26"/>
        </w:rPr>
        <w:br/>
        <w:t xml:space="preserve">Marlena </w:t>
      </w:r>
      <w:proofErr w:type="spellStart"/>
      <w:r w:rsidRPr="00894EBA">
        <w:rPr>
          <w:rFonts w:ascii="Helvetica" w:hAnsi="Helvetica" w:cs="Helvetica"/>
          <w:b/>
          <w:color w:val="000080"/>
          <w:sz w:val="26"/>
          <w:szCs w:val="26"/>
        </w:rPr>
        <w:t>Maląg</w:t>
      </w:r>
      <w:proofErr w:type="spellEnd"/>
    </w:p>
    <w:p w14:paraId="577AAEA4" w14:textId="77777777" w:rsidR="004D1514" w:rsidRPr="00894EBA" w:rsidRDefault="004D1514" w:rsidP="00983826">
      <w:pPr>
        <w:tabs>
          <w:tab w:val="left" w:pos="709"/>
        </w:tabs>
        <w:suppressAutoHyphens/>
        <w:spacing w:before="120"/>
        <w:ind w:left="5812"/>
        <w:rPr>
          <w:rFonts w:ascii="Helvetica" w:hAnsi="Helvetica" w:cs="Helvetica"/>
          <w:b/>
          <w:color w:val="000080"/>
          <w:sz w:val="26"/>
          <w:szCs w:val="26"/>
        </w:rPr>
      </w:pPr>
      <w:r w:rsidRPr="00894EBA">
        <w:rPr>
          <w:rFonts w:ascii="Helvetica" w:hAnsi="Helvetica" w:cs="Helvetica"/>
          <w:b/>
          <w:color w:val="000080"/>
          <w:sz w:val="26"/>
          <w:szCs w:val="26"/>
        </w:rPr>
        <w:t>Minister</w:t>
      </w:r>
      <w:r w:rsidRPr="00894EBA">
        <w:rPr>
          <w:rFonts w:ascii="Helvetica" w:hAnsi="Helvetica" w:cs="Helvetica"/>
          <w:b/>
          <w:color w:val="000080"/>
          <w:sz w:val="26"/>
          <w:szCs w:val="26"/>
        </w:rPr>
        <w:br/>
        <w:t>Rodziny i Polityki Społecznej</w:t>
      </w:r>
    </w:p>
    <w:p w14:paraId="188A9ED9" w14:textId="77777777" w:rsidR="004D1514" w:rsidRPr="00894EBA" w:rsidRDefault="004D1514" w:rsidP="00983826">
      <w:pPr>
        <w:tabs>
          <w:tab w:val="left" w:pos="709"/>
        </w:tabs>
        <w:spacing w:before="720" w:after="120" w:line="300" w:lineRule="atLeast"/>
        <w:jc w:val="center"/>
        <w:rPr>
          <w:rFonts w:ascii="Helvetica" w:hAnsi="Helvetica" w:cs="Helvetica"/>
          <w:b/>
          <w:bCs/>
        </w:rPr>
      </w:pPr>
      <w:r w:rsidRPr="00894EBA">
        <w:rPr>
          <w:rFonts w:ascii="Helvetica" w:hAnsi="Helvetica" w:cs="Helvetica"/>
          <w:b/>
          <w:bCs/>
        </w:rPr>
        <w:t>WYSTĄPIENIE POKONTROLNE</w:t>
      </w:r>
    </w:p>
    <w:p w14:paraId="18FCB96F" w14:textId="77777777" w:rsidR="004D1514" w:rsidRPr="00894EBA" w:rsidRDefault="004D1514" w:rsidP="00983826">
      <w:pPr>
        <w:tabs>
          <w:tab w:val="left" w:pos="709"/>
        </w:tabs>
        <w:spacing w:before="240" w:line="300" w:lineRule="atLeast"/>
        <w:jc w:val="both"/>
        <w:rPr>
          <w:rFonts w:ascii="Helvetica" w:hAnsi="Helvetica" w:cs="Helvetica"/>
        </w:rPr>
      </w:pPr>
      <w:r w:rsidRPr="00894EBA">
        <w:rPr>
          <w:rFonts w:ascii="Helvetica" w:hAnsi="Helvetica" w:cs="Helvetica"/>
        </w:rPr>
        <w:t xml:space="preserve">Przedstawiam Pani Minister </w:t>
      </w:r>
      <w:r w:rsidRPr="00894EBA">
        <w:rPr>
          <w:rFonts w:ascii="Helvetica" w:hAnsi="Helvetica" w:cs="Helvetica"/>
          <w:i/>
        </w:rPr>
        <w:t xml:space="preserve">Wystąpienie pokontrolne </w:t>
      </w:r>
      <w:r w:rsidRPr="00894EBA">
        <w:rPr>
          <w:rFonts w:ascii="Helvetica" w:hAnsi="Helvetica" w:cs="Helvetica"/>
        </w:rPr>
        <w:t>(dale</w:t>
      </w:r>
      <w:r w:rsidR="000633FB" w:rsidRPr="00894EBA">
        <w:rPr>
          <w:rFonts w:ascii="Helvetica" w:hAnsi="Helvetica" w:cs="Helvetica"/>
        </w:rPr>
        <w:t>j</w:t>
      </w:r>
      <w:r w:rsidRPr="00894EBA">
        <w:rPr>
          <w:rFonts w:ascii="Helvetica" w:hAnsi="Helvetica" w:cs="Helvetica"/>
        </w:rPr>
        <w:t xml:space="preserve">: </w:t>
      </w:r>
      <w:r w:rsidRPr="00894EBA">
        <w:rPr>
          <w:rFonts w:ascii="Helvetica" w:hAnsi="Helvetica" w:cs="Helvetica"/>
          <w:i/>
        </w:rPr>
        <w:t>Wystąpienie</w:t>
      </w:r>
      <w:r w:rsidRPr="00894EBA">
        <w:rPr>
          <w:rFonts w:ascii="Helvetica" w:hAnsi="Helvetica" w:cs="Helvetica"/>
        </w:rPr>
        <w:t>) z kontroli przeprowadzonej</w:t>
      </w:r>
      <w:r w:rsidRPr="00894EBA">
        <w:rPr>
          <w:rFonts w:ascii="Helvetica" w:hAnsi="Helvetica" w:cs="Helvetica"/>
          <w:b/>
          <w:color w:val="FF0000"/>
          <w:sz w:val="18"/>
          <w:szCs w:val="18"/>
          <w:vertAlign w:val="superscript"/>
        </w:rPr>
        <w:footnoteReference w:id="1"/>
      </w:r>
      <w:r w:rsidRPr="00894EBA">
        <w:rPr>
          <w:rFonts w:ascii="Helvetica" w:hAnsi="Helvetica" w:cs="Helvetica"/>
        </w:rPr>
        <w:t xml:space="preserve"> przez Kancelarię Prezesa Rady Ministrów w Ministerstwie Rodziny i Polityki Społecznej</w:t>
      </w:r>
      <w:r w:rsidRPr="00894EBA">
        <w:rPr>
          <w:rFonts w:ascii="Helvetica" w:hAnsi="Helvetica" w:cs="Helvetica"/>
          <w:b/>
          <w:color w:val="FF0000"/>
          <w:sz w:val="18"/>
          <w:vertAlign w:val="superscript"/>
        </w:rPr>
        <w:footnoteReference w:id="2"/>
      </w:r>
      <w:r w:rsidRPr="00894EBA">
        <w:rPr>
          <w:rFonts w:ascii="Helvetica" w:hAnsi="Helvetica" w:cs="Helvetica"/>
        </w:rPr>
        <w:t xml:space="preserve"> </w:t>
      </w:r>
      <w:r w:rsidRPr="00894EBA">
        <w:rPr>
          <w:rFonts w:ascii="Helvetica" w:hAnsi="Helvetica" w:cs="Helvetica"/>
          <w:szCs w:val="24"/>
        </w:rPr>
        <w:t xml:space="preserve">(dalej: </w:t>
      </w:r>
      <w:proofErr w:type="spellStart"/>
      <w:r w:rsidRPr="00894EBA">
        <w:rPr>
          <w:rFonts w:ascii="Helvetica" w:hAnsi="Helvetica" w:cs="Helvetica"/>
          <w:szCs w:val="24"/>
        </w:rPr>
        <w:t>MRiPS</w:t>
      </w:r>
      <w:proofErr w:type="spellEnd"/>
      <w:r w:rsidRPr="00894EBA">
        <w:rPr>
          <w:rFonts w:ascii="Helvetica" w:hAnsi="Helvetica" w:cs="Helvetica"/>
          <w:szCs w:val="24"/>
        </w:rPr>
        <w:t>, Ministerstwo, Jednostka)</w:t>
      </w:r>
      <w:r w:rsidRPr="00894EBA">
        <w:rPr>
          <w:rFonts w:ascii="Helvetica" w:hAnsi="Helvetica" w:cs="Helvetica"/>
        </w:rPr>
        <w:t xml:space="preserve"> </w:t>
      </w:r>
      <w:r w:rsidRPr="00894EBA">
        <w:rPr>
          <w:rFonts w:ascii="Helvetica" w:hAnsi="Helvetica" w:cs="Helvetica"/>
          <w:szCs w:val="24"/>
        </w:rPr>
        <w:t xml:space="preserve">w zakresie </w:t>
      </w:r>
      <w:r w:rsidRPr="00894EBA">
        <w:rPr>
          <w:rFonts w:ascii="Helvetica" w:hAnsi="Helvetica" w:cs="Helvetica"/>
          <w:i/>
          <w:szCs w:val="24"/>
        </w:rPr>
        <w:t>wykorzystania systemów teleinformatycznych do realizacji zadań publicznych w</w:t>
      </w:r>
      <w:r w:rsidRPr="00894EBA">
        <w:rPr>
          <w:rFonts w:ascii="Helvetica" w:hAnsi="Helvetica" w:cs="Helvetica"/>
          <w:i/>
        </w:rPr>
        <w:t xml:space="preserve"> okresie od 6 października 2020 r. do 30 lipca 2021 r.</w:t>
      </w:r>
      <w:r w:rsidRPr="00894EBA">
        <w:rPr>
          <w:rFonts w:ascii="Helvetica" w:hAnsi="Helvetica" w:cs="Helvetica"/>
          <w:b/>
          <w:color w:val="FF0000"/>
          <w:sz w:val="18"/>
          <w:vertAlign w:val="superscript"/>
        </w:rPr>
        <w:footnoteReference w:id="3"/>
      </w:r>
      <w:r w:rsidR="00A42C62" w:rsidRPr="00894EBA">
        <w:rPr>
          <w:rFonts w:ascii="Helvetica" w:hAnsi="Helvetica" w:cs="Helvetica"/>
        </w:rPr>
        <w:t>.</w:t>
      </w:r>
    </w:p>
    <w:p w14:paraId="32629F8E" w14:textId="77777777" w:rsidR="004D1514" w:rsidRPr="00894EBA" w:rsidRDefault="004D1514" w:rsidP="00983826">
      <w:pPr>
        <w:tabs>
          <w:tab w:val="left" w:pos="709"/>
        </w:tabs>
        <w:spacing w:before="120"/>
        <w:jc w:val="both"/>
        <w:rPr>
          <w:rFonts w:ascii="Helvetica" w:hAnsi="Helvetica" w:cs="Helvetica"/>
          <w:sz w:val="18"/>
          <w:szCs w:val="18"/>
          <w:u w:val="single"/>
        </w:rPr>
      </w:pPr>
      <w:r w:rsidRPr="00894EBA">
        <w:rPr>
          <w:rFonts w:ascii="Helvetica" w:hAnsi="Helvetica" w:cs="Helvetica"/>
          <w:sz w:val="18"/>
          <w:szCs w:val="18"/>
          <w:u w:val="single"/>
        </w:rPr>
        <w:t>Podstawa prawna:</w:t>
      </w:r>
    </w:p>
    <w:p w14:paraId="0C8FE853" w14:textId="77777777" w:rsidR="004D1514" w:rsidRPr="00894EBA" w:rsidRDefault="004D1514" w:rsidP="00983826">
      <w:pPr>
        <w:tabs>
          <w:tab w:val="left" w:pos="709"/>
        </w:tabs>
        <w:jc w:val="both"/>
        <w:rPr>
          <w:rFonts w:ascii="Helvetica" w:hAnsi="Helvetica" w:cs="Helvetica"/>
          <w:sz w:val="18"/>
          <w:szCs w:val="18"/>
        </w:rPr>
      </w:pPr>
      <w:r w:rsidRPr="00894EBA">
        <w:rPr>
          <w:rFonts w:ascii="Helvetica" w:hAnsi="Helvetica" w:cs="Helvetica"/>
          <w:sz w:val="18"/>
          <w:szCs w:val="18"/>
        </w:rPr>
        <w:t>Art. 25 ust. 1 pkt 3 lit. c ustawy z dnia 17 lutego 2005 r. o informatyzacji działalności podmiotów realizujących zadania publiczne</w:t>
      </w:r>
      <w:r w:rsidRPr="00894EBA">
        <w:rPr>
          <w:rFonts w:ascii="Helvetica" w:hAnsi="Helvetica" w:cs="Helvetica"/>
          <w:b/>
          <w:color w:val="FF0000"/>
          <w:sz w:val="18"/>
          <w:vertAlign w:val="superscript"/>
        </w:rPr>
        <w:footnoteReference w:id="4"/>
      </w:r>
      <w:r w:rsidRPr="00894EBA">
        <w:rPr>
          <w:rFonts w:ascii="Helvetica" w:hAnsi="Helvetica" w:cs="Helvetica"/>
          <w:sz w:val="18"/>
          <w:szCs w:val="18"/>
        </w:rPr>
        <w:t xml:space="preserve"> </w:t>
      </w:r>
      <w:r w:rsidRPr="00894EBA">
        <w:rPr>
          <w:rFonts w:ascii="Helvetica" w:hAnsi="Helvetica" w:cs="Helvetica"/>
          <w:bCs/>
          <w:sz w:val="18"/>
          <w:szCs w:val="18"/>
        </w:rPr>
        <w:t>(</w:t>
      </w:r>
      <w:r w:rsidRPr="00894EBA">
        <w:rPr>
          <w:rFonts w:ascii="Helvetica" w:hAnsi="Helvetica" w:cs="Helvetica"/>
          <w:sz w:val="18"/>
          <w:szCs w:val="18"/>
        </w:rPr>
        <w:t xml:space="preserve">dalej: </w:t>
      </w:r>
      <w:r w:rsidRPr="00894EBA">
        <w:rPr>
          <w:rFonts w:ascii="Helvetica" w:hAnsi="Helvetica" w:cs="Helvetica"/>
          <w:i/>
          <w:sz w:val="18"/>
          <w:szCs w:val="18"/>
        </w:rPr>
        <w:t>ustawa o informatyzacji</w:t>
      </w:r>
      <w:r w:rsidRPr="00894EBA">
        <w:rPr>
          <w:rFonts w:ascii="Helvetica" w:hAnsi="Helvetica" w:cs="Helvetica"/>
          <w:sz w:val="18"/>
          <w:szCs w:val="18"/>
        </w:rPr>
        <w:t xml:space="preserve">) oraz art. </w:t>
      </w:r>
      <w:r w:rsidR="00F117F7">
        <w:rPr>
          <w:rFonts w:ascii="Helvetica" w:hAnsi="Helvetica" w:cs="Helvetica"/>
          <w:sz w:val="18"/>
          <w:szCs w:val="18"/>
        </w:rPr>
        <w:t>4</w:t>
      </w:r>
      <w:r w:rsidRPr="00894EBA">
        <w:rPr>
          <w:rFonts w:ascii="Helvetica" w:hAnsi="Helvetica" w:cs="Helvetica"/>
          <w:sz w:val="18"/>
          <w:szCs w:val="18"/>
        </w:rPr>
        <w:t xml:space="preserve">6 i </w:t>
      </w:r>
      <w:r w:rsidR="00F117F7">
        <w:rPr>
          <w:rFonts w:ascii="Helvetica" w:hAnsi="Helvetica" w:cs="Helvetica"/>
          <w:sz w:val="18"/>
          <w:szCs w:val="18"/>
        </w:rPr>
        <w:t>4</w:t>
      </w:r>
      <w:r w:rsidRPr="00894EBA">
        <w:rPr>
          <w:rFonts w:ascii="Helvetica" w:hAnsi="Helvetica" w:cs="Helvetica"/>
          <w:sz w:val="18"/>
          <w:szCs w:val="18"/>
        </w:rPr>
        <w:t>7 ustawy z dnia 15 lipca 2011 r. o kontroli w administracji rządowej</w:t>
      </w:r>
      <w:r w:rsidRPr="00894EBA">
        <w:rPr>
          <w:rFonts w:ascii="Helvetica" w:hAnsi="Helvetica" w:cs="Helvetica"/>
          <w:b/>
          <w:color w:val="FF0000"/>
          <w:sz w:val="18"/>
          <w:vertAlign w:val="superscript"/>
        </w:rPr>
        <w:footnoteReference w:id="5"/>
      </w:r>
      <w:r w:rsidRPr="00894EBA">
        <w:rPr>
          <w:rFonts w:ascii="Helvetica" w:hAnsi="Helvetica" w:cs="Helvetica"/>
          <w:sz w:val="18"/>
          <w:szCs w:val="18"/>
        </w:rPr>
        <w:t xml:space="preserve"> (dalej: </w:t>
      </w:r>
      <w:r w:rsidRPr="00894EBA">
        <w:rPr>
          <w:rFonts w:ascii="Helvetica" w:hAnsi="Helvetica" w:cs="Helvetica"/>
          <w:i/>
          <w:sz w:val="18"/>
          <w:szCs w:val="18"/>
        </w:rPr>
        <w:t>ustawa o kontroli</w:t>
      </w:r>
      <w:r w:rsidRPr="00894EBA">
        <w:rPr>
          <w:rFonts w:ascii="Helvetica" w:hAnsi="Helvetica" w:cs="Helvetica"/>
          <w:sz w:val="18"/>
          <w:szCs w:val="18"/>
        </w:rPr>
        <w:t>)</w:t>
      </w:r>
    </w:p>
    <w:p w14:paraId="07D0748C" w14:textId="77777777" w:rsidR="004D1514" w:rsidRPr="00894EBA" w:rsidRDefault="004D1514" w:rsidP="00983826">
      <w:pPr>
        <w:tabs>
          <w:tab w:val="left" w:pos="709"/>
        </w:tabs>
        <w:spacing w:before="240" w:line="300" w:lineRule="atLeast"/>
        <w:jc w:val="both"/>
        <w:rPr>
          <w:rFonts w:ascii="Helvetica" w:hAnsi="Helvetica" w:cs="Helvetica"/>
          <w:b/>
          <w:szCs w:val="24"/>
        </w:rPr>
      </w:pPr>
      <w:r w:rsidRPr="00894EBA">
        <w:rPr>
          <w:rFonts w:ascii="Helvetica" w:hAnsi="Helvetica" w:cs="Helvetica"/>
          <w:b/>
          <w:szCs w:val="24"/>
        </w:rPr>
        <w:t>OCENA KONTROLOWANEGO OBSZARU</w:t>
      </w:r>
    </w:p>
    <w:p w14:paraId="6313E1C5" w14:textId="77777777" w:rsidR="004D1514" w:rsidRPr="00894EBA" w:rsidRDefault="004D1514" w:rsidP="00983826">
      <w:pPr>
        <w:tabs>
          <w:tab w:val="left" w:pos="709"/>
        </w:tabs>
        <w:spacing w:before="60"/>
        <w:jc w:val="both"/>
        <w:rPr>
          <w:rFonts w:ascii="Helvetica" w:hAnsi="Helvetica" w:cs="Helvetica"/>
          <w:iCs/>
        </w:rPr>
      </w:pPr>
      <w:r w:rsidRPr="00894EBA">
        <w:rPr>
          <w:rFonts w:ascii="Helvetica" w:hAnsi="Helvetica" w:cs="Helvetica"/>
          <w:iCs/>
        </w:rPr>
        <w:t>Pozytywnie ocenić należy działania Ministerstwa mające na celu zapewnienie bezpieczeństwa informacji (dalej: BI) w zakresie zarządzania infrastrukturą informatyczną</w:t>
      </w:r>
      <w:r w:rsidRPr="00894EBA" w:rsidDel="00715709">
        <w:rPr>
          <w:rFonts w:ascii="Helvetica" w:hAnsi="Helvetica" w:cs="Helvetica"/>
          <w:iCs/>
        </w:rPr>
        <w:t xml:space="preserve"> </w:t>
      </w:r>
      <w:r w:rsidRPr="00894EBA">
        <w:rPr>
          <w:rFonts w:ascii="Helvetica" w:hAnsi="Helvetica" w:cs="Helvetica"/>
          <w:iCs/>
        </w:rPr>
        <w:t>dotyczące:</w:t>
      </w:r>
    </w:p>
    <w:p w14:paraId="0CC92447" w14:textId="77777777" w:rsidR="004D1514" w:rsidRPr="00894EBA" w:rsidRDefault="004D1514" w:rsidP="00983826">
      <w:pPr>
        <w:numPr>
          <w:ilvl w:val="0"/>
          <w:numId w:val="26"/>
        </w:numPr>
        <w:tabs>
          <w:tab w:val="left" w:pos="709"/>
        </w:tabs>
        <w:spacing w:before="40"/>
        <w:jc w:val="both"/>
        <w:rPr>
          <w:rFonts w:ascii="Helvetica" w:hAnsi="Helvetica" w:cs="Helvetica"/>
          <w:iCs/>
        </w:rPr>
      </w:pPr>
      <w:r w:rsidRPr="00894EBA">
        <w:rPr>
          <w:rFonts w:ascii="Helvetica" w:hAnsi="Helvetica" w:cs="Helvetica"/>
          <w:iCs/>
        </w:rPr>
        <w:t>bezpieczeństwa przy pracy zdalnej,</w:t>
      </w:r>
    </w:p>
    <w:p w14:paraId="1B8165E0" w14:textId="77777777" w:rsidR="004D1514" w:rsidRPr="00894EBA" w:rsidRDefault="004D1514" w:rsidP="00983826">
      <w:pPr>
        <w:numPr>
          <w:ilvl w:val="0"/>
          <w:numId w:val="26"/>
        </w:numPr>
        <w:tabs>
          <w:tab w:val="left" w:pos="709"/>
        </w:tabs>
        <w:spacing w:before="40"/>
        <w:jc w:val="both"/>
        <w:rPr>
          <w:rFonts w:ascii="Helvetica" w:hAnsi="Helvetica" w:cs="Helvetica"/>
          <w:iCs/>
        </w:rPr>
      </w:pPr>
      <w:r w:rsidRPr="00894EBA">
        <w:rPr>
          <w:rFonts w:ascii="Helvetica" w:hAnsi="Helvetica" w:cs="Helvetica"/>
          <w:iCs/>
        </w:rPr>
        <w:t>zabezpieczenia dostępu do systemów i nadawania uprawnień,</w:t>
      </w:r>
    </w:p>
    <w:p w14:paraId="4E2E110D" w14:textId="77777777" w:rsidR="004D1514" w:rsidRPr="00894EBA" w:rsidRDefault="004D1514" w:rsidP="00983826">
      <w:pPr>
        <w:numPr>
          <w:ilvl w:val="0"/>
          <w:numId w:val="26"/>
        </w:numPr>
        <w:tabs>
          <w:tab w:val="left" w:pos="709"/>
        </w:tabs>
        <w:spacing w:before="40"/>
        <w:jc w:val="both"/>
        <w:rPr>
          <w:rFonts w:ascii="Helvetica" w:hAnsi="Helvetica" w:cs="Helvetica"/>
          <w:iCs/>
        </w:rPr>
      </w:pPr>
      <w:r w:rsidRPr="00894EBA">
        <w:rPr>
          <w:rFonts w:ascii="Helvetica" w:hAnsi="Helvetica" w:cs="Helvetica"/>
          <w:iCs/>
        </w:rPr>
        <w:t xml:space="preserve">wdrożenia rozwiązań monitorujących ruch osobowy w obiektach </w:t>
      </w:r>
      <w:proofErr w:type="spellStart"/>
      <w:r w:rsidRPr="00894EBA">
        <w:rPr>
          <w:rFonts w:ascii="Helvetica" w:hAnsi="Helvetica" w:cs="Helvetica"/>
          <w:iCs/>
        </w:rPr>
        <w:t>MRiPS</w:t>
      </w:r>
      <w:proofErr w:type="spellEnd"/>
      <w:r w:rsidRPr="00894EBA">
        <w:rPr>
          <w:rFonts w:ascii="Helvetica" w:hAnsi="Helvetica" w:cs="Helvetica"/>
          <w:iCs/>
        </w:rPr>
        <w:t>,</w:t>
      </w:r>
    </w:p>
    <w:p w14:paraId="5850EEEC" w14:textId="77777777" w:rsidR="004D1514" w:rsidRPr="00894EBA" w:rsidRDefault="004D1514" w:rsidP="00983826">
      <w:pPr>
        <w:numPr>
          <w:ilvl w:val="0"/>
          <w:numId w:val="26"/>
        </w:numPr>
        <w:tabs>
          <w:tab w:val="left" w:pos="709"/>
        </w:tabs>
        <w:spacing w:before="40"/>
        <w:jc w:val="both"/>
        <w:rPr>
          <w:rFonts w:ascii="Helvetica" w:hAnsi="Helvetica" w:cs="Helvetica"/>
          <w:iCs/>
        </w:rPr>
      </w:pPr>
      <w:r w:rsidRPr="00894EBA">
        <w:rPr>
          <w:rFonts w:ascii="Helvetica" w:hAnsi="Helvetica" w:cs="Helvetica"/>
          <w:iCs/>
        </w:rPr>
        <w:t>monitorowania systemów teleinformatycznych i środowiska ich pracy, a także działań użytkowników w tych systemach,</w:t>
      </w:r>
    </w:p>
    <w:p w14:paraId="33EAAD5A" w14:textId="77777777" w:rsidR="004D1514" w:rsidRPr="00894EBA" w:rsidRDefault="004D1514" w:rsidP="00626D13">
      <w:pPr>
        <w:numPr>
          <w:ilvl w:val="0"/>
          <w:numId w:val="26"/>
        </w:numPr>
        <w:tabs>
          <w:tab w:val="left" w:pos="709"/>
        </w:tabs>
        <w:spacing w:before="40"/>
        <w:ind w:left="709" w:hanging="283"/>
        <w:jc w:val="both"/>
        <w:rPr>
          <w:rFonts w:ascii="Helvetica" w:hAnsi="Helvetica" w:cs="Helvetica"/>
          <w:iCs/>
        </w:rPr>
      </w:pPr>
      <w:r w:rsidRPr="00894EBA">
        <w:rPr>
          <w:rFonts w:ascii="Helvetica" w:hAnsi="Helvetica" w:cs="Helvetica"/>
          <w:iCs/>
        </w:rPr>
        <w:t>zapewnienia przejrzystego procesu wdrażania zmian w systemach oraz tworzenia kopii zapasowych.</w:t>
      </w:r>
    </w:p>
    <w:p w14:paraId="4D091276" w14:textId="77777777" w:rsidR="004D1514" w:rsidRPr="00894EBA" w:rsidRDefault="004D1514" w:rsidP="00983826">
      <w:pPr>
        <w:tabs>
          <w:tab w:val="left" w:pos="709"/>
        </w:tabs>
        <w:spacing w:before="60"/>
        <w:jc w:val="both"/>
        <w:rPr>
          <w:rFonts w:ascii="Helvetica" w:hAnsi="Helvetica" w:cs="Helvetica"/>
          <w:iCs/>
        </w:rPr>
      </w:pPr>
      <w:r w:rsidRPr="00894EBA">
        <w:rPr>
          <w:rFonts w:ascii="Helvetica" w:hAnsi="Helvetica" w:cs="Helvetica"/>
          <w:iCs/>
        </w:rPr>
        <w:t xml:space="preserve">Dla pełnego wdrożenia kompleksowego i spójnego Systemu Zarządzania Bezpieczeństwem Informacji (dalej: </w:t>
      </w:r>
      <w:r w:rsidRPr="00894EBA">
        <w:rPr>
          <w:rFonts w:ascii="Helvetica" w:hAnsi="Helvetica" w:cs="Helvetica"/>
          <w:i/>
          <w:iCs/>
        </w:rPr>
        <w:t>SZBI</w:t>
      </w:r>
      <w:r w:rsidRPr="00894EBA">
        <w:rPr>
          <w:rFonts w:ascii="Helvetica" w:hAnsi="Helvetica" w:cs="Helvetica"/>
          <w:iCs/>
        </w:rPr>
        <w:t>)</w:t>
      </w:r>
      <w:r w:rsidRPr="00894EBA">
        <w:rPr>
          <w:rFonts w:ascii="Helvetica" w:hAnsi="Helvetica" w:cs="Helvetica"/>
          <w:i/>
          <w:iCs/>
        </w:rPr>
        <w:t xml:space="preserve"> </w:t>
      </w:r>
      <w:r w:rsidRPr="00894EBA">
        <w:rPr>
          <w:rFonts w:ascii="Helvetica" w:hAnsi="Helvetica" w:cs="Helvetica"/>
          <w:iCs/>
        </w:rPr>
        <w:t>z</w:t>
      </w:r>
      <w:r w:rsidRPr="00894EBA">
        <w:rPr>
          <w:rFonts w:ascii="Helvetica" w:hAnsi="Helvetica" w:cs="Helvetica"/>
        </w:rPr>
        <w:t xml:space="preserve">asadna jest ponadto zmiana podejścia do jego ustanowienia. Skuteczne wprowadzenie tego systemu wymaga </w:t>
      </w:r>
      <w:r w:rsidRPr="00894EBA">
        <w:rPr>
          <w:rFonts w:ascii="Helvetica" w:hAnsi="Helvetica" w:cs="Helvetica"/>
          <w:iCs/>
        </w:rPr>
        <w:t xml:space="preserve">identyfikacji obszarów wymagających zmiany/korekty </w:t>
      </w:r>
      <w:r w:rsidRPr="00894EBA">
        <w:rPr>
          <w:rFonts w:ascii="Helvetica" w:hAnsi="Helvetica" w:cs="Helvetica"/>
        </w:rPr>
        <w:t xml:space="preserve">oraz proaktywnego zarządzania </w:t>
      </w:r>
      <w:r w:rsidRPr="00894EBA">
        <w:rPr>
          <w:rFonts w:ascii="Helvetica" w:hAnsi="Helvetica" w:cs="Helvetica"/>
          <w:iCs/>
        </w:rPr>
        <w:t xml:space="preserve">systemem. </w:t>
      </w:r>
      <w:r w:rsidRPr="00894EBA">
        <w:rPr>
          <w:rFonts w:ascii="Helvetica" w:hAnsi="Helvetica" w:cs="Helvetica"/>
        </w:rPr>
        <w:t xml:space="preserve">W szczególności niezbędne jest opracowanie całościowej analizy ryzyka w stosunku do wszystkich aktywów Jednostki, </w:t>
      </w:r>
      <w:r w:rsidRPr="00894EBA">
        <w:rPr>
          <w:rFonts w:ascii="Helvetica" w:hAnsi="Helvetica" w:cs="Helvetica"/>
          <w:szCs w:val="24"/>
        </w:rPr>
        <w:lastRenderedPageBreak/>
        <w:t xml:space="preserve">kompleksowej dokumentacji </w:t>
      </w:r>
      <w:r w:rsidRPr="00894EBA">
        <w:rPr>
          <w:rFonts w:ascii="Helvetica" w:hAnsi="Helvetica" w:cs="Helvetica"/>
          <w:i/>
          <w:szCs w:val="24"/>
        </w:rPr>
        <w:t xml:space="preserve">SZBI </w:t>
      </w:r>
      <w:r w:rsidRPr="00894EBA">
        <w:rPr>
          <w:rFonts w:ascii="Helvetica" w:hAnsi="Helvetica" w:cs="Helvetica"/>
          <w:szCs w:val="24"/>
        </w:rPr>
        <w:t>oraz</w:t>
      </w:r>
      <w:r w:rsidRPr="00894EBA">
        <w:rPr>
          <w:rFonts w:ascii="Helvetica" w:hAnsi="Helvetica" w:cs="Helvetica"/>
        </w:rPr>
        <w:t xml:space="preserve"> wdrożenie narzędzi nadzorczych dostarczających całościowych informacji nt. poszczególnych etapów jego ustanawiania.</w:t>
      </w:r>
    </w:p>
    <w:p w14:paraId="70161E9E" w14:textId="77777777" w:rsidR="004D1514" w:rsidRPr="00894EBA" w:rsidRDefault="004D1514" w:rsidP="00983826">
      <w:pPr>
        <w:tabs>
          <w:tab w:val="left" w:pos="709"/>
        </w:tabs>
        <w:spacing w:before="60" w:line="300" w:lineRule="atLeast"/>
        <w:jc w:val="both"/>
        <w:rPr>
          <w:rFonts w:ascii="Helvetica" w:hAnsi="Helvetica" w:cs="Helvetica"/>
          <w:b/>
          <w:szCs w:val="24"/>
          <w:u w:val="single"/>
        </w:rPr>
      </w:pPr>
      <w:r w:rsidRPr="00894EBA">
        <w:rPr>
          <w:rFonts w:ascii="Helvetica" w:hAnsi="Helvetica" w:cs="Helvetica"/>
          <w:b/>
          <w:szCs w:val="24"/>
          <w:u w:val="single"/>
        </w:rPr>
        <w:t>System zarządzania bezpieczeństwem informacji</w:t>
      </w:r>
    </w:p>
    <w:p w14:paraId="1BA186DE" w14:textId="77777777" w:rsidR="004D1514" w:rsidRPr="00894EBA" w:rsidRDefault="004D1514" w:rsidP="002A4D44">
      <w:pPr>
        <w:numPr>
          <w:ilvl w:val="0"/>
          <w:numId w:val="8"/>
        </w:numPr>
        <w:tabs>
          <w:tab w:val="left" w:pos="284"/>
        </w:tabs>
        <w:spacing w:before="60" w:line="300" w:lineRule="atLeast"/>
        <w:ind w:left="284" w:hanging="284"/>
        <w:jc w:val="both"/>
        <w:rPr>
          <w:rFonts w:ascii="Helvetica" w:hAnsi="Helvetica" w:cs="Helvetica"/>
          <w:szCs w:val="24"/>
        </w:rPr>
      </w:pPr>
      <w:r w:rsidRPr="00894EBA">
        <w:rPr>
          <w:rFonts w:ascii="Helvetica" w:hAnsi="Helvetica" w:cs="Helvetica"/>
          <w:b/>
        </w:rPr>
        <w:t>[</w:t>
      </w:r>
      <w:r w:rsidRPr="00894EBA">
        <w:rPr>
          <w:rFonts w:ascii="Helvetica" w:hAnsi="Helvetica" w:cs="Helvetica"/>
          <w:b/>
          <w:i/>
        </w:rPr>
        <w:t>SZBI</w:t>
      </w:r>
      <w:r w:rsidRPr="00894EBA">
        <w:rPr>
          <w:rFonts w:ascii="Helvetica" w:hAnsi="Helvetica" w:cs="Helvetica"/>
          <w:b/>
        </w:rPr>
        <w:t>]</w:t>
      </w:r>
      <w:r w:rsidRPr="00894EBA">
        <w:rPr>
          <w:rFonts w:ascii="Helvetica" w:hAnsi="Helvetica" w:cs="Helvetica"/>
        </w:rPr>
        <w:t xml:space="preserve"> </w:t>
      </w:r>
      <w:r w:rsidRPr="00894EBA">
        <w:rPr>
          <w:rFonts w:ascii="Helvetica" w:hAnsi="Helvetica" w:cs="Helvetica"/>
          <w:szCs w:val="24"/>
        </w:rPr>
        <w:t xml:space="preserve">Warunkiem skutecznego zarządzania BI jest posiadanie przez Jednostkę kompleksowej dokumentacji. Ministerstwo </w:t>
      </w:r>
      <w:r w:rsidRPr="00894EBA">
        <w:rPr>
          <w:rFonts w:ascii="Helvetica" w:hAnsi="Helvetica" w:cs="Helvetica"/>
          <w:bCs/>
        </w:rPr>
        <w:t xml:space="preserve">wdrożyło </w:t>
      </w:r>
      <w:r w:rsidRPr="00894EBA">
        <w:rPr>
          <w:rFonts w:ascii="Helvetica" w:hAnsi="Helvetica" w:cs="Helvetica"/>
          <w:i/>
        </w:rPr>
        <w:t xml:space="preserve">Politykę Bezpieczeństwa Informacji w obszarze IT, </w:t>
      </w:r>
      <w:r w:rsidRPr="00894EBA">
        <w:rPr>
          <w:rFonts w:ascii="Helvetica" w:hAnsi="Helvetica" w:cs="Helvetica"/>
          <w:szCs w:val="24"/>
        </w:rPr>
        <w:t xml:space="preserve">która regulowała szereg zagadnień wspierających proces zarządzania infrastrukturą informatyczną. </w:t>
      </w:r>
      <w:r w:rsidRPr="00894EBA">
        <w:rPr>
          <w:rFonts w:ascii="Helvetica" w:hAnsi="Helvetica" w:cs="Helvetica"/>
        </w:rPr>
        <w:t xml:space="preserve">Regulacja ta jednak </w:t>
      </w:r>
      <w:r w:rsidRPr="00894EBA">
        <w:rPr>
          <w:rFonts w:ascii="Helvetica" w:hAnsi="Helvetica" w:cs="Helvetica"/>
          <w:bCs/>
        </w:rPr>
        <w:t>dotyczyła</w:t>
      </w:r>
      <w:r w:rsidRPr="00894EBA">
        <w:rPr>
          <w:rFonts w:ascii="Helvetica" w:hAnsi="Helvetica" w:cs="Helvetica"/>
        </w:rPr>
        <w:t xml:space="preserve"> wyłącznie bezpieczeństwa informatycznego i</w:t>
      </w:r>
      <w:r w:rsidRPr="00894EBA">
        <w:rPr>
          <w:rFonts w:ascii="Helvetica" w:hAnsi="Helvetica" w:cs="Helvetica"/>
          <w:bCs/>
        </w:rPr>
        <w:t xml:space="preserve"> nie odnosiła się do wszystkich obszarów </w:t>
      </w:r>
      <w:r w:rsidRPr="00894EBA">
        <w:rPr>
          <w:rFonts w:ascii="Helvetica" w:hAnsi="Helvetica" w:cs="Helvetica"/>
          <w:bCs/>
          <w:i/>
        </w:rPr>
        <w:t>SZBI</w:t>
      </w:r>
      <w:r w:rsidRPr="00894EBA">
        <w:rPr>
          <w:rFonts w:ascii="Helvetica" w:hAnsi="Helvetica" w:cs="Helvetica"/>
          <w:bCs/>
        </w:rPr>
        <w:t>, w szczególności takich jak </w:t>
      </w:r>
      <w:r w:rsidRPr="00894EBA">
        <w:rPr>
          <w:rFonts w:ascii="Helvetica" w:hAnsi="Helvetica" w:cs="Helvetica"/>
          <w:color w:val="000000"/>
          <w:szCs w:val="24"/>
        </w:rPr>
        <w:t>przeglądy</w:t>
      </w:r>
      <w:r w:rsidRPr="00894EBA">
        <w:rPr>
          <w:rFonts w:ascii="Helvetica" w:hAnsi="Helvetica" w:cs="Helvetica"/>
          <w:i/>
          <w:szCs w:val="24"/>
        </w:rPr>
        <w:t xml:space="preserve"> SZBI</w:t>
      </w:r>
      <w:r w:rsidRPr="00894EBA">
        <w:rPr>
          <w:rFonts w:ascii="Helvetica" w:hAnsi="Helvetica" w:cs="Helvetica"/>
          <w:color w:val="000000"/>
          <w:szCs w:val="24"/>
        </w:rPr>
        <w:t>, analiza ryzyka, audyt BI, baza konfiguracji CMDB.</w:t>
      </w:r>
    </w:p>
    <w:p w14:paraId="1EBFA2AE" w14:textId="77777777" w:rsidR="004D1514" w:rsidRPr="00894EBA" w:rsidRDefault="004D1514" w:rsidP="002A4D44">
      <w:pPr>
        <w:numPr>
          <w:ilvl w:val="0"/>
          <w:numId w:val="8"/>
        </w:numPr>
        <w:tabs>
          <w:tab w:val="left" w:pos="284"/>
        </w:tabs>
        <w:spacing w:before="60" w:line="300" w:lineRule="atLeast"/>
        <w:ind w:left="284" w:hanging="284"/>
        <w:jc w:val="both"/>
        <w:rPr>
          <w:rFonts w:ascii="Helvetica" w:hAnsi="Helvetica" w:cs="Helvetica"/>
        </w:rPr>
      </w:pPr>
      <w:r w:rsidRPr="00894EBA">
        <w:rPr>
          <w:rFonts w:ascii="Helvetica" w:hAnsi="Helvetica" w:cs="Helvetica"/>
          <w:b/>
        </w:rPr>
        <w:t xml:space="preserve">[Nadzór] </w:t>
      </w:r>
      <w:r w:rsidRPr="00894EBA">
        <w:rPr>
          <w:rFonts w:ascii="Helvetica" w:hAnsi="Helvetica" w:cs="Helvetica"/>
        </w:rPr>
        <w:t xml:space="preserve">Nadzór nad </w:t>
      </w:r>
      <w:r w:rsidRPr="00894EBA">
        <w:rPr>
          <w:rFonts w:ascii="Helvetica" w:hAnsi="Helvetica" w:cs="Helvetica"/>
          <w:i/>
        </w:rPr>
        <w:t xml:space="preserve">SZBI </w:t>
      </w:r>
      <w:r w:rsidRPr="00894EBA">
        <w:rPr>
          <w:rFonts w:ascii="Helvetica" w:hAnsi="Helvetica" w:cs="Helvetica"/>
        </w:rPr>
        <w:t xml:space="preserve">był rozproszony i nie wszystkie obszary systemu zostały nim objęte, w szczególności </w:t>
      </w:r>
      <w:r w:rsidRPr="00894EBA">
        <w:rPr>
          <w:rFonts w:ascii="Helvetica" w:eastAsia="Calibri" w:hAnsi="Helvetica" w:cs="Helvetica"/>
          <w:color w:val="000000"/>
          <w:lang w:eastAsia="en-US"/>
        </w:rPr>
        <w:t xml:space="preserve">dotyczące </w:t>
      </w:r>
      <w:r w:rsidRPr="00894EBA">
        <w:rPr>
          <w:rFonts w:ascii="Helvetica" w:hAnsi="Helvetica" w:cs="Helvetica"/>
          <w:color w:val="000000"/>
        </w:rPr>
        <w:t xml:space="preserve">przeglądów </w:t>
      </w:r>
      <w:r w:rsidRPr="00894EBA">
        <w:rPr>
          <w:rFonts w:ascii="Helvetica" w:hAnsi="Helvetica" w:cs="Helvetica"/>
          <w:i/>
          <w:color w:val="000000"/>
        </w:rPr>
        <w:t>SZBI</w:t>
      </w:r>
      <w:r w:rsidRPr="00894EBA">
        <w:rPr>
          <w:rFonts w:ascii="Helvetica" w:hAnsi="Helvetica" w:cs="Helvetica"/>
          <w:color w:val="000000"/>
        </w:rPr>
        <w:t>, analizy ryzyka, audytu BI oraz bazy konfiguracji CMDB.</w:t>
      </w:r>
      <w:r w:rsidRPr="00894EBA">
        <w:rPr>
          <w:rFonts w:ascii="Helvetica" w:hAnsi="Helvetica" w:cs="Helvetica"/>
        </w:rPr>
        <w:t xml:space="preserve"> Ministerstwo nie posiadało także </w:t>
      </w:r>
      <w:r w:rsidRPr="00894EBA">
        <w:rPr>
          <w:rFonts w:ascii="Helvetica" w:hAnsi="Helvetica" w:cs="Helvetica"/>
          <w:lang w:bidi="pl-PL"/>
        </w:rPr>
        <w:t xml:space="preserve">zbiorczych informacji, które </w:t>
      </w:r>
      <w:r w:rsidR="0080660E" w:rsidRPr="00894EBA">
        <w:rPr>
          <w:rFonts w:ascii="Helvetica" w:hAnsi="Helvetica" w:cs="Helvetica"/>
          <w:lang w:bidi="pl-PL"/>
        </w:rPr>
        <w:t>są</w:t>
      </w:r>
      <w:r w:rsidR="0080660E">
        <w:rPr>
          <w:rFonts w:ascii="Helvetica" w:hAnsi="Helvetica" w:cs="Helvetica"/>
          <w:lang w:bidi="pl-PL"/>
        </w:rPr>
        <w:t> </w:t>
      </w:r>
      <w:r w:rsidRPr="00894EBA">
        <w:rPr>
          <w:rFonts w:ascii="Helvetica" w:hAnsi="Helvetica" w:cs="Helvetica"/>
          <w:bCs/>
        </w:rPr>
        <w:t xml:space="preserve">kluczowe w procesie zarządzania. </w:t>
      </w:r>
      <w:r w:rsidRPr="00894EBA">
        <w:rPr>
          <w:rFonts w:ascii="Helvetica" w:eastAsia="Calibri" w:hAnsi="Helvetica" w:cs="Helvetica"/>
          <w:color w:val="000000"/>
          <w:lang w:eastAsia="en-US"/>
        </w:rPr>
        <w:t>N</w:t>
      </w:r>
      <w:r w:rsidRPr="00894EBA">
        <w:rPr>
          <w:rFonts w:ascii="Helvetica" w:hAnsi="Helvetica" w:cs="Helvetica"/>
        </w:rPr>
        <w:t xml:space="preserve">ie przeprowadzono bowiem całościowej analizy aktualnego stanu BI, umożliwiającej opracowanie planu/strategii rozwoju </w:t>
      </w:r>
      <w:r w:rsidRPr="00894EBA">
        <w:rPr>
          <w:rFonts w:ascii="Helvetica" w:hAnsi="Helvetica" w:cs="Helvetica"/>
          <w:i/>
        </w:rPr>
        <w:t>SZBI.</w:t>
      </w:r>
    </w:p>
    <w:p w14:paraId="38D0B13F" w14:textId="77777777" w:rsidR="004D1514" w:rsidRPr="00894EBA" w:rsidRDefault="004D1514" w:rsidP="002A4D44">
      <w:pPr>
        <w:numPr>
          <w:ilvl w:val="0"/>
          <w:numId w:val="8"/>
        </w:numPr>
        <w:tabs>
          <w:tab w:val="left" w:pos="284"/>
        </w:tabs>
        <w:spacing w:before="60" w:line="300" w:lineRule="atLeast"/>
        <w:ind w:left="284" w:hanging="284"/>
        <w:jc w:val="both"/>
        <w:rPr>
          <w:rFonts w:ascii="Helvetica" w:hAnsi="Helvetica" w:cs="Helvetica"/>
        </w:rPr>
      </w:pPr>
      <w:r w:rsidRPr="00894EBA">
        <w:rPr>
          <w:rFonts w:ascii="Helvetica" w:hAnsi="Helvetica" w:cs="Helvetica"/>
          <w:b/>
        </w:rPr>
        <w:t>[Analiza ryzyka i plan postępowania z ryzykiem]</w:t>
      </w:r>
      <w:r w:rsidRPr="00894EBA">
        <w:rPr>
          <w:rFonts w:ascii="Helvetica" w:hAnsi="Helvetica" w:cs="Helvetica"/>
        </w:rPr>
        <w:t xml:space="preserve"> </w:t>
      </w:r>
      <w:r w:rsidRPr="00894EBA">
        <w:rPr>
          <w:rFonts w:ascii="Helvetica" w:hAnsi="Helvetica" w:cs="Helvetica"/>
          <w:bCs/>
        </w:rPr>
        <w:t xml:space="preserve">Realizowane były czynności dotyczące szacowania ryzyka, jednak podejmowane działania prowadzone były </w:t>
      </w:r>
      <w:r w:rsidR="00FF183C" w:rsidRPr="00894EBA">
        <w:rPr>
          <w:rFonts w:ascii="Helvetica" w:hAnsi="Helvetica" w:cs="Helvetica"/>
          <w:bCs/>
        </w:rPr>
        <w:t>na</w:t>
      </w:r>
      <w:r w:rsidR="00FF183C">
        <w:rPr>
          <w:rFonts w:ascii="Helvetica" w:hAnsi="Helvetica" w:cs="Helvetica"/>
          <w:bCs/>
        </w:rPr>
        <w:t> </w:t>
      </w:r>
      <w:r w:rsidRPr="00894EBA">
        <w:rPr>
          <w:rFonts w:ascii="Helvetica" w:hAnsi="Helvetica" w:cs="Helvetica"/>
          <w:bCs/>
        </w:rPr>
        <w:t>potrzeby kontroli zarządczej. Identyfikowano ryzyka w stosunku do zadań</w:t>
      </w:r>
      <w:r w:rsidRPr="00894EBA">
        <w:rPr>
          <w:rFonts w:ascii="Helvetica" w:hAnsi="Helvetica" w:cs="Helvetica"/>
        </w:rPr>
        <w:t xml:space="preserve">, podczas gdy celem analizy ryzyka BI, powinna być w pierwszej kolejności ocena </w:t>
      </w:r>
      <w:proofErr w:type="spellStart"/>
      <w:r w:rsidRPr="00894EBA">
        <w:rPr>
          <w:rFonts w:ascii="Helvetica" w:hAnsi="Helvetica" w:cs="Helvetica"/>
        </w:rPr>
        <w:t>ryzyk</w:t>
      </w:r>
      <w:proofErr w:type="spellEnd"/>
      <w:r w:rsidRPr="00894EBA">
        <w:rPr>
          <w:rFonts w:ascii="Helvetica" w:hAnsi="Helvetica" w:cs="Helvetica"/>
        </w:rPr>
        <w:t xml:space="preserve"> związanych z utratą integralności, dostępności lub poufności.</w:t>
      </w:r>
    </w:p>
    <w:p w14:paraId="392C9507" w14:textId="77777777" w:rsidR="004D1514" w:rsidRPr="00894EBA" w:rsidRDefault="004D1514" w:rsidP="002A4D44">
      <w:pPr>
        <w:numPr>
          <w:ilvl w:val="0"/>
          <w:numId w:val="8"/>
        </w:numPr>
        <w:tabs>
          <w:tab w:val="left" w:pos="284"/>
        </w:tabs>
        <w:spacing w:before="60" w:line="300" w:lineRule="atLeast"/>
        <w:ind w:left="284" w:hanging="284"/>
        <w:jc w:val="both"/>
        <w:rPr>
          <w:rFonts w:ascii="Helvetica" w:hAnsi="Helvetica" w:cs="Helvetica"/>
        </w:rPr>
      </w:pPr>
      <w:r w:rsidRPr="00894EBA">
        <w:rPr>
          <w:rFonts w:ascii="Helvetica" w:hAnsi="Helvetica" w:cs="Helvetica"/>
          <w:b/>
          <w:bCs/>
        </w:rPr>
        <w:t>[Audyt]</w:t>
      </w:r>
      <w:r w:rsidRPr="00894EBA">
        <w:rPr>
          <w:rFonts w:ascii="Helvetica" w:hAnsi="Helvetica" w:cs="Helvetica"/>
          <w:bCs/>
        </w:rPr>
        <w:t xml:space="preserve"> W Ministerstwie przeprowadzono audyt BI i podejmowano działania w celu doskonalenia </w:t>
      </w:r>
      <w:r w:rsidRPr="00894EBA">
        <w:rPr>
          <w:rFonts w:ascii="Helvetica" w:hAnsi="Helvetica" w:cs="Helvetica"/>
          <w:bCs/>
          <w:i/>
        </w:rPr>
        <w:t>SZBI</w:t>
      </w:r>
      <w:r w:rsidRPr="00894EBA">
        <w:rPr>
          <w:rFonts w:ascii="Helvetica" w:hAnsi="Helvetica" w:cs="Helvetica"/>
          <w:bCs/>
        </w:rPr>
        <w:t xml:space="preserve">. Audytem nie objęto wszystkich obszarów </w:t>
      </w:r>
      <w:r w:rsidRPr="00894EBA">
        <w:rPr>
          <w:rFonts w:ascii="Helvetica" w:hAnsi="Helvetica" w:cs="Helvetica"/>
          <w:bCs/>
          <w:i/>
        </w:rPr>
        <w:t>SZBI</w:t>
      </w:r>
      <w:r w:rsidRPr="00894EBA">
        <w:rPr>
          <w:rFonts w:ascii="Helvetica" w:hAnsi="Helvetica" w:cs="Helvetica"/>
          <w:bCs/>
        </w:rPr>
        <w:t xml:space="preserve">. Tym samym nie zidentyfikowano kompleksowo nieprawidłowości systemu, przez co nie zapewniono możliwości ich eliminacji. Pozytywnie należy ocenić wdrożenie rozwiązań zapewniających </w:t>
      </w:r>
      <w:r w:rsidRPr="00894EBA">
        <w:rPr>
          <w:rFonts w:ascii="Helvetica" w:hAnsi="Helvetica" w:cs="Helvetica"/>
        </w:rPr>
        <w:t>monitorowanie stopnia wykonania rekomendacji audytu.</w:t>
      </w:r>
    </w:p>
    <w:p w14:paraId="7E5E10E5" w14:textId="77777777" w:rsidR="004D1514" w:rsidRPr="00894EBA" w:rsidRDefault="004D1514" w:rsidP="002A4D44">
      <w:pPr>
        <w:numPr>
          <w:ilvl w:val="0"/>
          <w:numId w:val="8"/>
        </w:numPr>
        <w:tabs>
          <w:tab w:val="left" w:pos="284"/>
        </w:tabs>
        <w:spacing w:before="60" w:line="300" w:lineRule="atLeast"/>
        <w:ind w:left="284" w:hanging="284"/>
        <w:jc w:val="both"/>
        <w:rPr>
          <w:rFonts w:ascii="Helvetica" w:hAnsi="Helvetica" w:cs="Helvetica"/>
        </w:rPr>
      </w:pPr>
      <w:r w:rsidRPr="00894EBA">
        <w:rPr>
          <w:rFonts w:ascii="Helvetica" w:hAnsi="Helvetica" w:cs="Helvetica"/>
          <w:b/>
        </w:rPr>
        <w:t xml:space="preserve">[Baza CMDB] </w:t>
      </w:r>
      <w:r w:rsidRPr="00894EBA">
        <w:rPr>
          <w:rFonts w:ascii="Helvetica" w:hAnsi="Helvetica" w:cs="Helvetica"/>
          <w:bCs/>
        </w:rPr>
        <w:t>Prowadzono inwentaryzację sprzętu i oprogramowania służącego do przetwarzania informacji, ale w ewidencjach / rejestrach nie ujęto wszystkich aktywów informatycznych i nie wskazano relacji pomiędzy elementami konfiguracji. Tym samym nie można uznać, że dysponowano kompleksową bazą CMDB.</w:t>
      </w:r>
    </w:p>
    <w:p w14:paraId="79BB1BD9" w14:textId="77777777" w:rsidR="004D1514" w:rsidRPr="00894EBA" w:rsidRDefault="004D1514" w:rsidP="002A4D44">
      <w:pPr>
        <w:numPr>
          <w:ilvl w:val="0"/>
          <w:numId w:val="8"/>
        </w:numPr>
        <w:tabs>
          <w:tab w:val="left" w:pos="284"/>
        </w:tabs>
        <w:spacing w:before="60" w:line="300" w:lineRule="atLeast"/>
        <w:ind w:left="284" w:hanging="284"/>
        <w:jc w:val="both"/>
        <w:rPr>
          <w:rFonts w:ascii="Helvetica" w:hAnsi="Helvetica" w:cs="Helvetica"/>
        </w:rPr>
      </w:pPr>
      <w:r w:rsidRPr="00894EBA">
        <w:rPr>
          <w:rFonts w:ascii="Helvetica" w:hAnsi="Helvetica" w:cs="Helvetica"/>
          <w:b/>
        </w:rPr>
        <w:t xml:space="preserve">[Uprawnienia] </w:t>
      </w:r>
      <w:r w:rsidRPr="00894EBA">
        <w:rPr>
          <w:rFonts w:ascii="Helvetica" w:hAnsi="Helvetica" w:cs="Helvetica"/>
        </w:rPr>
        <w:t>Ministerstwo posiadało regulacje w obszarze nadawania, modyfikacji i odbierania uprawnień. Wymagają one aktualizacji w zakresie wykorzystywanego narzędzia do przekazywania wniosków dotyczących uprawnień (</w:t>
      </w:r>
      <w:r w:rsidRPr="00894EBA">
        <w:rPr>
          <w:rFonts w:ascii="Helvetica" w:hAnsi="Helvetica" w:cs="Helvetica"/>
          <w:szCs w:val="24"/>
        </w:rPr>
        <w:t>samoobsługowy system rejestracji zgłoszeń</w:t>
      </w:r>
      <w:r w:rsidRPr="00894EBA">
        <w:rPr>
          <w:rFonts w:ascii="Helvetica" w:hAnsi="Helvetica" w:cs="Helvetica"/>
          <w:b/>
          <w:color w:val="FF0000"/>
          <w:sz w:val="18"/>
          <w:szCs w:val="18"/>
          <w:vertAlign w:val="superscript"/>
        </w:rPr>
        <w:footnoteReference w:id="6"/>
      </w:r>
      <w:r w:rsidRPr="00894EBA">
        <w:rPr>
          <w:rFonts w:ascii="Helvetica" w:hAnsi="Helvetica" w:cs="Helvetica"/>
        </w:rPr>
        <w:t xml:space="preserve"> zastąpiono systemem </w:t>
      </w:r>
      <w:proofErr w:type="spellStart"/>
      <w:r w:rsidRPr="00894EBA">
        <w:rPr>
          <w:rFonts w:ascii="Helvetica" w:hAnsi="Helvetica" w:cs="Helvetica"/>
        </w:rPr>
        <w:t>eDok</w:t>
      </w:r>
      <w:proofErr w:type="spellEnd"/>
      <w:r w:rsidRPr="00894EBA">
        <w:rPr>
          <w:rFonts w:ascii="Helvetica" w:hAnsi="Helvetica" w:cs="Helvetica"/>
        </w:rPr>
        <w:t>) oraz uzupełnień o przepisy gwarantujące niezwłoczne odbieranie uprawnień po zakończeniu zatrudnienia. Działania w zakresie nadawania uprawnień pracownikom, wykonawcom umów, a także zarządzania hasłami były wykonywane prawidłowo.</w:t>
      </w:r>
    </w:p>
    <w:p w14:paraId="1A283B03" w14:textId="77777777" w:rsidR="004D1514" w:rsidRPr="00894EBA" w:rsidRDefault="004D1514" w:rsidP="002A4D44">
      <w:pPr>
        <w:numPr>
          <w:ilvl w:val="0"/>
          <w:numId w:val="8"/>
        </w:numPr>
        <w:tabs>
          <w:tab w:val="left" w:pos="284"/>
        </w:tabs>
        <w:spacing w:before="60" w:line="300" w:lineRule="atLeast"/>
        <w:ind w:left="284" w:hanging="284"/>
        <w:jc w:val="both"/>
        <w:rPr>
          <w:rFonts w:ascii="Helvetica" w:hAnsi="Helvetica" w:cs="Helvetica"/>
        </w:rPr>
      </w:pPr>
      <w:r w:rsidRPr="00894EBA">
        <w:rPr>
          <w:rFonts w:ascii="Helvetica" w:hAnsi="Helvetica" w:cs="Helvetica"/>
          <w:b/>
        </w:rPr>
        <w:t xml:space="preserve">[Incydenty] </w:t>
      </w:r>
      <w:r w:rsidRPr="00894EBA">
        <w:rPr>
          <w:rFonts w:ascii="Helvetica" w:hAnsi="Helvetica" w:cs="Helvetica"/>
        </w:rPr>
        <w:t>Realizowano działania w zakresie rejestracji incydentów oraz przeprowadzano analizę rejestrów incydentów w celu doskonalenia stosowanych zabezpieczeń. Nie sporządzano jednak dokumentacji z tych czynności, a regulacje z tego obszaru nie zostały zaktualizowane i uzupełnione.</w:t>
      </w:r>
    </w:p>
    <w:p w14:paraId="146C9A37" w14:textId="77777777" w:rsidR="004D1514" w:rsidRPr="00894EBA" w:rsidRDefault="004D1514" w:rsidP="002A4D44">
      <w:pPr>
        <w:numPr>
          <w:ilvl w:val="0"/>
          <w:numId w:val="8"/>
        </w:numPr>
        <w:tabs>
          <w:tab w:val="left" w:pos="284"/>
        </w:tabs>
        <w:spacing w:before="60" w:line="300" w:lineRule="atLeast"/>
        <w:ind w:left="284" w:hanging="284"/>
        <w:jc w:val="both"/>
        <w:rPr>
          <w:rFonts w:ascii="Helvetica" w:hAnsi="Helvetica" w:cs="Helvetica"/>
        </w:rPr>
      </w:pPr>
      <w:r w:rsidRPr="00894EBA">
        <w:rPr>
          <w:rFonts w:ascii="Helvetica" w:hAnsi="Helvetica" w:cs="Helvetica"/>
          <w:b/>
        </w:rPr>
        <w:t>[Zapewnienie wiedzy pracownikom]</w:t>
      </w:r>
      <w:r w:rsidRPr="00894EBA">
        <w:rPr>
          <w:rFonts w:ascii="Helvetica" w:hAnsi="Helvetica" w:cs="Helvetica"/>
        </w:rPr>
        <w:t xml:space="preserve"> Kontynuacji wymagają działania dotyczące zwiększania świadomości pracowników w zakresie BI. Od cyklu szkoleń e-learningowych (marzec-kwiecień 2019 r.), w wyniku których przeszkolono znaczą część pracowników (438), minął bowiem 2-letni okres, w którym pracownik, w myśl postanowień PBI IT, powinien odbyć takie szkolenie. Wpływ na niedotrzymanie terminu miała w szczególności pandemia COVID-19.</w:t>
      </w:r>
    </w:p>
    <w:p w14:paraId="2564E555" w14:textId="77777777" w:rsidR="004D1514" w:rsidRPr="00894EBA" w:rsidRDefault="004D1514" w:rsidP="002A4D44">
      <w:pPr>
        <w:numPr>
          <w:ilvl w:val="0"/>
          <w:numId w:val="8"/>
        </w:numPr>
        <w:tabs>
          <w:tab w:val="left" w:pos="284"/>
        </w:tabs>
        <w:spacing w:before="60" w:line="300" w:lineRule="atLeast"/>
        <w:ind w:left="284" w:hanging="284"/>
        <w:jc w:val="both"/>
        <w:rPr>
          <w:rFonts w:ascii="Helvetica" w:hAnsi="Helvetica" w:cs="Helvetica"/>
        </w:rPr>
      </w:pPr>
      <w:r w:rsidRPr="00894EBA">
        <w:rPr>
          <w:rFonts w:ascii="Helvetica" w:hAnsi="Helvetica" w:cs="Helvetica"/>
          <w:b/>
        </w:rPr>
        <w:t>[Umowy]</w:t>
      </w:r>
      <w:r w:rsidRPr="00894EBA">
        <w:rPr>
          <w:rFonts w:ascii="Helvetica" w:hAnsi="Helvetica" w:cs="Helvetica"/>
        </w:rPr>
        <w:t xml:space="preserve"> Umowy dotyczące serwisu i rozwoju systemów teleinformatycznych zabezpieczały interesy Skarbu Państwa. Zasadnym byłoby </w:t>
      </w:r>
      <w:r w:rsidRPr="00894EBA">
        <w:rPr>
          <w:rFonts w:ascii="Helvetica" w:eastAsia="Calibri" w:hAnsi="Helvetica" w:cs="Helvetica"/>
          <w:szCs w:val="24"/>
        </w:rPr>
        <w:t xml:space="preserve">jednak rozszerzenie postanowień umów o kwestię odszkodowania ze strony wykonawcy w przypadku niezastosowania się do procedur lub świadomego działania wpływającego na osłabienie systemu bezpieczeństwa oraz bezstronności wykonawców. </w:t>
      </w:r>
      <w:r w:rsidRPr="00894EBA">
        <w:rPr>
          <w:rFonts w:ascii="Helvetica" w:hAnsi="Helvetica" w:cs="Helvetica"/>
        </w:rPr>
        <w:t>Regulacje wewnętrzne w tym obszarze wymagają uzupełnienia o katalog niezbędnych postanowień dotyczących ochrony i bezpieczeństwa informacji.</w:t>
      </w:r>
    </w:p>
    <w:p w14:paraId="2ABEADF2" w14:textId="77777777" w:rsidR="004D1514" w:rsidRPr="00894EBA" w:rsidRDefault="004D1514" w:rsidP="002A4D44">
      <w:pPr>
        <w:numPr>
          <w:ilvl w:val="0"/>
          <w:numId w:val="8"/>
        </w:numPr>
        <w:tabs>
          <w:tab w:val="left" w:pos="284"/>
        </w:tabs>
        <w:spacing w:before="60" w:line="300" w:lineRule="atLeast"/>
        <w:ind w:left="284" w:hanging="284"/>
        <w:jc w:val="both"/>
        <w:rPr>
          <w:rFonts w:ascii="Helvetica" w:hAnsi="Helvetica" w:cs="Helvetica"/>
        </w:rPr>
      </w:pPr>
      <w:r w:rsidRPr="00894EBA">
        <w:rPr>
          <w:rFonts w:ascii="Helvetica" w:hAnsi="Helvetica" w:cs="Helvetica"/>
          <w:b/>
          <w:bCs/>
        </w:rPr>
        <w:t>[Praca na odległość]</w:t>
      </w:r>
      <w:r w:rsidRPr="00894EBA">
        <w:rPr>
          <w:rFonts w:ascii="Helvetica" w:hAnsi="Helvetica" w:cs="Helvetica"/>
          <w:bCs/>
        </w:rPr>
        <w:t xml:space="preserve"> Podejmowano właściwe działania zapewniające bezpieczną pracę na odległość. Zostały w tym zakresie wdrożone stosowne regulacje i zasady, a na urządzeniach mobilnych stosowano zabezpieczenia chroniące informacje. Wdrożono także narzędzia umożliwiające monitorowanie użytkownik</w:t>
      </w:r>
      <w:r w:rsidR="00894EBA" w:rsidRPr="00894EBA">
        <w:rPr>
          <w:rFonts w:ascii="Helvetica" w:hAnsi="Helvetica" w:cs="Helvetica"/>
          <w:bCs/>
        </w:rPr>
        <w:t>ów świadczących pracę zdalnie w </w:t>
      </w:r>
      <w:r w:rsidRPr="00894EBA">
        <w:rPr>
          <w:rFonts w:ascii="Helvetica" w:hAnsi="Helvetica" w:cs="Helvetica"/>
          <w:bCs/>
        </w:rPr>
        <w:t>celu wykrycia nieuprawnionych działań.</w:t>
      </w:r>
    </w:p>
    <w:p w14:paraId="7023DC00" w14:textId="77777777" w:rsidR="004D1514" w:rsidRPr="00894EBA" w:rsidRDefault="004D1514" w:rsidP="002A4D44">
      <w:pPr>
        <w:numPr>
          <w:ilvl w:val="0"/>
          <w:numId w:val="8"/>
        </w:numPr>
        <w:tabs>
          <w:tab w:val="left" w:pos="284"/>
        </w:tabs>
        <w:spacing w:before="60" w:line="300" w:lineRule="atLeast"/>
        <w:ind w:left="284" w:hanging="284"/>
        <w:jc w:val="both"/>
        <w:rPr>
          <w:rFonts w:ascii="Helvetica" w:hAnsi="Helvetica" w:cs="Helvetica"/>
        </w:rPr>
      </w:pPr>
      <w:r w:rsidRPr="00894EBA">
        <w:rPr>
          <w:rFonts w:ascii="Helvetica" w:hAnsi="Helvetica" w:cs="Helvetica"/>
          <w:b/>
          <w:bCs/>
        </w:rPr>
        <w:t>[Kopie zapasowe]</w:t>
      </w:r>
      <w:r w:rsidRPr="00624EC2">
        <w:rPr>
          <w:rFonts w:ascii="Helvetica" w:hAnsi="Helvetica" w:cs="Helvetica"/>
          <w:bCs/>
        </w:rPr>
        <w:t xml:space="preserve"> </w:t>
      </w:r>
      <w:r w:rsidRPr="00894EBA">
        <w:rPr>
          <w:rFonts w:ascii="Helvetica" w:hAnsi="Helvetica" w:cs="Helvetica"/>
        </w:rPr>
        <w:t>Działania w zakresie wykonywania i testowania kopii zapasowych zostały dostosowane do potrzeb Ministerstwa i stanowiły wsparcie w zarządzaniu tym obszarem.</w:t>
      </w:r>
    </w:p>
    <w:p w14:paraId="2ABBE9F5" w14:textId="77777777" w:rsidR="004D1514" w:rsidRPr="00894EBA" w:rsidRDefault="004D1514" w:rsidP="002A4D44">
      <w:pPr>
        <w:numPr>
          <w:ilvl w:val="0"/>
          <w:numId w:val="8"/>
        </w:numPr>
        <w:tabs>
          <w:tab w:val="left" w:pos="284"/>
        </w:tabs>
        <w:spacing w:before="60" w:line="300" w:lineRule="atLeast"/>
        <w:ind w:left="284" w:hanging="284"/>
        <w:jc w:val="both"/>
        <w:rPr>
          <w:rFonts w:ascii="Helvetica" w:hAnsi="Helvetica" w:cs="Helvetica"/>
        </w:rPr>
      </w:pPr>
      <w:r w:rsidRPr="00894EBA">
        <w:rPr>
          <w:rFonts w:ascii="Helvetica" w:hAnsi="Helvetica" w:cs="Helvetica"/>
          <w:b/>
          <w:bCs/>
        </w:rPr>
        <w:t>[Zabezpieczenia organizacyjno-techniczne dostępu do informacji]</w:t>
      </w:r>
      <w:r w:rsidRPr="00624EC2">
        <w:rPr>
          <w:rFonts w:ascii="Helvetica" w:hAnsi="Helvetica" w:cs="Helvetica"/>
          <w:bCs/>
        </w:rPr>
        <w:t xml:space="preserve"> </w:t>
      </w:r>
      <w:r w:rsidRPr="00894EBA">
        <w:rPr>
          <w:rFonts w:ascii="Helvetica" w:hAnsi="Helvetica" w:cs="Helvetica"/>
          <w:bCs/>
        </w:rPr>
        <w:t>Ministerstwo wdrożyło skuteczne</w:t>
      </w:r>
      <w:r w:rsidRPr="00894EBA">
        <w:rPr>
          <w:rFonts w:ascii="Helvetica" w:hAnsi="Helvetica" w:cs="Helvetica"/>
          <w:b/>
          <w:bCs/>
        </w:rPr>
        <w:t xml:space="preserve"> </w:t>
      </w:r>
      <w:r w:rsidRPr="00894EBA">
        <w:rPr>
          <w:rFonts w:ascii="Helvetica" w:hAnsi="Helvetica" w:cs="Helvetica"/>
        </w:rPr>
        <w:t>rozwiązania zapewniające rejestrację ruchu osobowego na terenie obiektów Ministerstwa, w tym pozwalające na jego kontrolę. W Jednostce wprowadzono też regulacje dotyczące minimalizowania wystąpienia ryzyka kradzieży lub utraty informacji, z uwzględn</w:t>
      </w:r>
      <w:r w:rsidR="00624EC2">
        <w:rPr>
          <w:rFonts w:ascii="Helvetica" w:hAnsi="Helvetica" w:cs="Helvetica"/>
        </w:rPr>
        <w:t>ieniem zasad ochrony fizycznej.</w:t>
      </w:r>
    </w:p>
    <w:p w14:paraId="060B1C85" w14:textId="77777777" w:rsidR="004D1514" w:rsidRPr="00894EBA" w:rsidRDefault="004D1514" w:rsidP="00C52E26">
      <w:pPr>
        <w:tabs>
          <w:tab w:val="left" w:pos="284"/>
        </w:tabs>
        <w:spacing w:before="60" w:line="300" w:lineRule="atLeast"/>
        <w:ind w:left="284"/>
        <w:jc w:val="both"/>
        <w:rPr>
          <w:rFonts w:ascii="Helvetica" w:hAnsi="Helvetica" w:cs="Helvetica"/>
        </w:rPr>
      </w:pPr>
      <w:r w:rsidRPr="00894EBA">
        <w:rPr>
          <w:rFonts w:ascii="Helvetica" w:hAnsi="Helvetica" w:cs="Helvetica"/>
        </w:rPr>
        <w:t>Jednakże na skutek zmian organizacyjnych regulacje te wymagają aktualizacji. Działania związane z plombowaniem pomieszczeń w celu zwiększenia bezpieczeństwa informacji w nich przetwarzanych były właściwe. Wymagają one uzupełnienia o wprowadzenie obowiązku ewidencji tych pomieszczeń oraz zasad zarządzania kluczami, w tym zasad dostępu do danego pomieszczenia przez poszczególnych pracowników.</w:t>
      </w:r>
    </w:p>
    <w:p w14:paraId="7351DCDA" w14:textId="77777777" w:rsidR="004D1514" w:rsidRPr="00894EBA" w:rsidRDefault="004D1514" w:rsidP="002A4D44">
      <w:pPr>
        <w:numPr>
          <w:ilvl w:val="0"/>
          <w:numId w:val="8"/>
        </w:numPr>
        <w:tabs>
          <w:tab w:val="left" w:pos="284"/>
        </w:tabs>
        <w:spacing w:before="60" w:line="300" w:lineRule="atLeast"/>
        <w:ind w:left="284" w:hanging="284"/>
        <w:jc w:val="both"/>
        <w:rPr>
          <w:rFonts w:ascii="Helvetica" w:hAnsi="Helvetica" w:cs="Helvetica"/>
        </w:rPr>
      </w:pPr>
      <w:r w:rsidRPr="00894EBA">
        <w:rPr>
          <w:rFonts w:ascii="Helvetica" w:hAnsi="Helvetica" w:cs="Helvetica"/>
          <w:b/>
          <w:bCs/>
        </w:rPr>
        <w:t>[Zabezpieczenia organizacyjno-techniczne systemów]</w:t>
      </w:r>
      <w:r w:rsidRPr="00624EC2">
        <w:rPr>
          <w:rFonts w:ascii="Helvetica" w:hAnsi="Helvetica" w:cs="Helvetica"/>
          <w:bCs/>
        </w:rPr>
        <w:t xml:space="preserve"> </w:t>
      </w:r>
      <w:r w:rsidRPr="00894EBA">
        <w:rPr>
          <w:rFonts w:ascii="Helvetica" w:hAnsi="Helvetica" w:cs="Helvetica"/>
          <w:bCs/>
        </w:rPr>
        <w:t xml:space="preserve">Szczególnie pozytywnie należy ocenić stosowane zabezpieczenia serwerowni, które spełniały wysokie standardy oraz fakt wydzielenia pomieszczenia backupu do odrębnej lokalizacji. Oba rozwiązania sprzyjały zapewnieniu BI. Ministerstwo powinno również rozważyć wzmocnienie zabezpieczeń pomieszczenia backupu oraz jednego z wyjść ewakuacyjnych. </w:t>
      </w:r>
      <w:r w:rsidRPr="00894EBA">
        <w:rPr>
          <w:rFonts w:ascii="Helvetica" w:hAnsi="Helvetica" w:cs="Helvetica"/>
        </w:rPr>
        <w:t>Bezpieczeństwo systemów wzmacniały także wdrożone działania w zakresie ochrony antywirusowej oraz antyspamowej.</w:t>
      </w:r>
    </w:p>
    <w:p w14:paraId="26927C6D" w14:textId="77777777" w:rsidR="004D1514" w:rsidRPr="00894EBA" w:rsidRDefault="004D1514" w:rsidP="002A4D44">
      <w:pPr>
        <w:numPr>
          <w:ilvl w:val="0"/>
          <w:numId w:val="8"/>
        </w:numPr>
        <w:tabs>
          <w:tab w:val="left" w:pos="284"/>
        </w:tabs>
        <w:spacing w:before="60" w:line="300" w:lineRule="atLeast"/>
        <w:ind w:left="284" w:hanging="284"/>
        <w:jc w:val="both"/>
        <w:rPr>
          <w:rFonts w:ascii="Helvetica" w:hAnsi="Helvetica" w:cs="Helvetica"/>
        </w:rPr>
      </w:pPr>
      <w:r w:rsidRPr="00894EBA">
        <w:rPr>
          <w:rFonts w:ascii="Helvetica" w:hAnsi="Helvetica" w:cs="Helvetica"/>
          <w:b/>
          <w:bCs/>
        </w:rPr>
        <w:t>[Projektowanie, eksploatacja oraz wdrażanie zmian w systemach]</w:t>
      </w:r>
      <w:r w:rsidRPr="00624EC2">
        <w:rPr>
          <w:rFonts w:ascii="Helvetica" w:hAnsi="Helvetica" w:cs="Helvetica"/>
          <w:bCs/>
        </w:rPr>
        <w:t xml:space="preserve"> </w:t>
      </w:r>
      <w:r w:rsidRPr="00894EBA">
        <w:rPr>
          <w:rFonts w:ascii="Helvetica" w:hAnsi="Helvetica" w:cs="Helvetica"/>
          <w:bCs/>
        </w:rPr>
        <w:t>Ministerstwo posiadało ogólne regulacje w zakresie projektowania, wdrażania i eksploatacji systemów teleinformatycznych oraz przeprowadzania zmian w systemach, a szczegółowe wymogi w tym zakresie określane były w specyfikacji danego systemu teleinformatycznego.</w:t>
      </w:r>
      <w:r w:rsidRPr="00894EBA">
        <w:rPr>
          <w:rFonts w:ascii="Helvetica" w:hAnsi="Helvetica" w:cs="Helvetica"/>
        </w:rPr>
        <w:t xml:space="preserve"> </w:t>
      </w:r>
      <w:r w:rsidRPr="00894EBA">
        <w:rPr>
          <w:rFonts w:ascii="Helvetica" w:hAnsi="Helvetica" w:cs="Helvetica"/>
          <w:bCs/>
        </w:rPr>
        <w:t>Zapewniono także przejrzysty proc</w:t>
      </w:r>
      <w:r w:rsidR="00624EC2">
        <w:rPr>
          <w:rFonts w:ascii="Helvetica" w:hAnsi="Helvetica" w:cs="Helvetica"/>
          <w:bCs/>
        </w:rPr>
        <w:t>es wdrażania zmian w systemach.</w:t>
      </w:r>
    </w:p>
    <w:p w14:paraId="5CBC245B" w14:textId="77777777" w:rsidR="004D1514" w:rsidRPr="00894EBA" w:rsidRDefault="004D1514" w:rsidP="00F83D6A">
      <w:pPr>
        <w:tabs>
          <w:tab w:val="left" w:pos="284"/>
        </w:tabs>
        <w:spacing w:before="60" w:line="300" w:lineRule="atLeast"/>
        <w:ind w:left="284"/>
        <w:jc w:val="both"/>
        <w:rPr>
          <w:rFonts w:ascii="Helvetica" w:hAnsi="Helvetica" w:cs="Helvetica"/>
        </w:rPr>
      </w:pPr>
      <w:r w:rsidRPr="00894EBA">
        <w:rPr>
          <w:rFonts w:ascii="Helvetica" w:hAnsi="Helvetica" w:cs="Helvetica"/>
          <w:bCs/>
        </w:rPr>
        <w:t xml:space="preserve">Wystąpiły natomiast problemy w zakresie przestrzegania postanowień PBI IT w części dotyczącej rejestracji zmian oraz dokumentowania zrealizowanych analiz zasadności wdrożenia zmiany, ryzyka, wykonalności, kosztu, zysku, wpływu na pozostałe części systemu oraz możliwości weryfikacji tej zmiany. </w:t>
      </w:r>
      <w:r w:rsidRPr="00894EBA">
        <w:rPr>
          <w:rFonts w:ascii="Helvetica" w:hAnsi="Helvetica" w:cs="Helvetica"/>
        </w:rPr>
        <w:t>Pozytywnie należy ocenić monitorowanie systemów teleinformatycznych i środowiska ich pracy pod kątem wydajności i pojemności.</w:t>
      </w:r>
    </w:p>
    <w:p w14:paraId="38CBB131" w14:textId="77777777" w:rsidR="004D1514" w:rsidRPr="00894EBA" w:rsidRDefault="004D1514" w:rsidP="002A4D44">
      <w:pPr>
        <w:numPr>
          <w:ilvl w:val="0"/>
          <w:numId w:val="8"/>
        </w:numPr>
        <w:tabs>
          <w:tab w:val="left" w:pos="284"/>
        </w:tabs>
        <w:spacing w:before="60" w:line="300" w:lineRule="atLeast"/>
        <w:ind w:left="284" w:hanging="284"/>
        <w:jc w:val="both"/>
        <w:rPr>
          <w:rFonts w:ascii="Helvetica" w:hAnsi="Helvetica" w:cs="Helvetica"/>
        </w:rPr>
      </w:pPr>
      <w:r w:rsidRPr="00894EBA">
        <w:rPr>
          <w:rFonts w:ascii="Helvetica" w:hAnsi="Helvetica" w:cs="Helvetica"/>
          <w:b/>
        </w:rPr>
        <w:t>[Plan ciągłości działania]</w:t>
      </w:r>
      <w:r w:rsidRPr="00894EBA">
        <w:rPr>
          <w:rFonts w:ascii="Helvetica" w:hAnsi="Helvetica" w:cs="Helvetica"/>
          <w:i/>
        </w:rPr>
        <w:t xml:space="preserve"> </w:t>
      </w:r>
      <w:r w:rsidRPr="00894EBA">
        <w:rPr>
          <w:rFonts w:ascii="Helvetica" w:hAnsi="Helvetica" w:cs="Helvetica"/>
        </w:rPr>
        <w:t>Podjęto działania mające na celu wdrożenie planu ciągłości działania. Opracowano projekt zasad zapewnienia ciągłości działania oraz wykonano inwentaryzację procesów. Dalsze prace kontynuowane były przez Zespół ds. zarządzania ryzykiem. Planowano je zakończyć w </w:t>
      </w:r>
      <w:r w:rsidRPr="00894EBA">
        <w:rPr>
          <w:rFonts w:ascii="Helvetica" w:hAnsi="Helvetica" w:cs="Helvetica"/>
          <w:szCs w:val="21"/>
        </w:rPr>
        <w:t>IV kw. 2021 r.</w:t>
      </w:r>
    </w:p>
    <w:p w14:paraId="7959817C" w14:textId="77777777" w:rsidR="004D1514" w:rsidRPr="00894EBA" w:rsidRDefault="004D1514" w:rsidP="002A4D44">
      <w:pPr>
        <w:numPr>
          <w:ilvl w:val="0"/>
          <w:numId w:val="8"/>
        </w:numPr>
        <w:tabs>
          <w:tab w:val="left" w:pos="284"/>
        </w:tabs>
        <w:spacing w:before="60" w:line="300" w:lineRule="atLeast"/>
        <w:ind w:left="284" w:hanging="284"/>
        <w:jc w:val="both"/>
        <w:rPr>
          <w:rFonts w:ascii="Helvetica" w:hAnsi="Helvetica" w:cs="Helvetica"/>
        </w:rPr>
      </w:pPr>
      <w:r w:rsidRPr="00894EBA">
        <w:rPr>
          <w:rFonts w:ascii="Helvetica" w:hAnsi="Helvetica" w:cs="Helvetica"/>
          <w:b/>
        </w:rPr>
        <w:t>[Rozliczalność działań]</w:t>
      </w:r>
      <w:r w:rsidRPr="00894EBA">
        <w:rPr>
          <w:rFonts w:ascii="Helvetica" w:hAnsi="Helvetica" w:cs="Helvetica"/>
        </w:rPr>
        <w:t xml:space="preserve"> Ministerstwo dokonywało przeglądów logów oraz prowadzono ich analizę w celu identyfikacji działań niepożądanych. Należy jednak zadbać o opracowanie całościowych regulacji zawierających zasady prowadzenia i wykorzystania dzienników systemów (logów), w tym określających zakres danych podlegających dokumentowaniu w dziennikach.</w:t>
      </w:r>
    </w:p>
    <w:p w14:paraId="79C96655" w14:textId="77777777" w:rsidR="004D1514" w:rsidRPr="00894EBA" w:rsidRDefault="004D1514" w:rsidP="00983826">
      <w:pPr>
        <w:tabs>
          <w:tab w:val="left" w:pos="709"/>
        </w:tabs>
        <w:spacing w:before="120" w:line="300" w:lineRule="atLeast"/>
        <w:jc w:val="both"/>
        <w:rPr>
          <w:rFonts w:ascii="Helvetica" w:hAnsi="Helvetica" w:cs="Helvetica"/>
          <w:b/>
          <w:u w:val="single"/>
        </w:rPr>
      </w:pPr>
      <w:r w:rsidRPr="00894EBA">
        <w:rPr>
          <w:rFonts w:ascii="Helvetica" w:hAnsi="Helvetica" w:cs="Helvetica"/>
          <w:b/>
          <w:u w:val="single"/>
        </w:rPr>
        <w:t>Wymiana informacji w postaci elektronicznej</w:t>
      </w:r>
    </w:p>
    <w:p w14:paraId="3E67C77C" w14:textId="77777777" w:rsidR="004D1514" w:rsidRPr="00894EBA" w:rsidRDefault="004D1514" w:rsidP="002A4D44">
      <w:pPr>
        <w:numPr>
          <w:ilvl w:val="0"/>
          <w:numId w:val="8"/>
        </w:numPr>
        <w:tabs>
          <w:tab w:val="left" w:pos="284"/>
        </w:tabs>
        <w:spacing w:before="60" w:line="300" w:lineRule="atLeast"/>
        <w:ind w:left="284" w:hanging="284"/>
        <w:jc w:val="both"/>
        <w:rPr>
          <w:rFonts w:ascii="Helvetica" w:hAnsi="Helvetica" w:cs="Helvetica"/>
          <w:bCs/>
        </w:rPr>
      </w:pPr>
      <w:r w:rsidRPr="00894EBA">
        <w:rPr>
          <w:rFonts w:ascii="Helvetica" w:hAnsi="Helvetica" w:cs="Helvetica"/>
          <w:bCs/>
        </w:rPr>
        <w:t xml:space="preserve">Pozytywnie </w:t>
      </w:r>
      <w:r w:rsidRPr="00894EBA">
        <w:rPr>
          <w:rFonts w:ascii="Helvetica" w:hAnsi="Helvetica" w:cs="Helvetica"/>
          <w:bCs/>
          <w:szCs w:val="24"/>
        </w:rPr>
        <w:t>należy</w:t>
      </w:r>
      <w:r w:rsidRPr="00894EBA">
        <w:rPr>
          <w:rFonts w:ascii="Helvetica" w:hAnsi="Helvetica" w:cs="Helvetica"/>
          <w:bCs/>
        </w:rPr>
        <w:t xml:space="preserve"> ocenić proces realizacji 26 usług elektronicznych. Zapewniono komunikację elektroniczną przez skrzynkę podawczą na platformie </w:t>
      </w:r>
      <w:proofErr w:type="spellStart"/>
      <w:r w:rsidRPr="00894EBA">
        <w:rPr>
          <w:rFonts w:ascii="Helvetica" w:hAnsi="Helvetica" w:cs="Helvetica"/>
          <w:bCs/>
        </w:rPr>
        <w:t>ePUAP</w:t>
      </w:r>
      <w:proofErr w:type="spellEnd"/>
      <w:r w:rsidRPr="00894EBA">
        <w:rPr>
          <w:rFonts w:ascii="Helvetica" w:hAnsi="Helvetica" w:cs="Helvetica"/>
          <w:bCs/>
        </w:rPr>
        <w:t xml:space="preserve">. Zarządzanie usługami odbywało się w oparciu o udokumentowane procedury, które zostały ujęte w umowach oraz w specyfikacji technicznej systemów. Komunikacja systemów umożliwiała wymianę danych z innymi systemami. </w:t>
      </w:r>
      <w:r w:rsidRPr="00894EBA">
        <w:rPr>
          <w:rFonts w:ascii="Helvetica" w:hAnsi="Helvetica" w:cs="Helvetica"/>
        </w:rPr>
        <w:t>Kodowanie znaków w dokumentach wysyłanych i odbieranych przez badane systemy, a także wymienianych informacji z innymi w drodze teletransmisji, było zgodne z wymogami Rozporządzenia KRI.</w:t>
      </w:r>
    </w:p>
    <w:p w14:paraId="2E5CBC96" w14:textId="77777777" w:rsidR="004D1514" w:rsidRPr="00894EBA" w:rsidRDefault="004D1514" w:rsidP="00894EBA">
      <w:pPr>
        <w:tabs>
          <w:tab w:val="left" w:pos="709"/>
        </w:tabs>
        <w:spacing w:before="120"/>
        <w:ind w:left="567" w:right="538"/>
        <w:jc w:val="both"/>
        <w:rPr>
          <w:rFonts w:ascii="Helvetica" w:hAnsi="Helvetica" w:cs="Helvetica"/>
          <w:sz w:val="21"/>
          <w:szCs w:val="21"/>
        </w:rPr>
      </w:pPr>
      <w:proofErr w:type="spellStart"/>
      <w:r w:rsidRPr="00894EBA">
        <w:rPr>
          <w:rFonts w:ascii="Helvetica" w:hAnsi="Helvetica" w:cs="Helvetica"/>
          <w:sz w:val="21"/>
          <w:szCs w:val="21"/>
        </w:rPr>
        <w:t>MRiPS</w:t>
      </w:r>
      <w:proofErr w:type="spellEnd"/>
      <w:r w:rsidRPr="00894EBA">
        <w:rPr>
          <w:rFonts w:ascii="Helvetica" w:hAnsi="Helvetica" w:cs="Helvetica"/>
          <w:sz w:val="21"/>
          <w:szCs w:val="21"/>
        </w:rPr>
        <w:t xml:space="preserve"> wykorzystywało 10 systemów teleinformatycznych do realizacji zadań publicznych</w:t>
      </w:r>
      <w:r w:rsidRPr="00894EBA">
        <w:rPr>
          <w:rFonts w:ascii="Helvetica" w:hAnsi="Helvetica" w:cs="Helvetica"/>
          <w:b/>
          <w:color w:val="FF0000"/>
          <w:sz w:val="18"/>
          <w:vertAlign w:val="superscript"/>
        </w:rPr>
        <w:footnoteReference w:id="7"/>
      </w:r>
      <w:r w:rsidRPr="00894EBA">
        <w:rPr>
          <w:rFonts w:ascii="Helvetica" w:hAnsi="Helvetica" w:cs="Helvetica"/>
          <w:sz w:val="21"/>
          <w:szCs w:val="21"/>
        </w:rPr>
        <w:t>:</w:t>
      </w:r>
    </w:p>
    <w:p w14:paraId="36BB867B" w14:textId="77777777" w:rsidR="004D1514" w:rsidRPr="00894EBA" w:rsidRDefault="004D1514" w:rsidP="00894EBA">
      <w:pPr>
        <w:numPr>
          <w:ilvl w:val="0"/>
          <w:numId w:val="21"/>
        </w:numPr>
        <w:tabs>
          <w:tab w:val="left" w:pos="709"/>
        </w:tabs>
        <w:ind w:left="1134" w:right="538" w:hanging="284"/>
        <w:jc w:val="both"/>
        <w:rPr>
          <w:rFonts w:ascii="Helvetica" w:hAnsi="Helvetica" w:cs="Helvetica"/>
          <w:sz w:val="21"/>
          <w:szCs w:val="21"/>
        </w:rPr>
      </w:pPr>
      <w:r w:rsidRPr="00894EBA">
        <w:rPr>
          <w:rFonts w:ascii="Helvetica" w:hAnsi="Helvetica" w:cs="Helvetica"/>
          <w:sz w:val="21"/>
          <w:szCs w:val="21"/>
        </w:rPr>
        <w:t>Centralny System Informatyczny Zabezpieczenia Społecznego (CSIZS);</w:t>
      </w:r>
    </w:p>
    <w:p w14:paraId="5322FB2B" w14:textId="77777777" w:rsidR="004D1514" w:rsidRPr="00894EBA" w:rsidRDefault="004D1514" w:rsidP="00894EBA">
      <w:pPr>
        <w:numPr>
          <w:ilvl w:val="0"/>
          <w:numId w:val="21"/>
        </w:numPr>
        <w:tabs>
          <w:tab w:val="left" w:pos="709"/>
        </w:tabs>
        <w:ind w:left="1134" w:right="538" w:hanging="284"/>
        <w:jc w:val="both"/>
        <w:rPr>
          <w:rFonts w:ascii="Helvetica" w:hAnsi="Helvetica" w:cs="Helvetica"/>
          <w:sz w:val="21"/>
          <w:szCs w:val="21"/>
        </w:rPr>
      </w:pPr>
      <w:r w:rsidRPr="00894EBA">
        <w:rPr>
          <w:rFonts w:ascii="Helvetica" w:hAnsi="Helvetica" w:cs="Helvetica"/>
          <w:sz w:val="21"/>
          <w:szCs w:val="21"/>
        </w:rPr>
        <w:t>Elektroniczny Krajowy System Monitorowania i Orzekania o Niepełnosprawności (</w:t>
      </w:r>
      <w:proofErr w:type="spellStart"/>
      <w:r w:rsidRPr="00894EBA">
        <w:rPr>
          <w:rFonts w:ascii="Helvetica" w:hAnsi="Helvetica" w:cs="Helvetica"/>
          <w:sz w:val="21"/>
          <w:szCs w:val="21"/>
        </w:rPr>
        <w:t>EKSMOoN</w:t>
      </w:r>
      <w:proofErr w:type="spellEnd"/>
      <w:r w:rsidRPr="00894EBA">
        <w:rPr>
          <w:rFonts w:ascii="Helvetica" w:hAnsi="Helvetica" w:cs="Helvetica"/>
          <w:sz w:val="21"/>
          <w:szCs w:val="21"/>
        </w:rPr>
        <w:t>);</w:t>
      </w:r>
    </w:p>
    <w:p w14:paraId="000A7C56" w14:textId="77777777" w:rsidR="004D1514" w:rsidRPr="00894EBA" w:rsidRDefault="004D1514" w:rsidP="00894EBA">
      <w:pPr>
        <w:numPr>
          <w:ilvl w:val="0"/>
          <w:numId w:val="21"/>
        </w:numPr>
        <w:tabs>
          <w:tab w:val="left" w:pos="709"/>
        </w:tabs>
        <w:ind w:left="1134" w:right="538" w:hanging="284"/>
        <w:jc w:val="both"/>
        <w:rPr>
          <w:rFonts w:ascii="Helvetica" w:hAnsi="Helvetica" w:cs="Helvetica"/>
          <w:sz w:val="21"/>
          <w:szCs w:val="21"/>
        </w:rPr>
      </w:pPr>
      <w:r w:rsidRPr="00894EBA">
        <w:rPr>
          <w:rFonts w:ascii="Helvetica" w:hAnsi="Helvetica" w:cs="Helvetica"/>
          <w:sz w:val="21"/>
          <w:szCs w:val="21"/>
        </w:rPr>
        <w:t xml:space="preserve">Portal Informacyjno-Usługowy </w:t>
      </w:r>
      <w:proofErr w:type="spellStart"/>
      <w:r w:rsidRPr="00894EBA">
        <w:rPr>
          <w:rFonts w:ascii="Helvetica" w:hAnsi="Helvetica" w:cs="Helvetica"/>
          <w:sz w:val="21"/>
          <w:szCs w:val="21"/>
        </w:rPr>
        <w:t>Emp@tia</w:t>
      </w:r>
      <w:proofErr w:type="spellEnd"/>
      <w:r w:rsidRPr="00894EBA">
        <w:rPr>
          <w:rFonts w:ascii="Helvetica" w:hAnsi="Helvetica" w:cs="Helvetica"/>
          <w:sz w:val="21"/>
          <w:szCs w:val="21"/>
        </w:rPr>
        <w:t xml:space="preserve"> (PIU </w:t>
      </w:r>
      <w:proofErr w:type="spellStart"/>
      <w:r w:rsidRPr="00894EBA">
        <w:rPr>
          <w:rFonts w:ascii="Helvetica" w:hAnsi="Helvetica" w:cs="Helvetica"/>
          <w:sz w:val="21"/>
          <w:szCs w:val="21"/>
        </w:rPr>
        <w:t>Emp@tia</w:t>
      </w:r>
      <w:proofErr w:type="spellEnd"/>
      <w:r w:rsidRPr="00894EBA">
        <w:rPr>
          <w:rFonts w:ascii="Helvetica" w:hAnsi="Helvetica" w:cs="Helvetica"/>
          <w:sz w:val="21"/>
          <w:szCs w:val="21"/>
        </w:rPr>
        <w:t>);</w:t>
      </w:r>
    </w:p>
    <w:p w14:paraId="2D50AF4F" w14:textId="77777777" w:rsidR="004D1514" w:rsidRPr="00894EBA" w:rsidRDefault="004D1514" w:rsidP="00894EBA">
      <w:pPr>
        <w:numPr>
          <w:ilvl w:val="0"/>
          <w:numId w:val="21"/>
        </w:numPr>
        <w:tabs>
          <w:tab w:val="left" w:pos="709"/>
        </w:tabs>
        <w:ind w:left="1134" w:right="538" w:hanging="284"/>
        <w:jc w:val="both"/>
        <w:rPr>
          <w:rFonts w:ascii="Helvetica" w:hAnsi="Helvetica" w:cs="Helvetica"/>
          <w:sz w:val="21"/>
          <w:szCs w:val="21"/>
        </w:rPr>
      </w:pPr>
      <w:r w:rsidRPr="00894EBA">
        <w:rPr>
          <w:rFonts w:ascii="Helvetica" w:hAnsi="Helvetica" w:cs="Helvetica"/>
          <w:sz w:val="21"/>
          <w:szCs w:val="21"/>
        </w:rPr>
        <w:t>Rejestr Żłobków (RZ);</w:t>
      </w:r>
    </w:p>
    <w:p w14:paraId="0B6228CB" w14:textId="77777777" w:rsidR="004D1514" w:rsidRPr="00894EBA" w:rsidRDefault="004D1514" w:rsidP="00894EBA">
      <w:pPr>
        <w:numPr>
          <w:ilvl w:val="0"/>
          <w:numId w:val="21"/>
        </w:numPr>
        <w:tabs>
          <w:tab w:val="left" w:pos="709"/>
        </w:tabs>
        <w:ind w:left="1134" w:right="538" w:hanging="284"/>
        <w:jc w:val="both"/>
        <w:rPr>
          <w:rFonts w:ascii="Helvetica" w:hAnsi="Helvetica" w:cs="Helvetica"/>
          <w:sz w:val="21"/>
          <w:szCs w:val="21"/>
        </w:rPr>
      </w:pPr>
      <w:r w:rsidRPr="00894EBA">
        <w:rPr>
          <w:rFonts w:ascii="Helvetica" w:hAnsi="Helvetica" w:cs="Helvetica"/>
          <w:sz w:val="21"/>
          <w:szCs w:val="21"/>
        </w:rPr>
        <w:t>System Centralny FEAD (SC FEAD);</w:t>
      </w:r>
    </w:p>
    <w:p w14:paraId="4FC3B29C" w14:textId="77777777" w:rsidR="004D1514" w:rsidRPr="00894EBA" w:rsidRDefault="004D1514" w:rsidP="00894EBA">
      <w:pPr>
        <w:numPr>
          <w:ilvl w:val="0"/>
          <w:numId w:val="21"/>
        </w:numPr>
        <w:tabs>
          <w:tab w:val="left" w:pos="709"/>
        </w:tabs>
        <w:ind w:left="1134" w:right="538" w:hanging="284"/>
        <w:jc w:val="both"/>
        <w:rPr>
          <w:rFonts w:ascii="Helvetica" w:hAnsi="Helvetica" w:cs="Helvetica"/>
          <w:sz w:val="21"/>
          <w:szCs w:val="21"/>
        </w:rPr>
      </w:pPr>
      <w:r w:rsidRPr="00894EBA">
        <w:rPr>
          <w:rFonts w:ascii="Helvetica" w:hAnsi="Helvetica" w:cs="Helvetica"/>
          <w:sz w:val="21"/>
          <w:szCs w:val="21"/>
        </w:rPr>
        <w:t>System Informatyczny Karta Dużej Rodziny (SI KDR);</w:t>
      </w:r>
    </w:p>
    <w:p w14:paraId="21A7F3B9" w14:textId="77777777" w:rsidR="004D1514" w:rsidRPr="00894EBA" w:rsidRDefault="004D1514" w:rsidP="00894EBA">
      <w:pPr>
        <w:numPr>
          <w:ilvl w:val="0"/>
          <w:numId w:val="21"/>
        </w:numPr>
        <w:tabs>
          <w:tab w:val="left" w:pos="709"/>
        </w:tabs>
        <w:ind w:left="1134" w:right="538" w:hanging="284"/>
        <w:jc w:val="both"/>
        <w:rPr>
          <w:rFonts w:ascii="Helvetica" w:hAnsi="Helvetica" w:cs="Helvetica"/>
          <w:sz w:val="21"/>
          <w:szCs w:val="21"/>
        </w:rPr>
      </w:pPr>
      <w:r w:rsidRPr="00894EBA">
        <w:rPr>
          <w:rFonts w:ascii="Helvetica" w:hAnsi="Helvetica" w:cs="Helvetica"/>
          <w:sz w:val="21"/>
          <w:szCs w:val="21"/>
        </w:rPr>
        <w:t>Rejestr Jednostek Pomocy Społecznej (RJPS);</w:t>
      </w:r>
    </w:p>
    <w:p w14:paraId="433DCD02" w14:textId="77777777" w:rsidR="004D1514" w:rsidRPr="00894EBA" w:rsidRDefault="004D1514" w:rsidP="00894EBA">
      <w:pPr>
        <w:numPr>
          <w:ilvl w:val="0"/>
          <w:numId w:val="21"/>
        </w:numPr>
        <w:tabs>
          <w:tab w:val="left" w:pos="709"/>
        </w:tabs>
        <w:ind w:left="1134" w:right="538" w:hanging="284"/>
        <w:jc w:val="both"/>
        <w:rPr>
          <w:rFonts w:ascii="Helvetica" w:hAnsi="Helvetica" w:cs="Helvetica"/>
          <w:sz w:val="21"/>
          <w:szCs w:val="21"/>
        </w:rPr>
      </w:pPr>
      <w:r w:rsidRPr="00894EBA">
        <w:rPr>
          <w:rFonts w:ascii="Helvetica" w:hAnsi="Helvetica" w:cs="Helvetica"/>
          <w:sz w:val="21"/>
          <w:szCs w:val="21"/>
        </w:rPr>
        <w:t xml:space="preserve">System Elektronicznego Zarządzania Dokumentacją </w:t>
      </w:r>
      <w:proofErr w:type="spellStart"/>
      <w:r w:rsidRPr="00894EBA">
        <w:rPr>
          <w:rFonts w:ascii="Helvetica" w:hAnsi="Helvetica" w:cs="Helvetica"/>
          <w:sz w:val="21"/>
          <w:szCs w:val="21"/>
        </w:rPr>
        <w:t>eDok</w:t>
      </w:r>
      <w:proofErr w:type="spellEnd"/>
      <w:r w:rsidRPr="00894EBA">
        <w:rPr>
          <w:rFonts w:ascii="Helvetica" w:hAnsi="Helvetica" w:cs="Helvetica"/>
          <w:sz w:val="21"/>
          <w:szCs w:val="21"/>
        </w:rPr>
        <w:t>;</w:t>
      </w:r>
    </w:p>
    <w:p w14:paraId="34EEA689" w14:textId="77777777" w:rsidR="004D1514" w:rsidRPr="00894EBA" w:rsidRDefault="004D1514" w:rsidP="00894EBA">
      <w:pPr>
        <w:numPr>
          <w:ilvl w:val="0"/>
          <w:numId w:val="21"/>
        </w:numPr>
        <w:tabs>
          <w:tab w:val="left" w:pos="709"/>
        </w:tabs>
        <w:ind w:left="1134" w:right="538" w:hanging="284"/>
        <w:jc w:val="both"/>
        <w:rPr>
          <w:rFonts w:ascii="Helvetica" w:hAnsi="Helvetica" w:cs="Helvetica"/>
          <w:sz w:val="21"/>
          <w:szCs w:val="21"/>
        </w:rPr>
      </w:pPr>
      <w:r w:rsidRPr="00894EBA">
        <w:rPr>
          <w:rFonts w:ascii="Helvetica" w:hAnsi="Helvetica" w:cs="Helvetica"/>
          <w:sz w:val="21"/>
          <w:szCs w:val="21"/>
        </w:rPr>
        <w:t>Centralna Aplikacja Statystyczna (CAS);</w:t>
      </w:r>
    </w:p>
    <w:p w14:paraId="4277A352" w14:textId="77777777" w:rsidR="004D1514" w:rsidRPr="00894EBA" w:rsidRDefault="004D1514" w:rsidP="00894EBA">
      <w:pPr>
        <w:numPr>
          <w:ilvl w:val="0"/>
          <w:numId w:val="21"/>
        </w:numPr>
        <w:tabs>
          <w:tab w:val="left" w:pos="709"/>
        </w:tabs>
        <w:ind w:left="1134" w:right="538" w:hanging="284"/>
        <w:jc w:val="both"/>
        <w:rPr>
          <w:rFonts w:ascii="Helvetica" w:hAnsi="Helvetica" w:cs="Helvetica"/>
          <w:sz w:val="21"/>
          <w:szCs w:val="21"/>
        </w:rPr>
      </w:pPr>
      <w:r w:rsidRPr="00894EBA">
        <w:rPr>
          <w:rFonts w:ascii="Helvetica" w:hAnsi="Helvetica" w:cs="Helvetica"/>
          <w:sz w:val="21"/>
          <w:szCs w:val="21"/>
        </w:rPr>
        <w:t>Centralny System Analityczno-Raportowy (</w:t>
      </w:r>
      <w:proofErr w:type="spellStart"/>
      <w:r w:rsidRPr="00894EBA">
        <w:rPr>
          <w:rFonts w:ascii="Helvetica" w:hAnsi="Helvetica" w:cs="Helvetica"/>
          <w:sz w:val="21"/>
          <w:szCs w:val="21"/>
        </w:rPr>
        <w:t>CeSAR</w:t>
      </w:r>
      <w:proofErr w:type="spellEnd"/>
      <w:r w:rsidRPr="00894EBA">
        <w:rPr>
          <w:rFonts w:ascii="Helvetica" w:hAnsi="Helvetica" w:cs="Helvetica"/>
          <w:sz w:val="21"/>
          <w:szCs w:val="21"/>
        </w:rPr>
        <w:t>).</w:t>
      </w:r>
    </w:p>
    <w:p w14:paraId="02C15A8F" w14:textId="77777777" w:rsidR="004D1514" w:rsidRPr="00894EBA" w:rsidRDefault="004D1514" w:rsidP="00894EBA">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Badaniu poddano 3</w:t>
      </w:r>
      <w:r w:rsidRPr="00894EBA">
        <w:rPr>
          <w:rFonts w:ascii="Helvetica" w:hAnsi="Helvetica" w:cs="Helvetica"/>
          <w:b/>
          <w:color w:val="FF0000"/>
          <w:sz w:val="18"/>
          <w:vertAlign w:val="superscript"/>
        </w:rPr>
        <w:footnoteReference w:id="8"/>
      </w:r>
      <w:r w:rsidRPr="00894EBA">
        <w:rPr>
          <w:rFonts w:ascii="Helvetica" w:hAnsi="Helvetica" w:cs="Helvetica"/>
          <w:sz w:val="21"/>
          <w:szCs w:val="21"/>
        </w:rPr>
        <w:t xml:space="preserve"> z 10 wspomnianych systemów (30%), tj. CSIZS, PIU </w:t>
      </w:r>
      <w:proofErr w:type="spellStart"/>
      <w:r w:rsidRPr="00894EBA">
        <w:rPr>
          <w:rFonts w:ascii="Helvetica" w:hAnsi="Helvetica" w:cs="Helvetica"/>
          <w:sz w:val="21"/>
          <w:szCs w:val="21"/>
        </w:rPr>
        <w:t>Emp@tia</w:t>
      </w:r>
      <w:proofErr w:type="spellEnd"/>
      <w:r w:rsidRPr="00894EBA">
        <w:rPr>
          <w:rFonts w:ascii="Helvetica" w:hAnsi="Helvetica" w:cs="Helvetica"/>
          <w:sz w:val="21"/>
          <w:szCs w:val="21"/>
        </w:rPr>
        <w:t>, SI KDR.</w:t>
      </w:r>
    </w:p>
    <w:p w14:paraId="4EBBC44A" w14:textId="77777777" w:rsidR="004D1514" w:rsidRPr="00894EBA" w:rsidRDefault="004D1514" w:rsidP="00894EBA">
      <w:pPr>
        <w:tabs>
          <w:tab w:val="left" w:pos="709"/>
        </w:tabs>
        <w:spacing w:before="60"/>
        <w:ind w:left="567" w:right="538"/>
        <w:jc w:val="both"/>
        <w:rPr>
          <w:rFonts w:ascii="Helvetica" w:hAnsi="Helvetica" w:cs="Helvetica"/>
          <w:bCs/>
          <w:sz w:val="21"/>
          <w:szCs w:val="21"/>
        </w:rPr>
      </w:pPr>
      <w:r w:rsidRPr="00894EBA">
        <w:rPr>
          <w:rFonts w:ascii="Helvetica" w:hAnsi="Helvetica" w:cs="Helvetica"/>
          <w:b/>
          <w:bCs/>
          <w:sz w:val="21"/>
          <w:szCs w:val="21"/>
        </w:rPr>
        <w:t xml:space="preserve">CSIZS </w:t>
      </w:r>
      <w:r w:rsidRPr="00894EBA">
        <w:rPr>
          <w:rFonts w:ascii="Helvetica" w:hAnsi="Helvetica" w:cs="Helvetica"/>
          <w:bCs/>
          <w:sz w:val="21"/>
          <w:szCs w:val="21"/>
        </w:rPr>
        <w:t>jest platformą komunikacyjną w obszarze zabezpieczenia społecznego i rodziny, umożliwiającą udostępnianie oraz świadczenie usług kompleksowej wymiany informacji za pośrednictwem Internetu, zarówno dla beneficjentów pomocy społecznej, świadczeń rodzinnych, funduszu alimentacyjnego, obszaru spraw osób niepełnosprawnych, jak również dla systemów teleinformatycznych wewnętrznych i zewnętrznych (systemy dziedzinowe, systemy innych ministerstw oraz instytucji).</w:t>
      </w:r>
    </w:p>
    <w:p w14:paraId="14662866" w14:textId="77777777" w:rsidR="004D1514" w:rsidRPr="00894EBA" w:rsidRDefault="004D1514" w:rsidP="00894EBA">
      <w:pPr>
        <w:tabs>
          <w:tab w:val="left" w:pos="709"/>
        </w:tabs>
        <w:spacing w:before="60"/>
        <w:ind w:left="567" w:right="538"/>
        <w:jc w:val="both"/>
        <w:rPr>
          <w:rFonts w:ascii="Helvetica" w:hAnsi="Helvetica" w:cs="Helvetica"/>
          <w:bCs/>
          <w:sz w:val="21"/>
          <w:szCs w:val="21"/>
        </w:rPr>
      </w:pPr>
      <w:r w:rsidRPr="00894EBA">
        <w:rPr>
          <w:rFonts w:ascii="Helvetica" w:hAnsi="Helvetica" w:cs="Helvetica"/>
          <w:b/>
          <w:bCs/>
          <w:sz w:val="21"/>
          <w:szCs w:val="21"/>
        </w:rPr>
        <w:t xml:space="preserve">PIU </w:t>
      </w:r>
      <w:proofErr w:type="spellStart"/>
      <w:r w:rsidRPr="00894EBA">
        <w:rPr>
          <w:rFonts w:ascii="Helvetica" w:hAnsi="Helvetica" w:cs="Helvetica"/>
          <w:b/>
          <w:bCs/>
          <w:sz w:val="21"/>
          <w:szCs w:val="21"/>
        </w:rPr>
        <w:t>Emp@tia</w:t>
      </w:r>
      <w:proofErr w:type="spellEnd"/>
      <w:r w:rsidRPr="00894EBA">
        <w:rPr>
          <w:rFonts w:ascii="Helvetica" w:hAnsi="Helvetica" w:cs="Helvetica"/>
          <w:bCs/>
          <w:sz w:val="21"/>
          <w:szCs w:val="21"/>
        </w:rPr>
        <w:t xml:space="preserve"> jest „</w:t>
      </w:r>
      <w:proofErr w:type="spellStart"/>
      <w:r w:rsidRPr="00894EBA">
        <w:rPr>
          <w:rFonts w:ascii="Helvetica" w:hAnsi="Helvetica" w:cs="Helvetica"/>
          <w:bCs/>
          <w:sz w:val="21"/>
          <w:szCs w:val="21"/>
        </w:rPr>
        <w:t>frontendem</w:t>
      </w:r>
      <w:proofErr w:type="spellEnd"/>
      <w:r w:rsidRPr="00894EBA">
        <w:rPr>
          <w:rFonts w:ascii="Helvetica" w:hAnsi="Helvetica" w:cs="Helvetica"/>
          <w:bCs/>
          <w:sz w:val="21"/>
          <w:szCs w:val="21"/>
        </w:rPr>
        <w:t xml:space="preserve">” systemu CSIZS, dzięki części usługowej umożliwia obywatelowi realizację usług elektronicznych poprzez złożenie wniosku i przesłanie </w:t>
      </w:r>
      <w:r w:rsidR="0080660E" w:rsidRPr="00894EBA">
        <w:rPr>
          <w:rFonts w:ascii="Helvetica" w:hAnsi="Helvetica" w:cs="Helvetica"/>
          <w:bCs/>
          <w:sz w:val="21"/>
          <w:szCs w:val="21"/>
        </w:rPr>
        <w:t>go</w:t>
      </w:r>
      <w:r w:rsidR="0080660E">
        <w:rPr>
          <w:rFonts w:ascii="Helvetica" w:hAnsi="Helvetica" w:cs="Helvetica"/>
          <w:bCs/>
          <w:sz w:val="21"/>
          <w:szCs w:val="21"/>
        </w:rPr>
        <w:t> </w:t>
      </w:r>
      <w:r w:rsidRPr="00894EBA">
        <w:rPr>
          <w:rFonts w:ascii="Helvetica" w:hAnsi="Helvetica" w:cs="Helvetica"/>
          <w:bCs/>
          <w:sz w:val="21"/>
          <w:szCs w:val="21"/>
        </w:rPr>
        <w:t>do organu właściwego. Zawiera także część informacyjną, która pozwala na uzyskanie informacji o: zniżkach i podmiotach realizujących usługi w ramach Karty Dużej Rodziny, ośrodkach i organizatorach turnusów rehabilitacyjnych, jednostkach pomocy społecznej, żłobkach i klubach dziecięcych.</w:t>
      </w:r>
    </w:p>
    <w:p w14:paraId="2E288F8C" w14:textId="77777777" w:rsidR="004D1514" w:rsidRPr="00894EBA" w:rsidRDefault="004D1514" w:rsidP="00894EBA">
      <w:pPr>
        <w:tabs>
          <w:tab w:val="left" w:pos="709"/>
        </w:tabs>
        <w:spacing w:before="60"/>
        <w:ind w:left="567" w:right="538"/>
        <w:jc w:val="both"/>
        <w:rPr>
          <w:rFonts w:ascii="Helvetica" w:hAnsi="Helvetica" w:cs="Helvetica"/>
          <w:bCs/>
          <w:sz w:val="21"/>
          <w:szCs w:val="21"/>
        </w:rPr>
      </w:pPr>
      <w:r w:rsidRPr="00894EBA">
        <w:rPr>
          <w:rFonts w:ascii="Helvetica" w:hAnsi="Helvetica" w:cs="Helvetica"/>
          <w:b/>
          <w:bCs/>
          <w:sz w:val="21"/>
          <w:szCs w:val="21"/>
        </w:rPr>
        <w:t>SI KDR</w:t>
      </w:r>
      <w:r w:rsidRPr="00894EBA">
        <w:rPr>
          <w:rFonts w:ascii="Helvetica" w:hAnsi="Helvetica" w:cs="Helvetica"/>
          <w:bCs/>
          <w:sz w:val="21"/>
          <w:szCs w:val="21"/>
        </w:rPr>
        <w:t xml:space="preserve"> umożliwia realizację zadań wynikających z ustawy o Karcie Dużej Rodziny</w:t>
      </w:r>
      <w:r w:rsidRPr="00894EBA">
        <w:rPr>
          <w:rFonts w:ascii="Helvetica" w:hAnsi="Helvetica" w:cs="Helvetica"/>
          <w:b/>
          <w:bCs/>
          <w:color w:val="FF0000"/>
          <w:sz w:val="21"/>
          <w:szCs w:val="21"/>
          <w:vertAlign w:val="superscript"/>
        </w:rPr>
        <w:footnoteReference w:id="9"/>
      </w:r>
      <w:r w:rsidRPr="00894EBA">
        <w:rPr>
          <w:rFonts w:ascii="Helvetica" w:hAnsi="Helvetica" w:cs="Helvetica"/>
          <w:bCs/>
          <w:sz w:val="21"/>
          <w:szCs w:val="21"/>
        </w:rPr>
        <w:t xml:space="preserve"> zapewniając w sposób kompleksowy ich obsługę</w:t>
      </w:r>
      <w:r w:rsidR="00983826" w:rsidRPr="00894EBA">
        <w:rPr>
          <w:rFonts w:ascii="Helvetica" w:hAnsi="Helvetica" w:cs="Helvetica"/>
          <w:bCs/>
          <w:sz w:val="21"/>
          <w:szCs w:val="21"/>
        </w:rPr>
        <w:t>.</w:t>
      </w:r>
    </w:p>
    <w:p w14:paraId="6517B411" w14:textId="77777777" w:rsidR="004D1514" w:rsidRPr="00894EBA" w:rsidRDefault="004D1514" w:rsidP="00983826">
      <w:pPr>
        <w:tabs>
          <w:tab w:val="left" w:pos="709"/>
        </w:tabs>
        <w:spacing w:before="240" w:line="300" w:lineRule="atLeast"/>
        <w:jc w:val="both"/>
        <w:rPr>
          <w:rFonts w:ascii="Helvetica" w:hAnsi="Helvetica" w:cs="Helvetica"/>
          <w:b/>
          <w:szCs w:val="24"/>
        </w:rPr>
      </w:pPr>
      <w:r w:rsidRPr="00894EBA">
        <w:rPr>
          <w:rFonts w:ascii="Helvetica" w:hAnsi="Helvetica" w:cs="Helvetica"/>
          <w:b/>
          <w:szCs w:val="24"/>
        </w:rPr>
        <w:t>OCENY I USTALENIA SZCZEGÓŁOWE</w:t>
      </w:r>
    </w:p>
    <w:p w14:paraId="5963D195" w14:textId="77777777" w:rsidR="004D1514" w:rsidRPr="00894EBA" w:rsidRDefault="004D1514" w:rsidP="00983826">
      <w:pPr>
        <w:tabs>
          <w:tab w:val="left" w:pos="709"/>
        </w:tabs>
        <w:spacing w:before="120" w:line="300" w:lineRule="atLeast"/>
        <w:jc w:val="both"/>
        <w:rPr>
          <w:rFonts w:ascii="Helvetica" w:hAnsi="Helvetica" w:cs="Helvetica"/>
          <w:b/>
          <w:szCs w:val="24"/>
        </w:rPr>
      </w:pPr>
      <w:r w:rsidRPr="00894EBA">
        <w:rPr>
          <w:rFonts w:ascii="Helvetica" w:hAnsi="Helvetica" w:cs="Helvetica"/>
          <w:b/>
          <w:szCs w:val="24"/>
        </w:rPr>
        <w:t>I. System zarządzania bezpieczeństwem informacji</w:t>
      </w:r>
    </w:p>
    <w:p w14:paraId="656C2010"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bCs/>
          <w:szCs w:val="24"/>
        </w:rPr>
      </w:pPr>
      <w:r w:rsidRPr="00894EBA">
        <w:rPr>
          <w:rFonts w:ascii="Helvetica" w:hAnsi="Helvetica" w:cs="Helvetica"/>
          <w:b/>
          <w:bCs/>
          <w:szCs w:val="24"/>
        </w:rPr>
        <w:t xml:space="preserve">[stan </w:t>
      </w:r>
      <w:r w:rsidRPr="00894EBA">
        <w:rPr>
          <w:rFonts w:ascii="Helvetica" w:hAnsi="Helvetica" w:cs="Helvetica"/>
          <w:b/>
          <w:bCs/>
          <w:i/>
          <w:szCs w:val="24"/>
        </w:rPr>
        <w:t>SZBI</w:t>
      </w:r>
      <w:r w:rsidRPr="00894EBA">
        <w:rPr>
          <w:rFonts w:ascii="Helvetica" w:hAnsi="Helvetica" w:cs="Helvetica"/>
          <w:b/>
          <w:bCs/>
          <w:szCs w:val="24"/>
        </w:rPr>
        <w:t xml:space="preserve">] </w:t>
      </w:r>
      <w:r w:rsidRPr="00894EBA">
        <w:rPr>
          <w:rFonts w:ascii="Helvetica" w:hAnsi="Helvetica" w:cs="Helvetica"/>
          <w:bCs/>
          <w:szCs w:val="24"/>
        </w:rPr>
        <w:t xml:space="preserve">Ministerstwo podejmowało szereg działań mających na celu zapewnienie bezpieczeństwa informacji, w szczególności w obszarze IT, co należy ocenić pozytywnie. Wdrożenie kompleksowego i spójnego </w:t>
      </w:r>
      <w:r w:rsidRPr="00894EBA">
        <w:rPr>
          <w:rFonts w:ascii="Helvetica" w:hAnsi="Helvetica" w:cs="Helvetica"/>
          <w:bCs/>
          <w:i/>
          <w:szCs w:val="24"/>
        </w:rPr>
        <w:t>SZBI</w:t>
      </w:r>
      <w:r w:rsidRPr="00894EBA">
        <w:rPr>
          <w:rFonts w:ascii="Helvetica" w:hAnsi="Helvetica" w:cs="Helvetica"/>
          <w:bCs/>
          <w:szCs w:val="24"/>
        </w:rPr>
        <w:t xml:space="preserve"> wymaga jednak zmiany podejścia do jego ustanowienia. </w:t>
      </w:r>
      <w:r w:rsidRPr="00894EBA">
        <w:rPr>
          <w:rFonts w:ascii="Helvetica" w:hAnsi="Helvetica" w:cs="Helvetica"/>
          <w:szCs w:val="24"/>
        </w:rPr>
        <w:t xml:space="preserve">Proces ten powinien rozpocząć się od przeprowadzenia przeglądu, opracowania całościowej analizy ryzyka oraz kompleksowej dokumentacji, która jest warunkiem skutecznego zarządzania BI. </w:t>
      </w:r>
      <w:r w:rsidRPr="00894EBA">
        <w:rPr>
          <w:rFonts w:ascii="Helvetica" w:hAnsi="Helvetica" w:cs="Helvetica"/>
          <w:bCs/>
          <w:szCs w:val="24"/>
        </w:rPr>
        <w:t xml:space="preserve">W Jednostce wdrożono </w:t>
      </w:r>
      <w:r w:rsidRPr="00894EBA">
        <w:rPr>
          <w:rFonts w:ascii="Helvetica" w:hAnsi="Helvetica" w:cs="Helvetica"/>
          <w:i/>
          <w:szCs w:val="24"/>
        </w:rPr>
        <w:t>Politykę Bezpieczeństwa Informacji w obszarze IT</w:t>
      </w:r>
      <w:r w:rsidRPr="00894EBA">
        <w:rPr>
          <w:rFonts w:ascii="Helvetica" w:hAnsi="Helvetica" w:cs="Helvetica"/>
          <w:b/>
          <w:color w:val="FF0000"/>
          <w:sz w:val="18"/>
          <w:szCs w:val="18"/>
          <w:vertAlign w:val="superscript"/>
        </w:rPr>
        <w:footnoteReference w:id="10"/>
      </w:r>
      <w:r w:rsidRPr="00894EBA">
        <w:rPr>
          <w:rFonts w:ascii="Helvetica" w:hAnsi="Helvetica" w:cs="Helvetica"/>
          <w:bCs/>
          <w:szCs w:val="24"/>
        </w:rPr>
        <w:t xml:space="preserve">, określającą istotne zagadnienia bezpieczeństwa informatycznego. Jednak </w:t>
      </w:r>
      <w:r w:rsidRPr="00894EBA">
        <w:rPr>
          <w:rFonts w:ascii="Helvetica" w:hAnsi="Helvetica" w:cs="Helvetica"/>
          <w:bCs/>
          <w:i/>
          <w:szCs w:val="24"/>
        </w:rPr>
        <w:t>SZBI</w:t>
      </w:r>
      <w:r w:rsidRPr="00894EBA">
        <w:rPr>
          <w:rFonts w:ascii="Helvetica" w:hAnsi="Helvetica" w:cs="Helvetica"/>
          <w:bCs/>
          <w:szCs w:val="24"/>
        </w:rPr>
        <w:t xml:space="preserve"> to nie tylko obszar IT. Dopiero wdrożenie całościowych regulacji będzie</w:t>
      </w:r>
      <w:r w:rsidRPr="00894EBA">
        <w:rPr>
          <w:rFonts w:ascii="Helvetica" w:hAnsi="Helvetica" w:cs="Helvetica"/>
          <w:szCs w:val="21"/>
        </w:rPr>
        <w:t xml:space="preserve"> stanowiło</w:t>
      </w:r>
      <w:r w:rsidRPr="00894EBA">
        <w:rPr>
          <w:rFonts w:ascii="Helvetica" w:hAnsi="Helvetica" w:cs="Helvetica"/>
          <w:bCs/>
          <w:szCs w:val="24"/>
        </w:rPr>
        <w:t xml:space="preserve"> </w:t>
      </w:r>
      <w:r w:rsidRPr="00894EBA">
        <w:rPr>
          <w:rFonts w:ascii="Helvetica" w:hAnsi="Helvetica" w:cs="Helvetica"/>
          <w:szCs w:val="21"/>
        </w:rPr>
        <w:t xml:space="preserve">spełnienie wymogów § 20 ust. 1 </w:t>
      </w:r>
      <w:r w:rsidRPr="00894EBA">
        <w:rPr>
          <w:rFonts w:ascii="Helvetica" w:hAnsi="Helvetica" w:cs="Helvetica"/>
          <w:i/>
          <w:szCs w:val="21"/>
        </w:rPr>
        <w:t>Rozporządzenia KRI</w:t>
      </w:r>
      <w:r w:rsidRPr="00894EBA">
        <w:rPr>
          <w:rFonts w:ascii="Helvetica" w:hAnsi="Helvetica" w:cs="Helvetica"/>
          <w:b/>
          <w:color w:val="FF0000"/>
          <w:sz w:val="18"/>
          <w:szCs w:val="24"/>
          <w:vertAlign w:val="superscript"/>
        </w:rPr>
        <w:footnoteReference w:id="11"/>
      </w:r>
      <w:r w:rsidRPr="00894EBA">
        <w:rPr>
          <w:rFonts w:ascii="Helvetica" w:hAnsi="Helvetica" w:cs="Helvetica"/>
          <w:szCs w:val="21"/>
        </w:rPr>
        <w:t>.</w:t>
      </w:r>
    </w:p>
    <w:p w14:paraId="0016E4FA" w14:textId="77777777" w:rsidR="004D1514" w:rsidRPr="00894EBA" w:rsidRDefault="004D1514" w:rsidP="00983826">
      <w:pPr>
        <w:tabs>
          <w:tab w:val="left" w:pos="567"/>
        </w:tabs>
        <w:spacing w:before="60"/>
        <w:ind w:left="567" w:right="538"/>
        <w:jc w:val="both"/>
        <w:rPr>
          <w:rFonts w:ascii="Helvetica" w:hAnsi="Helvetica" w:cs="Helvetica"/>
          <w:sz w:val="21"/>
          <w:szCs w:val="21"/>
        </w:rPr>
      </w:pPr>
      <w:r w:rsidRPr="00894EBA">
        <w:rPr>
          <w:rFonts w:ascii="Helvetica" w:hAnsi="Helvetica" w:cs="Helvetica"/>
          <w:sz w:val="21"/>
          <w:szCs w:val="21"/>
        </w:rPr>
        <w:t xml:space="preserve">Od 9 stycznia 2020 r. w </w:t>
      </w:r>
      <w:proofErr w:type="spellStart"/>
      <w:r w:rsidRPr="00894EBA">
        <w:rPr>
          <w:rFonts w:ascii="Helvetica" w:hAnsi="Helvetica" w:cs="Helvetica"/>
          <w:sz w:val="21"/>
          <w:szCs w:val="21"/>
        </w:rPr>
        <w:t>MRiPS</w:t>
      </w:r>
      <w:proofErr w:type="spellEnd"/>
      <w:r w:rsidRPr="00894EBA">
        <w:rPr>
          <w:rFonts w:ascii="Helvetica" w:hAnsi="Helvetica" w:cs="Helvetica"/>
          <w:sz w:val="21"/>
          <w:szCs w:val="21"/>
        </w:rPr>
        <w:t xml:space="preserve"> obowiązywała </w:t>
      </w:r>
      <w:r w:rsidRPr="00894EBA">
        <w:rPr>
          <w:rFonts w:ascii="Helvetica" w:hAnsi="Helvetica" w:cs="Helvetica"/>
          <w:i/>
          <w:sz w:val="21"/>
          <w:szCs w:val="21"/>
        </w:rPr>
        <w:t>Polityka Bezpieczeństwa Informacji w obszarze IT</w:t>
      </w:r>
      <w:r w:rsidRPr="00894EBA">
        <w:rPr>
          <w:rFonts w:ascii="Helvetica" w:hAnsi="Helvetica" w:cs="Helvetica"/>
          <w:sz w:val="21"/>
          <w:szCs w:val="21"/>
        </w:rPr>
        <w:t xml:space="preserve"> (dalej: PBI IT lub Polityka IT). Regulowała ona szereg zagadnień w</w:t>
      </w:r>
      <w:r w:rsidR="0080660E">
        <w:rPr>
          <w:rFonts w:ascii="Helvetica" w:hAnsi="Helvetica" w:cs="Helvetica"/>
          <w:sz w:val="21"/>
          <w:szCs w:val="21"/>
        </w:rPr>
        <w:t>s</w:t>
      </w:r>
      <w:r w:rsidRPr="00894EBA">
        <w:rPr>
          <w:rFonts w:ascii="Helvetica" w:hAnsi="Helvetica" w:cs="Helvetica"/>
          <w:sz w:val="21"/>
          <w:szCs w:val="21"/>
        </w:rPr>
        <w:t>pierających proces zapewnienia BI przetwarzanych w systemach informatycznych. Określała m.in. strategię bezpieczeństwa IT, zadania Departamentu Informatyki (dalej: DI), ogólne zasady ochrony i zabezpieczeń, naruszenia i postępowanie w przypadkach podejrzenia naruszeń PBI IT, ogólne zasady bezpieczeństwa fizycznego i środowiskowego, bezpieczeństwa komputerów przenośnych i pracy na odległość, bezpieczeństwa sprzętu i okablowania, w tym naprawy sprzętu, zarządzania systemami i sieciami, zasady tworzenia kopii zapasowych, korzystania z Internetu, Intranetu i poczty elektronicznej, zasady kontroli i monitorowania dostępu do systemu oraz zagadnienia dot. rozwoju i utrzymania systemu.</w:t>
      </w:r>
    </w:p>
    <w:p w14:paraId="095AF229" w14:textId="77777777" w:rsidR="004D1514" w:rsidRPr="00894EBA" w:rsidRDefault="004D1514" w:rsidP="00983826">
      <w:pPr>
        <w:tabs>
          <w:tab w:val="left" w:pos="709"/>
        </w:tabs>
        <w:spacing w:before="60"/>
        <w:ind w:left="567" w:right="538"/>
        <w:jc w:val="both"/>
        <w:rPr>
          <w:rFonts w:ascii="Helvetica" w:hAnsi="Helvetica" w:cs="Helvetica"/>
          <w:color w:val="000000"/>
          <w:sz w:val="21"/>
          <w:szCs w:val="21"/>
        </w:rPr>
      </w:pPr>
      <w:r w:rsidRPr="00894EBA">
        <w:rPr>
          <w:rFonts w:ascii="Helvetica" w:hAnsi="Helvetica" w:cs="Helvetica"/>
          <w:sz w:val="21"/>
          <w:szCs w:val="21"/>
        </w:rPr>
        <w:t xml:space="preserve">Zagadnienia te należy w szczególności uzupełnić o obszary dot. </w:t>
      </w:r>
      <w:r w:rsidRPr="00894EBA">
        <w:rPr>
          <w:rFonts w:ascii="Helvetica" w:hAnsi="Helvetica" w:cs="Helvetica"/>
          <w:color w:val="000000"/>
          <w:sz w:val="21"/>
          <w:szCs w:val="21"/>
        </w:rPr>
        <w:t>przeglądów</w:t>
      </w:r>
      <w:r w:rsidRPr="00894EBA">
        <w:rPr>
          <w:rFonts w:ascii="Helvetica" w:hAnsi="Helvetica" w:cs="Helvetica"/>
          <w:i/>
          <w:sz w:val="21"/>
          <w:szCs w:val="21"/>
        </w:rPr>
        <w:t xml:space="preserve"> SZBI</w:t>
      </w:r>
      <w:r w:rsidRPr="00894EBA">
        <w:rPr>
          <w:rFonts w:ascii="Helvetica" w:hAnsi="Helvetica" w:cs="Helvetica"/>
          <w:color w:val="000000"/>
          <w:sz w:val="21"/>
          <w:szCs w:val="21"/>
        </w:rPr>
        <w:t>; analizy ryzyka; audytu BI; bazy konfiguracji CMDB; wskazania wśród budynków i pomieszczeń wchodzących w skład obszaru przetwarzania danych</w:t>
      </w:r>
      <w:r w:rsidRPr="00894EBA">
        <w:rPr>
          <w:rFonts w:ascii="Helvetica" w:hAnsi="Helvetica" w:cs="Helvetica"/>
          <w:b/>
          <w:color w:val="FF0000"/>
          <w:sz w:val="18"/>
          <w:vertAlign w:val="superscript"/>
        </w:rPr>
        <w:footnoteReference w:id="12"/>
      </w:r>
      <w:r w:rsidRPr="00894EBA">
        <w:rPr>
          <w:rFonts w:ascii="Helvetica" w:hAnsi="Helvetica" w:cs="Helvetica"/>
          <w:color w:val="000000"/>
          <w:sz w:val="21"/>
          <w:szCs w:val="21"/>
        </w:rPr>
        <w:t xml:space="preserve"> nie tylko nieruchomości, w których zlokalizowano urządzenia IT</w:t>
      </w:r>
      <w:r w:rsidRPr="00894EBA">
        <w:rPr>
          <w:rFonts w:ascii="Helvetica" w:hAnsi="Helvetica" w:cs="Helvetica"/>
          <w:b/>
          <w:color w:val="FF0000"/>
          <w:sz w:val="18"/>
          <w:vertAlign w:val="superscript"/>
        </w:rPr>
        <w:footnoteReference w:id="13"/>
      </w:r>
      <w:r w:rsidRPr="00894EBA">
        <w:rPr>
          <w:rFonts w:ascii="Helvetica" w:hAnsi="Helvetica" w:cs="Helvetica"/>
          <w:color w:val="000000"/>
          <w:sz w:val="21"/>
          <w:szCs w:val="21"/>
        </w:rPr>
        <w:t xml:space="preserve">, a wszystkich, w których są przetwarzanie informacje, w tym pomieszczeń użytkowanych na potrzeby przechowywania dokumentacji; określenia całościowego celu strategicznego oraz zobowiązania do ciągłego doskonalenia całego </w:t>
      </w:r>
      <w:r w:rsidRPr="00894EBA">
        <w:rPr>
          <w:rFonts w:ascii="Helvetica" w:hAnsi="Helvetica" w:cs="Helvetica"/>
          <w:i/>
          <w:color w:val="000000"/>
          <w:sz w:val="21"/>
          <w:szCs w:val="21"/>
        </w:rPr>
        <w:t>SZBI</w:t>
      </w:r>
      <w:r w:rsidRPr="00894EBA">
        <w:rPr>
          <w:rFonts w:ascii="Helvetica" w:hAnsi="Helvetica" w:cs="Helvetica"/>
          <w:b/>
          <w:color w:val="FF0000"/>
          <w:sz w:val="18"/>
          <w:vertAlign w:val="superscript"/>
        </w:rPr>
        <w:footnoteReference w:id="14"/>
      </w:r>
      <w:r w:rsidRPr="00894EBA">
        <w:rPr>
          <w:rFonts w:ascii="Helvetica" w:hAnsi="Helvetica" w:cs="Helvetica"/>
          <w:color w:val="000000"/>
          <w:sz w:val="21"/>
          <w:szCs w:val="21"/>
        </w:rPr>
        <w:t>.</w:t>
      </w:r>
    </w:p>
    <w:p w14:paraId="0108D03D" w14:textId="77777777" w:rsidR="004D1514" w:rsidRPr="00894EBA" w:rsidRDefault="004D1514" w:rsidP="00983826">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Wyjaśniono</w:t>
      </w:r>
      <w:r w:rsidRPr="00894EBA">
        <w:rPr>
          <w:rFonts w:ascii="Helvetica" w:hAnsi="Helvetica" w:cs="Helvetica"/>
          <w:b/>
          <w:color w:val="FF0000"/>
          <w:sz w:val="18"/>
          <w:vertAlign w:val="superscript"/>
        </w:rPr>
        <w:footnoteReference w:id="15"/>
      </w:r>
      <w:r w:rsidRPr="00894EBA">
        <w:rPr>
          <w:rFonts w:ascii="Helvetica" w:hAnsi="Helvetica" w:cs="Helvetica"/>
          <w:sz w:val="21"/>
          <w:szCs w:val="21"/>
        </w:rPr>
        <w:t xml:space="preserve">, że </w:t>
      </w:r>
      <w:r w:rsidRPr="00894EBA">
        <w:rPr>
          <w:rFonts w:ascii="Helvetica" w:eastAsia="Calibri" w:hAnsi="Helvetica" w:cs="Helvetica"/>
          <w:iCs/>
          <w:color w:val="000000"/>
          <w:sz w:val="21"/>
          <w:szCs w:val="21"/>
          <w:lang w:eastAsia="en-US"/>
        </w:rPr>
        <w:t xml:space="preserve">elementy polityki BI ze względu na wielkość i złożoność obszaru zostały wprowadzone w życie w wielu regulacjach wewnętrznych, dotyczących bezpośrednio lub pośrednio tego obszaru. Zaznaczyć należy, że część wskazanych powyżej obszarów nie została uregulowana. Ponadto poszczególne regulacje wewnętrzne nie zawierały </w:t>
      </w:r>
      <w:r w:rsidRPr="00894EBA">
        <w:rPr>
          <w:rFonts w:ascii="Helvetica" w:hAnsi="Helvetica" w:cs="Helvetica"/>
          <w:color w:val="000000"/>
          <w:sz w:val="21"/>
          <w:szCs w:val="21"/>
        </w:rPr>
        <w:t xml:space="preserve">celów bezpieczeństwa informacji i zobowiązania do ciągłego doskonalenia. </w:t>
      </w:r>
      <w:r w:rsidRPr="00894EBA">
        <w:rPr>
          <w:rFonts w:ascii="Helvetica" w:hAnsi="Helvetica" w:cs="Helvetica"/>
          <w:bCs/>
        </w:rPr>
        <w:t>M</w:t>
      </w:r>
      <w:r w:rsidRPr="00894EBA">
        <w:rPr>
          <w:rFonts w:ascii="Helvetica" w:eastAsia="Calibri" w:hAnsi="Helvetica" w:cs="Helvetica"/>
          <w:iCs/>
          <w:color w:val="000000"/>
          <w:sz w:val="21"/>
          <w:szCs w:val="21"/>
          <w:lang w:eastAsia="en-US"/>
        </w:rPr>
        <w:t>inisterstwo szacowało</w:t>
      </w:r>
      <w:r w:rsidRPr="00894EBA">
        <w:rPr>
          <w:rFonts w:ascii="Helvetica" w:hAnsi="Helvetica" w:cs="Helvetica"/>
          <w:b/>
          <w:color w:val="FF0000"/>
          <w:sz w:val="18"/>
          <w:vertAlign w:val="superscript"/>
          <w:lang w:eastAsia="en-US"/>
        </w:rPr>
        <w:footnoteReference w:id="16"/>
      </w:r>
      <w:r w:rsidRPr="00894EBA">
        <w:rPr>
          <w:rFonts w:ascii="Helvetica" w:eastAsia="Calibri" w:hAnsi="Helvetica" w:cs="Helvetica"/>
          <w:iCs/>
          <w:color w:val="000000"/>
          <w:sz w:val="21"/>
          <w:szCs w:val="21"/>
          <w:lang w:eastAsia="en-US"/>
        </w:rPr>
        <w:t xml:space="preserve">, że wdrożenie kompleksowej dokumentacji </w:t>
      </w:r>
      <w:r w:rsidRPr="00894EBA">
        <w:rPr>
          <w:rFonts w:ascii="Helvetica" w:eastAsia="Calibri" w:hAnsi="Helvetica" w:cs="Helvetica"/>
          <w:i/>
          <w:iCs/>
          <w:color w:val="000000"/>
          <w:sz w:val="21"/>
          <w:szCs w:val="21"/>
          <w:lang w:eastAsia="en-US"/>
        </w:rPr>
        <w:t>SZBI</w:t>
      </w:r>
      <w:r w:rsidR="00B66120">
        <w:rPr>
          <w:rFonts w:ascii="Helvetica" w:eastAsia="Calibri" w:hAnsi="Helvetica" w:cs="Helvetica"/>
          <w:iCs/>
          <w:color w:val="000000"/>
          <w:sz w:val="21"/>
          <w:szCs w:val="21"/>
          <w:lang w:eastAsia="en-US"/>
        </w:rPr>
        <w:t xml:space="preserve"> będzie </w:t>
      </w:r>
      <w:r w:rsidRPr="00894EBA">
        <w:rPr>
          <w:rFonts w:ascii="Helvetica" w:eastAsia="Calibri" w:hAnsi="Helvetica" w:cs="Helvetica"/>
          <w:iCs/>
          <w:color w:val="000000"/>
          <w:sz w:val="21"/>
          <w:szCs w:val="21"/>
          <w:lang w:eastAsia="en-US"/>
        </w:rPr>
        <w:t>możliwe w perspektywie 6 miesięcy od zapoznania się z </w:t>
      </w:r>
      <w:r w:rsidR="00983826" w:rsidRPr="00894EBA">
        <w:rPr>
          <w:rFonts w:ascii="Helvetica" w:eastAsia="Calibri" w:hAnsi="Helvetica" w:cs="Helvetica"/>
          <w:iCs/>
          <w:color w:val="000000"/>
          <w:sz w:val="21"/>
          <w:szCs w:val="21"/>
          <w:lang w:eastAsia="en-US"/>
        </w:rPr>
        <w:t>ostatecznymi wynikami kontroli.</w:t>
      </w:r>
    </w:p>
    <w:p w14:paraId="4A295DEA" w14:textId="77777777" w:rsidR="004D1514" w:rsidRPr="00894EBA" w:rsidRDefault="004D1514" w:rsidP="00983826">
      <w:pPr>
        <w:tabs>
          <w:tab w:val="left" w:pos="709"/>
        </w:tabs>
        <w:spacing w:before="60" w:line="300" w:lineRule="atLeast"/>
        <w:jc w:val="both"/>
        <w:rPr>
          <w:rFonts w:ascii="Helvetica" w:hAnsi="Helvetica" w:cs="Helvetica"/>
        </w:rPr>
      </w:pPr>
      <w:r w:rsidRPr="00894EBA">
        <w:rPr>
          <w:rFonts w:ascii="Helvetica" w:hAnsi="Helvetica" w:cs="Helvetica"/>
        </w:rPr>
        <w:t xml:space="preserve">Ustanowienie </w:t>
      </w:r>
      <w:r w:rsidRPr="00894EBA">
        <w:rPr>
          <w:rFonts w:ascii="Helvetica" w:hAnsi="Helvetica" w:cs="Helvetica"/>
          <w:i/>
        </w:rPr>
        <w:t xml:space="preserve">SZBI, </w:t>
      </w:r>
      <w:r w:rsidRPr="00894EBA">
        <w:rPr>
          <w:rFonts w:ascii="Helvetica" w:hAnsi="Helvetica" w:cs="Helvetica"/>
        </w:rPr>
        <w:t xml:space="preserve">który zapewnia poufność, dostępność i integralność informacji wymaga wdrożenia kompleksowych regulacji wewnętrznych gwarantujących sprawność jego działania. Dlatego </w:t>
      </w:r>
      <w:proofErr w:type="spellStart"/>
      <w:r w:rsidRPr="00894EBA">
        <w:rPr>
          <w:rFonts w:ascii="Helvetica" w:hAnsi="Helvetica" w:cs="Helvetica"/>
        </w:rPr>
        <w:t>MRiPS</w:t>
      </w:r>
      <w:proofErr w:type="spellEnd"/>
      <w:r w:rsidRPr="00894EBA">
        <w:rPr>
          <w:rFonts w:ascii="Helvetica" w:hAnsi="Helvetica" w:cs="Helvetica"/>
        </w:rPr>
        <w:t xml:space="preserve"> powinno zintensyfikować prace nad ich przygotowaniem uwzględniając wszystkie obszary BI. </w:t>
      </w:r>
      <w:r w:rsidRPr="00894EBA">
        <w:rPr>
          <w:rFonts w:ascii="Helvetica" w:hAnsi="Helvetica" w:cs="Helvetica"/>
          <w:i/>
        </w:rPr>
        <w:t>SZBI</w:t>
      </w:r>
      <w:r w:rsidRPr="00894EBA">
        <w:rPr>
          <w:rFonts w:ascii="Helvetica" w:hAnsi="Helvetica" w:cs="Helvetica"/>
        </w:rPr>
        <w:t xml:space="preserve"> powinien być stale doskonalony, dlatego termin wprowadzenia całościowych regulacji nie powinien być uzależniony od zapoznania się </w:t>
      </w:r>
      <w:r w:rsidR="00FF6F6F" w:rsidRPr="00894EBA">
        <w:rPr>
          <w:rFonts w:ascii="Helvetica" w:hAnsi="Helvetica" w:cs="Helvetica"/>
        </w:rPr>
        <w:t>z</w:t>
      </w:r>
      <w:r w:rsidR="00FF6F6F">
        <w:rPr>
          <w:rFonts w:ascii="Helvetica" w:hAnsi="Helvetica" w:cs="Helvetica"/>
        </w:rPr>
        <w:t> </w:t>
      </w:r>
      <w:r w:rsidRPr="00894EBA">
        <w:rPr>
          <w:rFonts w:ascii="Helvetica" w:hAnsi="Helvetica" w:cs="Helvetica"/>
        </w:rPr>
        <w:t>ostatecznymi wynikami kontroli. Jednostka powinna niezwłocznie podjąć niezbędne działania w tym zakresie.</w:t>
      </w:r>
    </w:p>
    <w:p w14:paraId="3004B2AB"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szCs w:val="24"/>
        </w:rPr>
      </w:pPr>
      <w:r w:rsidRPr="00894EBA">
        <w:rPr>
          <w:rFonts w:ascii="Helvetica" w:hAnsi="Helvetica" w:cs="Helvetica"/>
          <w:szCs w:val="24"/>
        </w:rPr>
        <w:t>W PBI IT wprowadzono liczne regulacje wspierające proces zarządzania infrastrukturą informatyczną. Wymaga ona dalszych aktualizacji / doprecyzowania, co uzasadnione jest nie tylko zmieniającym się otoczeniem, w tym zmianami organizacyjnymi Ministerstwa, ale także potrzebą precyzyjnego, niebudzącego wątpliwości interpretacyjnych odniesienia się do zagadnień, które określała.</w:t>
      </w:r>
    </w:p>
    <w:p w14:paraId="3F472310" w14:textId="77777777" w:rsidR="004D1514" w:rsidRPr="00894EBA" w:rsidRDefault="004D1514" w:rsidP="00983826">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 xml:space="preserve">PBI IT nie została zaktualizowana po przekształceniu Ministerstwa i odłączeniu działu administracji rządowej </w:t>
      </w:r>
      <w:r w:rsidRPr="00894EBA">
        <w:rPr>
          <w:rFonts w:ascii="Helvetica" w:hAnsi="Helvetica" w:cs="Helvetica"/>
          <w:i/>
          <w:sz w:val="21"/>
          <w:szCs w:val="21"/>
        </w:rPr>
        <w:t>praca</w:t>
      </w:r>
      <w:r w:rsidRPr="00894EBA">
        <w:rPr>
          <w:rFonts w:ascii="Helvetica" w:hAnsi="Helvetica" w:cs="Helvetica"/>
          <w:sz w:val="21"/>
          <w:szCs w:val="21"/>
        </w:rPr>
        <w:t>. Wyjaśniono</w:t>
      </w:r>
      <w:r w:rsidRPr="00894EBA">
        <w:rPr>
          <w:rFonts w:ascii="Helvetica" w:hAnsi="Helvetica" w:cs="Helvetica"/>
          <w:b/>
          <w:color w:val="FF0000"/>
          <w:sz w:val="18"/>
          <w:vertAlign w:val="superscript"/>
        </w:rPr>
        <w:footnoteReference w:id="17"/>
      </w:r>
      <w:r w:rsidRPr="00894EBA">
        <w:rPr>
          <w:rFonts w:ascii="Helvetica" w:hAnsi="Helvetica" w:cs="Helvetica"/>
          <w:sz w:val="21"/>
          <w:szCs w:val="21"/>
        </w:rPr>
        <w:t xml:space="preserve"> że, przekształcenie to miało charakter porządkujący i pozostawało bez wpływu na kluczowe aspekty regulujące bezpieczeństwo informatyczne.</w:t>
      </w:r>
    </w:p>
    <w:p w14:paraId="2718E798" w14:textId="77777777" w:rsidR="004D1514" w:rsidRPr="00894EBA" w:rsidRDefault="004D1514" w:rsidP="00983826">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W ocenie Ministerstwa należało jedynie dokonać zmian w załączniku nr 5</w:t>
      </w:r>
      <w:r w:rsidRPr="00894EBA">
        <w:rPr>
          <w:rFonts w:ascii="Helvetica" w:hAnsi="Helvetica" w:cs="Helvetica"/>
          <w:b/>
          <w:color w:val="FF0000"/>
          <w:sz w:val="18"/>
          <w:vertAlign w:val="superscript"/>
        </w:rPr>
        <w:footnoteReference w:id="18"/>
      </w:r>
      <w:r w:rsidRPr="00894EBA">
        <w:rPr>
          <w:rFonts w:ascii="Helvetica" w:hAnsi="Helvetica" w:cs="Helvetica"/>
          <w:sz w:val="21"/>
          <w:szCs w:val="21"/>
        </w:rPr>
        <w:t xml:space="preserve"> do Polityki IT poprzez usunięcie wniosku o nadanie / odebranie dostępu do Systemu Obsługi Wniosków i Administracji (SOWA) oraz w załączniku nr 22 poprzez usunięcie z </w:t>
      </w:r>
      <w:r w:rsidRPr="00894EBA">
        <w:rPr>
          <w:rFonts w:ascii="Helvetica" w:hAnsi="Helvetica" w:cs="Helvetica"/>
          <w:i/>
          <w:sz w:val="21"/>
          <w:szCs w:val="21"/>
        </w:rPr>
        <w:t>Wykazu Gestorów zbiorów i zasobów IT</w:t>
      </w:r>
      <w:r w:rsidRPr="00894EBA">
        <w:rPr>
          <w:rFonts w:ascii="Helvetica" w:hAnsi="Helvetica" w:cs="Helvetica"/>
          <w:sz w:val="21"/>
          <w:szCs w:val="21"/>
        </w:rPr>
        <w:t xml:space="preserve"> systemów, które zostały przekazane do ówczesnego Ministerstwa Rozwoju, Pracy i Technologii</w:t>
      </w:r>
      <w:r w:rsidRPr="00894EBA">
        <w:rPr>
          <w:rFonts w:ascii="Helvetica" w:hAnsi="Helvetica" w:cs="Helvetica"/>
          <w:b/>
          <w:color w:val="FF0000"/>
          <w:sz w:val="18"/>
          <w:vertAlign w:val="superscript"/>
        </w:rPr>
        <w:footnoteReference w:id="19"/>
      </w:r>
      <w:r w:rsidRPr="00894EBA">
        <w:rPr>
          <w:rFonts w:ascii="Helvetica" w:hAnsi="Helvetica" w:cs="Helvetica"/>
          <w:sz w:val="21"/>
          <w:szCs w:val="21"/>
        </w:rPr>
        <w:t>.</w:t>
      </w:r>
    </w:p>
    <w:p w14:paraId="01797057" w14:textId="77777777" w:rsidR="004D1514" w:rsidRPr="00894EBA" w:rsidRDefault="004D1514" w:rsidP="00983826">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Nie można się z tym zgodzić, bowiem oprócz wskazanych zagadnień PBI IT wymagała aktualizacji i zmiany, w szczególności w zakresie:</w:t>
      </w:r>
    </w:p>
    <w:p w14:paraId="2AD75CF9" w14:textId="77777777" w:rsidR="004D1514" w:rsidRPr="00894EBA" w:rsidRDefault="004D1514" w:rsidP="000579A0">
      <w:pPr>
        <w:numPr>
          <w:ilvl w:val="0"/>
          <w:numId w:val="22"/>
        </w:numPr>
        <w:tabs>
          <w:tab w:val="left" w:pos="851"/>
        </w:tabs>
        <w:spacing w:before="20"/>
        <w:ind w:left="851" w:right="538" w:hanging="284"/>
        <w:jc w:val="both"/>
        <w:rPr>
          <w:rFonts w:ascii="Helvetica" w:hAnsi="Helvetica" w:cs="Helvetica"/>
          <w:sz w:val="21"/>
          <w:szCs w:val="21"/>
        </w:rPr>
      </w:pPr>
      <w:r w:rsidRPr="00894EBA">
        <w:rPr>
          <w:rFonts w:ascii="Helvetica" w:hAnsi="Helvetica" w:cs="Helvetica"/>
          <w:sz w:val="21"/>
          <w:szCs w:val="21"/>
        </w:rPr>
        <w:t xml:space="preserve">ról dla głównych osób zaangażowanych w BI. PBI IT wprowadzała w słowniku pojęć funkcję </w:t>
      </w:r>
      <w:r w:rsidRPr="00894EBA">
        <w:rPr>
          <w:rFonts w:ascii="Helvetica" w:hAnsi="Helvetica" w:cs="Helvetica"/>
          <w:i/>
          <w:sz w:val="21"/>
          <w:szCs w:val="21"/>
        </w:rPr>
        <w:t>Arbitra</w:t>
      </w:r>
      <w:r w:rsidRPr="00894EBA">
        <w:rPr>
          <w:rFonts w:ascii="Helvetica" w:hAnsi="Helvetica" w:cs="Helvetica"/>
          <w:sz w:val="21"/>
          <w:szCs w:val="21"/>
        </w:rPr>
        <w:t xml:space="preserve"> i Inspektora Bezpieczeństwa Teleinformatycznego (Inspektora IBT), które w tym miejscu zostały pozostawione omyłkowo (role te w rzeczywistości nie występowały).</w:t>
      </w:r>
    </w:p>
    <w:p w14:paraId="23168C1C" w14:textId="77777777" w:rsidR="004D1514" w:rsidRPr="00894EBA" w:rsidRDefault="004D1514" w:rsidP="000579A0">
      <w:pPr>
        <w:tabs>
          <w:tab w:val="left" w:pos="851"/>
        </w:tabs>
        <w:spacing w:before="20"/>
        <w:ind w:left="851" w:right="538"/>
        <w:jc w:val="both"/>
        <w:rPr>
          <w:rFonts w:ascii="Helvetica" w:hAnsi="Helvetica" w:cs="Helvetica"/>
          <w:sz w:val="21"/>
          <w:szCs w:val="21"/>
        </w:rPr>
      </w:pPr>
      <w:r w:rsidRPr="00894EBA">
        <w:rPr>
          <w:rFonts w:ascii="Helvetica" w:hAnsi="Helvetica" w:cs="Helvetica"/>
          <w:sz w:val="21"/>
          <w:szCs w:val="21"/>
        </w:rPr>
        <w:t>Natomiast w załączniku nr 15</w:t>
      </w:r>
      <w:r w:rsidRPr="00894EBA">
        <w:rPr>
          <w:rFonts w:ascii="Helvetica" w:hAnsi="Helvetica" w:cs="Helvetica"/>
          <w:b/>
          <w:color w:val="FF0000"/>
          <w:sz w:val="18"/>
          <w:vertAlign w:val="superscript"/>
        </w:rPr>
        <w:footnoteReference w:id="20"/>
      </w:r>
      <w:r w:rsidRPr="00894EBA">
        <w:rPr>
          <w:rFonts w:ascii="Helvetica" w:hAnsi="Helvetica" w:cs="Helvetica"/>
          <w:sz w:val="21"/>
          <w:szCs w:val="21"/>
        </w:rPr>
        <w:t xml:space="preserve"> wprowadzono rolę Administratora Sieci Informatycznej, która nie była zdefiniowana w PBI IT, gdyż jak wyjaśniono</w:t>
      </w:r>
      <w:r w:rsidRPr="00894EBA">
        <w:rPr>
          <w:rFonts w:ascii="Helvetica" w:hAnsi="Helvetica" w:cs="Helvetica"/>
          <w:b/>
          <w:color w:val="FF0000"/>
          <w:sz w:val="18"/>
          <w:vertAlign w:val="superscript"/>
        </w:rPr>
        <w:footnoteReference w:id="21"/>
      </w:r>
      <w:r w:rsidRPr="00894EBA">
        <w:rPr>
          <w:rFonts w:ascii="Helvetica" w:hAnsi="Helvetica" w:cs="Helvetica"/>
          <w:sz w:val="21"/>
          <w:szCs w:val="21"/>
        </w:rPr>
        <w:t xml:space="preserve"> była tożsama z funkcją głównego specjalisty ds. sieciowej infrastruktury teleinformatycznej (GS ds. ICT). W załączniku nr 12</w:t>
      </w:r>
      <w:r w:rsidRPr="00894EBA">
        <w:rPr>
          <w:rFonts w:ascii="Helvetica" w:hAnsi="Helvetica" w:cs="Helvetica"/>
          <w:b/>
          <w:color w:val="FF0000"/>
          <w:sz w:val="18"/>
          <w:vertAlign w:val="superscript"/>
        </w:rPr>
        <w:footnoteReference w:id="22"/>
      </w:r>
      <w:r w:rsidRPr="00894EBA">
        <w:rPr>
          <w:rFonts w:ascii="Helvetica" w:hAnsi="Helvetica" w:cs="Helvetica"/>
          <w:sz w:val="21"/>
          <w:szCs w:val="21"/>
        </w:rPr>
        <w:t xml:space="preserve"> wprowadzono rolę Administratora Środowiska Wirtualnego, której nie wskazano w części PBI IT przedstawiającej wykaz ról związanych z zapewnieniem bezpieczeństwa;</w:t>
      </w:r>
    </w:p>
    <w:p w14:paraId="3309D05F" w14:textId="77777777" w:rsidR="004D1514" w:rsidRPr="00894EBA" w:rsidRDefault="004D1514" w:rsidP="000579A0">
      <w:pPr>
        <w:numPr>
          <w:ilvl w:val="0"/>
          <w:numId w:val="22"/>
        </w:numPr>
        <w:tabs>
          <w:tab w:val="left" w:pos="851"/>
        </w:tabs>
        <w:spacing w:before="20"/>
        <w:ind w:left="851" w:right="538" w:hanging="284"/>
        <w:jc w:val="both"/>
        <w:rPr>
          <w:rFonts w:ascii="Helvetica" w:hAnsi="Helvetica" w:cs="Helvetica"/>
          <w:sz w:val="21"/>
          <w:szCs w:val="21"/>
        </w:rPr>
      </w:pPr>
      <w:r w:rsidRPr="00894EBA">
        <w:rPr>
          <w:rFonts w:ascii="Helvetica" w:hAnsi="Helvetica" w:cs="Helvetica"/>
          <w:sz w:val="21"/>
          <w:szCs w:val="21"/>
        </w:rPr>
        <w:t>postanowień § 20 ust. 12 części II załącznika nr 1 wskazującego, że w przypadku nośników zawierających informacje niejawne są stosowane procedury określające postępowanie z informacjami niejawnymi, podczas gdy Pełnomocnik ds. Ochrony Informacji Niejawnych nie posiadał odrębnej procedury</w:t>
      </w:r>
      <w:r w:rsidRPr="00894EBA">
        <w:rPr>
          <w:rFonts w:ascii="Helvetica" w:hAnsi="Helvetica" w:cs="Helvetica"/>
          <w:b/>
          <w:color w:val="FF0000"/>
          <w:sz w:val="18"/>
          <w:vertAlign w:val="superscript"/>
        </w:rPr>
        <w:footnoteReference w:id="23"/>
      </w:r>
      <w:r w:rsidRPr="00894EBA">
        <w:rPr>
          <w:rFonts w:ascii="Helvetica" w:hAnsi="Helvetica" w:cs="Helvetica"/>
          <w:sz w:val="21"/>
          <w:szCs w:val="21"/>
        </w:rPr>
        <w:t>;</w:t>
      </w:r>
    </w:p>
    <w:p w14:paraId="1A8BA591" w14:textId="77777777" w:rsidR="004D1514" w:rsidRPr="00894EBA" w:rsidRDefault="004D1514" w:rsidP="000579A0">
      <w:pPr>
        <w:numPr>
          <w:ilvl w:val="0"/>
          <w:numId w:val="22"/>
        </w:numPr>
        <w:tabs>
          <w:tab w:val="left" w:pos="851"/>
        </w:tabs>
        <w:spacing w:before="20"/>
        <w:ind w:left="851" w:right="538" w:hanging="284"/>
        <w:jc w:val="both"/>
        <w:rPr>
          <w:rFonts w:ascii="Helvetica" w:hAnsi="Helvetica" w:cs="Helvetica"/>
          <w:sz w:val="21"/>
          <w:szCs w:val="21"/>
        </w:rPr>
      </w:pPr>
      <w:r w:rsidRPr="00894EBA">
        <w:rPr>
          <w:rFonts w:ascii="Helvetica" w:hAnsi="Helvetica" w:cs="Helvetica"/>
          <w:sz w:val="21"/>
          <w:szCs w:val="21"/>
        </w:rPr>
        <w:t>funkcjonowania Komitetu Sterowania Bezpieczeństwem Informacji, który został zniesiony</w:t>
      </w:r>
      <w:r w:rsidRPr="00894EBA">
        <w:rPr>
          <w:rFonts w:ascii="Helvetica" w:hAnsi="Helvetica" w:cs="Helvetica"/>
          <w:b/>
          <w:color w:val="FF0000"/>
          <w:sz w:val="18"/>
          <w:vertAlign w:val="superscript"/>
        </w:rPr>
        <w:footnoteReference w:id="24"/>
      </w:r>
      <w:r w:rsidRPr="00894EBA">
        <w:rPr>
          <w:rFonts w:ascii="Helvetica" w:hAnsi="Helvetica" w:cs="Helvetica"/>
          <w:sz w:val="21"/>
          <w:szCs w:val="21"/>
        </w:rPr>
        <w:t xml:space="preserve"> 18 listopada 2019 r.;</w:t>
      </w:r>
    </w:p>
    <w:p w14:paraId="7A5B6DB9" w14:textId="77777777" w:rsidR="004D1514" w:rsidRPr="00894EBA" w:rsidRDefault="004D1514" w:rsidP="000579A0">
      <w:pPr>
        <w:numPr>
          <w:ilvl w:val="0"/>
          <w:numId w:val="22"/>
        </w:numPr>
        <w:tabs>
          <w:tab w:val="left" w:pos="851"/>
        </w:tabs>
        <w:spacing w:before="20"/>
        <w:ind w:left="851" w:right="538" w:hanging="284"/>
        <w:jc w:val="both"/>
        <w:rPr>
          <w:rFonts w:ascii="Helvetica" w:hAnsi="Helvetica" w:cs="Helvetica"/>
          <w:sz w:val="21"/>
          <w:szCs w:val="21"/>
        </w:rPr>
      </w:pPr>
      <w:r w:rsidRPr="00894EBA">
        <w:rPr>
          <w:rFonts w:ascii="Helvetica" w:hAnsi="Helvetica" w:cs="Helvetica"/>
          <w:sz w:val="21"/>
          <w:szCs w:val="21"/>
        </w:rPr>
        <w:t xml:space="preserve">zarządzania incydentami, w tym m.in. ze względu na wprowadzenie 3 różnych definicji incydentów [szerzej pkt 14 </w:t>
      </w:r>
      <w:r w:rsidR="002B2FC5" w:rsidRPr="002B2FC5">
        <w:rPr>
          <w:rFonts w:ascii="Helvetica" w:hAnsi="Helvetica" w:cs="Helvetica"/>
          <w:i/>
          <w:sz w:val="21"/>
          <w:szCs w:val="21"/>
        </w:rPr>
        <w:t>Wystąpienia</w:t>
      </w:r>
      <w:r w:rsidRPr="00894EBA">
        <w:rPr>
          <w:rFonts w:ascii="Helvetica" w:hAnsi="Helvetica" w:cs="Helvetica"/>
          <w:sz w:val="21"/>
          <w:szCs w:val="21"/>
        </w:rPr>
        <w:t>];</w:t>
      </w:r>
    </w:p>
    <w:p w14:paraId="208D43B0" w14:textId="77777777" w:rsidR="004D1514" w:rsidRPr="00894EBA" w:rsidRDefault="004D1514" w:rsidP="000579A0">
      <w:pPr>
        <w:numPr>
          <w:ilvl w:val="0"/>
          <w:numId w:val="22"/>
        </w:numPr>
        <w:tabs>
          <w:tab w:val="left" w:pos="851"/>
        </w:tabs>
        <w:spacing w:before="20"/>
        <w:ind w:left="851" w:right="538" w:hanging="284"/>
        <w:jc w:val="both"/>
        <w:rPr>
          <w:rFonts w:ascii="Helvetica" w:hAnsi="Helvetica" w:cs="Helvetica"/>
          <w:sz w:val="21"/>
          <w:szCs w:val="21"/>
        </w:rPr>
      </w:pPr>
      <w:r w:rsidRPr="00894EBA">
        <w:rPr>
          <w:rFonts w:ascii="Helvetica" w:hAnsi="Helvetica" w:cs="Helvetica"/>
          <w:sz w:val="21"/>
          <w:szCs w:val="21"/>
        </w:rPr>
        <w:t>stosowanego narzędzia do przekazywania wniosków o nadanie uprawnień. PBI IT</w:t>
      </w:r>
      <w:r w:rsidRPr="00894EBA">
        <w:rPr>
          <w:rFonts w:ascii="Helvetica" w:hAnsi="Helvetica" w:cs="Helvetica"/>
          <w:b/>
          <w:color w:val="FF0000"/>
          <w:sz w:val="18"/>
          <w:vertAlign w:val="superscript"/>
        </w:rPr>
        <w:footnoteReference w:id="25"/>
      </w:r>
      <w:r w:rsidRPr="00894EBA">
        <w:rPr>
          <w:rFonts w:ascii="Helvetica" w:hAnsi="Helvetica" w:cs="Helvetica"/>
          <w:sz w:val="21"/>
          <w:szCs w:val="21"/>
        </w:rPr>
        <w:t xml:space="preserve"> </w:t>
      </w:r>
      <w:r w:rsidRPr="00894EBA">
        <w:rPr>
          <w:rFonts w:ascii="Helvetica" w:hAnsi="Helvetica" w:cs="Helvetica"/>
          <w:bCs/>
          <w:sz w:val="21"/>
          <w:szCs w:val="21"/>
        </w:rPr>
        <w:t xml:space="preserve">wskazywała </w:t>
      </w:r>
      <w:r w:rsidRPr="00894EBA">
        <w:rPr>
          <w:rFonts w:ascii="Helvetica" w:hAnsi="Helvetica" w:cs="Helvetica"/>
          <w:sz w:val="21"/>
          <w:szCs w:val="21"/>
        </w:rPr>
        <w:t xml:space="preserve">niewykorzystywane narzędzie do ich przesyłania, tj. samoobsługowy system rejestracji zgłoszeń (http://serwis/maximo/ui/login), który był użytkowany do 9 marca 2021 r., natomiast nie określała wykorzystywanego od 2016 r. systemu </w:t>
      </w:r>
      <w:proofErr w:type="spellStart"/>
      <w:r w:rsidRPr="00894EBA">
        <w:rPr>
          <w:rFonts w:ascii="Helvetica" w:hAnsi="Helvetica" w:cs="Helvetica"/>
          <w:sz w:val="21"/>
          <w:szCs w:val="21"/>
        </w:rPr>
        <w:t>eDok</w:t>
      </w:r>
      <w:proofErr w:type="spellEnd"/>
      <w:r w:rsidRPr="00894EBA">
        <w:rPr>
          <w:rFonts w:ascii="Helvetica" w:hAnsi="Helvetica" w:cs="Helvetica"/>
          <w:sz w:val="21"/>
          <w:szCs w:val="21"/>
        </w:rPr>
        <w:t>;</w:t>
      </w:r>
    </w:p>
    <w:p w14:paraId="666A8157" w14:textId="77777777" w:rsidR="004D1514" w:rsidRPr="00894EBA" w:rsidRDefault="004D1514" w:rsidP="000579A0">
      <w:pPr>
        <w:numPr>
          <w:ilvl w:val="0"/>
          <w:numId w:val="22"/>
        </w:numPr>
        <w:tabs>
          <w:tab w:val="left" w:pos="851"/>
        </w:tabs>
        <w:spacing w:before="20"/>
        <w:ind w:left="851" w:right="538" w:hanging="284"/>
        <w:jc w:val="both"/>
        <w:rPr>
          <w:rFonts w:ascii="Helvetica" w:hAnsi="Helvetica" w:cs="Helvetica"/>
          <w:sz w:val="21"/>
          <w:szCs w:val="21"/>
        </w:rPr>
      </w:pPr>
      <w:r w:rsidRPr="00894EBA">
        <w:rPr>
          <w:rFonts w:ascii="Helvetica" w:hAnsi="Helvetica" w:cs="Helvetica"/>
          <w:sz w:val="21"/>
          <w:szCs w:val="21"/>
        </w:rPr>
        <w:t>doprecyzowania pomieszczeń wchodzących w skład strefy bezpieczeństwa. W PBI IT</w:t>
      </w:r>
      <w:r w:rsidRPr="00894EBA">
        <w:rPr>
          <w:rFonts w:ascii="Helvetica" w:hAnsi="Helvetica" w:cs="Helvetica"/>
          <w:b/>
          <w:color w:val="FF0000"/>
          <w:sz w:val="18"/>
          <w:vertAlign w:val="superscript"/>
        </w:rPr>
        <w:footnoteReference w:id="26"/>
      </w:r>
      <w:r w:rsidRPr="00894EBA">
        <w:rPr>
          <w:rFonts w:ascii="Helvetica" w:hAnsi="Helvetica" w:cs="Helvetica"/>
          <w:sz w:val="21"/>
          <w:szCs w:val="21"/>
        </w:rPr>
        <w:t xml:space="preserve"> wskazano ogólnie, że w skład strefy bezpieczeństwa wchodzą m.in. węzły dystrybucyjne. Ministerstwo posiadało 12</w:t>
      </w:r>
      <w:r w:rsidRPr="00894EBA">
        <w:rPr>
          <w:rFonts w:ascii="Helvetica" w:hAnsi="Helvetica" w:cs="Helvetica"/>
          <w:b/>
          <w:color w:val="FF0000"/>
          <w:sz w:val="18"/>
          <w:vertAlign w:val="superscript"/>
        </w:rPr>
        <w:footnoteReference w:id="27"/>
      </w:r>
      <w:r w:rsidRPr="00894EBA">
        <w:rPr>
          <w:rFonts w:ascii="Helvetica" w:hAnsi="Helvetica" w:cs="Helvetica"/>
          <w:sz w:val="21"/>
          <w:szCs w:val="21"/>
        </w:rPr>
        <w:t xml:space="preserve"> takich pomieszczeń, jednak przyjmowano, że spośród nich tylko główny punkt dystrybucyjny wchodzi w skład strefy bezpieczeństwa</w:t>
      </w:r>
      <w:r w:rsidRPr="00894EBA">
        <w:rPr>
          <w:rFonts w:ascii="Helvetica" w:hAnsi="Helvetica" w:cs="Helvetica"/>
          <w:b/>
          <w:color w:val="FF0000"/>
          <w:sz w:val="18"/>
          <w:vertAlign w:val="superscript"/>
        </w:rPr>
        <w:footnoteReference w:id="28"/>
      </w:r>
      <w:r w:rsidRPr="00894EBA">
        <w:rPr>
          <w:rFonts w:ascii="Helvetica" w:hAnsi="Helvetica" w:cs="Helvetica"/>
          <w:sz w:val="21"/>
          <w:szCs w:val="21"/>
        </w:rPr>
        <w:t>. Ponadto w</w:t>
      </w:r>
      <w:r w:rsidR="000579A0">
        <w:rPr>
          <w:rFonts w:ascii="Helvetica" w:hAnsi="Helvetica" w:cs="Helvetica"/>
          <w:sz w:val="21"/>
          <w:szCs w:val="21"/>
        </w:rPr>
        <w:t> </w:t>
      </w:r>
      <w:r w:rsidRPr="00894EBA">
        <w:rPr>
          <w:rFonts w:ascii="Helvetica" w:hAnsi="Helvetica" w:cs="Helvetica"/>
          <w:sz w:val="21"/>
          <w:szCs w:val="21"/>
        </w:rPr>
        <w:t>przypadku pozostawienia wszystkich węzłów dystrybucyjnych w strefie bezpieczeństwa, należy wyposażyć je w dodatkowe zabezpieczenia, m.in. związane z kontrolą dostępu;</w:t>
      </w:r>
    </w:p>
    <w:p w14:paraId="1EF0CE9C" w14:textId="77777777" w:rsidR="004D1514" w:rsidRPr="00894EBA" w:rsidRDefault="004D1514" w:rsidP="000579A0">
      <w:pPr>
        <w:numPr>
          <w:ilvl w:val="0"/>
          <w:numId w:val="22"/>
        </w:numPr>
        <w:tabs>
          <w:tab w:val="left" w:pos="851"/>
        </w:tabs>
        <w:spacing w:before="20"/>
        <w:ind w:left="851" w:right="538" w:hanging="284"/>
        <w:jc w:val="both"/>
        <w:rPr>
          <w:rFonts w:ascii="Helvetica" w:hAnsi="Helvetica" w:cs="Helvetica"/>
          <w:sz w:val="21"/>
          <w:szCs w:val="21"/>
        </w:rPr>
      </w:pPr>
      <w:r w:rsidRPr="00894EBA">
        <w:rPr>
          <w:rFonts w:ascii="Helvetica" w:hAnsi="Helvetica" w:cs="Helvetica"/>
          <w:sz w:val="21"/>
          <w:szCs w:val="21"/>
        </w:rPr>
        <w:t>doprecyzowania § 26 ust. 3 części II załącznika nr 1 – w przepisie tym wskazano, że </w:t>
      </w:r>
      <w:r w:rsidRPr="00894EBA">
        <w:rPr>
          <w:rFonts w:ascii="Helvetica" w:hAnsi="Helvetica" w:cs="Helvetica"/>
          <w:i/>
          <w:sz w:val="21"/>
          <w:szCs w:val="21"/>
        </w:rPr>
        <w:t xml:space="preserve">wszystkie zmiany w systemie mogą być wprowadzane jedynie w oparciu o procedury tworzone osobno i zatwierdzone jednorazowo przez Dyrektora Departamentu Informatyki. </w:t>
      </w:r>
      <w:r w:rsidRPr="00894EBA">
        <w:rPr>
          <w:rFonts w:ascii="Helvetica" w:hAnsi="Helvetica" w:cs="Helvetica"/>
          <w:sz w:val="21"/>
          <w:szCs w:val="21"/>
        </w:rPr>
        <w:t>Zatem przepis ten</w:t>
      </w:r>
      <w:r w:rsidRPr="00894EBA">
        <w:rPr>
          <w:rFonts w:ascii="Helvetica" w:hAnsi="Helvetica" w:cs="Helvetica"/>
          <w:i/>
          <w:sz w:val="21"/>
          <w:szCs w:val="21"/>
        </w:rPr>
        <w:t xml:space="preserve"> </w:t>
      </w:r>
      <w:r w:rsidRPr="00894EBA">
        <w:rPr>
          <w:rFonts w:ascii="Helvetica" w:hAnsi="Helvetica" w:cs="Helvetica"/>
          <w:sz w:val="21"/>
          <w:szCs w:val="21"/>
        </w:rPr>
        <w:t xml:space="preserve">można zinterpretować w ten sposób, że w przypadku każdej zmiany tworzone są procedury jej wdrożenia, które podlegają zatwierdzeniu przez Dyrektora DI. W praktyce wymóg ten realizowany był poprzez opracowanie </w:t>
      </w:r>
      <w:r w:rsidRPr="00894EBA">
        <w:rPr>
          <w:rFonts w:ascii="Helvetica" w:hAnsi="Helvetica" w:cs="Helvetica"/>
          <w:i/>
          <w:sz w:val="21"/>
          <w:szCs w:val="21"/>
        </w:rPr>
        <w:t>Procedury rozwoju</w:t>
      </w:r>
      <w:r w:rsidRPr="00894EBA">
        <w:rPr>
          <w:rFonts w:ascii="Helvetica" w:hAnsi="Helvetica" w:cs="Helvetica"/>
          <w:sz w:val="21"/>
          <w:szCs w:val="21"/>
        </w:rPr>
        <w:t xml:space="preserve"> stanowiącej załącznik do umowy utrzymania w sprawności i rozwoju systemu, a następnie podpisanie umowy, tj. zatwierdzenie tej </w:t>
      </w:r>
      <w:r w:rsidRPr="00894EBA">
        <w:rPr>
          <w:rFonts w:ascii="Helvetica" w:hAnsi="Helvetica" w:cs="Helvetica"/>
          <w:i/>
          <w:sz w:val="21"/>
          <w:szCs w:val="21"/>
        </w:rPr>
        <w:t>Procedury</w:t>
      </w:r>
      <w:r w:rsidRPr="00894EBA">
        <w:rPr>
          <w:rFonts w:ascii="Helvetica" w:hAnsi="Helvetica" w:cs="Helvetica"/>
          <w:sz w:val="21"/>
          <w:szCs w:val="21"/>
        </w:rPr>
        <w:t>;</w:t>
      </w:r>
    </w:p>
    <w:p w14:paraId="1732EEA5" w14:textId="77777777" w:rsidR="004D1514" w:rsidRPr="00894EBA" w:rsidRDefault="004D1514" w:rsidP="000579A0">
      <w:pPr>
        <w:numPr>
          <w:ilvl w:val="0"/>
          <w:numId w:val="22"/>
        </w:numPr>
        <w:tabs>
          <w:tab w:val="left" w:pos="851"/>
        </w:tabs>
        <w:spacing w:before="20"/>
        <w:ind w:left="851" w:right="538" w:hanging="284"/>
        <w:jc w:val="both"/>
        <w:rPr>
          <w:rFonts w:ascii="Helvetica" w:hAnsi="Helvetica" w:cs="Helvetica"/>
          <w:sz w:val="21"/>
          <w:szCs w:val="21"/>
        </w:rPr>
      </w:pPr>
      <w:r w:rsidRPr="00894EBA">
        <w:rPr>
          <w:rFonts w:ascii="Helvetica" w:hAnsi="Helvetica" w:cs="Helvetica"/>
          <w:sz w:val="21"/>
          <w:szCs w:val="21"/>
        </w:rPr>
        <w:t xml:space="preserve">zdefiniowania pojęcia </w:t>
      </w:r>
      <w:r w:rsidRPr="00894EBA">
        <w:rPr>
          <w:rFonts w:ascii="Helvetica" w:hAnsi="Helvetica" w:cs="Helvetica"/>
          <w:i/>
          <w:sz w:val="21"/>
          <w:szCs w:val="21"/>
        </w:rPr>
        <w:t>informacji wrażliwej i systemu wrażliwego</w:t>
      </w:r>
      <w:r w:rsidRPr="00894EBA">
        <w:rPr>
          <w:rFonts w:ascii="Helvetica" w:hAnsi="Helvetica" w:cs="Helvetica"/>
          <w:sz w:val="21"/>
          <w:szCs w:val="21"/>
        </w:rPr>
        <w:t>. PBI IT posługuje się tymi pojęciami, jednakże w słowniku terminów i skrótów nie określono, że są one rozumiane w myśl przepisów RODO</w:t>
      </w:r>
      <w:r w:rsidRPr="00894EBA">
        <w:rPr>
          <w:rFonts w:ascii="Helvetica" w:hAnsi="Helvetica" w:cs="Helvetica"/>
          <w:b/>
          <w:color w:val="FF0000"/>
          <w:sz w:val="18"/>
          <w:vertAlign w:val="superscript"/>
        </w:rPr>
        <w:footnoteReference w:id="29"/>
      </w:r>
      <w:r w:rsidRPr="00894EBA">
        <w:rPr>
          <w:rFonts w:ascii="Helvetica" w:hAnsi="Helvetica" w:cs="Helvetica"/>
          <w:sz w:val="21"/>
          <w:szCs w:val="21"/>
        </w:rPr>
        <w:t>, jako szczególna kategoria danych osobowych oraz system przetwarzający te dane. Wyjaśniono</w:t>
      </w:r>
      <w:r w:rsidRPr="00894EBA">
        <w:rPr>
          <w:rFonts w:ascii="Helvetica" w:hAnsi="Helvetica" w:cs="Helvetica"/>
          <w:b/>
          <w:color w:val="FF0000"/>
          <w:sz w:val="18"/>
          <w:vertAlign w:val="superscript"/>
        </w:rPr>
        <w:footnoteReference w:id="30"/>
      </w:r>
      <w:r w:rsidRPr="00894EBA">
        <w:rPr>
          <w:rFonts w:ascii="Helvetica" w:hAnsi="Helvetica" w:cs="Helvetica"/>
          <w:sz w:val="21"/>
          <w:szCs w:val="21"/>
        </w:rPr>
        <w:t xml:space="preserve">, że jest to pojęcie prawne, powszechnie stosowane, dlatego nie definiowano go ponownie. Wskazać jednak należy, że RODO posługuje się nieco odmiennym pojęciem </w:t>
      </w:r>
      <w:r w:rsidRPr="00894EBA">
        <w:rPr>
          <w:rFonts w:ascii="Helvetica" w:hAnsi="Helvetica" w:cs="Helvetica"/>
          <w:i/>
          <w:sz w:val="21"/>
          <w:szCs w:val="21"/>
        </w:rPr>
        <w:t>danych wrażliwych</w:t>
      </w:r>
      <w:r w:rsidRPr="00894EBA">
        <w:rPr>
          <w:rFonts w:ascii="Helvetica" w:hAnsi="Helvetica" w:cs="Helvetica"/>
          <w:sz w:val="21"/>
          <w:szCs w:val="21"/>
        </w:rPr>
        <w:t>. Ponadto niezależnie od tego, w celu zapewnienia przejrzystości regulacji, zasadnym jest doprecyzowanie pojęć, by nie budziły wątpliwości interpretacyjnych, w szczególności poprzez wskazanie, że dane pojęcie jest rozumiane w myśl określonych przepisów prawa;</w:t>
      </w:r>
    </w:p>
    <w:p w14:paraId="17F9FDB8" w14:textId="77777777" w:rsidR="004D1514" w:rsidRPr="00894EBA" w:rsidRDefault="004D1514" w:rsidP="000579A0">
      <w:pPr>
        <w:numPr>
          <w:ilvl w:val="0"/>
          <w:numId w:val="22"/>
        </w:numPr>
        <w:tabs>
          <w:tab w:val="left" w:pos="851"/>
        </w:tabs>
        <w:spacing w:before="20"/>
        <w:ind w:left="851" w:right="538" w:hanging="284"/>
        <w:jc w:val="both"/>
        <w:rPr>
          <w:rFonts w:ascii="Helvetica" w:hAnsi="Helvetica" w:cs="Helvetica"/>
          <w:sz w:val="21"/>
          <w:szCs w:val="21"/>
        </w:rPr>
      </w:pPr>
      <w:r w:rsidRPr="00894EBA">
        <w:rPr>
          <w:rFonts w:ascii="Helvetica" w:hAnsi="Helvetica" w:cs="Helvetica"/>
          <w:sz w:val="21"/>
          <w:szCs w:val="21"/>
        </w:rPr>
        <w:t xml:space="preserve">zmiany zasad przeprowadzania klasyfikacji informacji. Wdrożono procedurę </w:t>
      </w:r>
      <w:r w:rsidRPr="00894EBA">
        <w:rPr>
          <w:rFonts w:ascii="Helvetica" w:hAnsi="Helvetica" w:cs="Helvetica"/>
          <w:i/>
          <w:sz w:val="21"/>
          <w:szCs w:val="21"/>
        </w:rPr>
        <w:t xml:space="preserve">Klasyfikacji informacji w </w:t>
      </w:r>
      <w:proofErr w:type="spellStart"/>
      <w:r w:rsidRPr="00894EBA">
        <w:rPr>
          <w:rFonts w:ascii="Helvetica" w:hAnsi="Helvetica" w:cs="Helvetica"/>
          <w:i/>
          <w:sz w:val="21"/>
          <w:szCs w:val="21"/>
        </w:rPr>
        <w:t>MRPiPS</w:t>
      </w:r>
      <w:proofErr w:type="spellEnd"/>
      <w:r w:rsidRPr="00894EBA">
        <w:rPr>
          <w:rFonts w:ascii="Helvetica" w:hAnsi="Helvetica" w:cs="Helvetica"/>
          <w:b/>
          <w:color w:val="FF0000"/>
          <w:sz w:val="18"/>
          <w:vertAlign w:val="superscript"/>
        </w:rPr>
        <w:footnoteReference w:id="31"/>
      </w:r>
      <w:r w:rsidRPr="00894EBA">
        <w:rPr>
          <w:rFonts w:ascii="Helvetica" w:hAnsi="Helvetica" w:cs="Helvetica"/>
          <w:sz w:val="21"/>
          <w:szCs w:val="21"/>
        </w:rPr>
        <w:t xml:space="preserve">, jednakże wprowadzała ona jedynie 2 klauzule wrażliwości: </w:t>
      </w:r>
      <w:r w:rsidRPr="00894EBA">
        <w:rPr>
          <w:rFonts w:ascii="Helvetica" w:hAnsi="Helvetica" w:cs="Helvetica"/>
          <w:i/>
          <w:sz w:val="21"/>
          <w:szCs w:val="21"/>
        </w:rPr>
        <w:t>informacje wewnętrzne</w:t>
      </w:r>
      <w:r w:rsidRPr="00894EBA">
        <w:rPr>
          <w:rFonts w:ascii="Helvetica" w:hAnsi="Helvetica" w:cs="Helvetica"/>
          <w:sz w:val="21"/>
          <w:szCs w:val="21"/>
        </w:rPr>
        <w:t xml:space="preserve"> oraz </w:t>
      </w:r>
      <w:r w:rsidRPr="00894EBA">
        <w:rPr>
          <w:rFonts w:ascii="Helvetica" w:hAnsi="Helvetica" w:cs="Helvetica"/>
          <w:i/>
          <w:sz w:val="21"/>
          <w:szCs w:val="21"/>
        </w:rPr>
        <w:t>informacje jawne</w:t>
      </w:r>
      <w:r w:rsidRPr="00894EBA">
        <w:rPr>
          <w:rFonts w:ascii="Helvetica" w:hAnsi="Helvetica" w:cs="Helvetica"/>
          <w:sz w:val="21"/>
          <w:szCs w:val="21"/>
        </w:rPr>
        <w:t>. Taki podział informacji jest niewystarczający do spełnienia celu, tj. zapewnienia przypisania informacjom odpowiedniego poziomu ochrony, zgodnego z ich wagą dla Jednostki. Wskazać należy, że zgodnie z normą PN-EN ISO/IEC 27001</w:t>
      </w:r>
      <w:r w:rsidRPr="00894EBA">
        <w:rPr>
          <w:rFonts w:ascii="Helvetica" w:hAnsi="Helvetica" w:cs="Helvetica"/>
          <w:b/>
          <w:color w:val="FF0000"/>
          <w:sz w:val="18"/>
          <w:vertAlign w:val="superscript"/>
        </w:rPr>
        <w:footnoteReference w:id="32"/>
      </w:r>
      <w:r w:rsidRPr="00894EBA">
        <w:rPr>
          <w:rFonts w:ascii="Helvetica" w:hAnsi="Helvetica" w:cs="Helvetica"/>
          <w:sz w:val="21"/>
          <w:szCs w:val="21"/>
        </w:rPr>
        <w:t>, informacje powinny być sklasyfikowane z uwzględnieniem wymagań prawnych, wartości, krytyczności i wrażliwości na nieuprawnione ujawnienie lub modyfikację. Wyjaśniono</w:t>
      </w:r>
      <w:r w:rsidRPr="00894EBA">
        <w:rPr>
          <w:rFonts w:ascii="Helvetica" w:hAnsi="Helvetica" w:cs="Helvetica"/>
          <w:b/>
          <w:color w:val="FF0000"/>
          <w:sz w:val="18"/>
          <w:vertAlign w:val="superscript"/>
        </w:rPr>
        <w:footnoteReference w:id="33"/>
      </w:r>
      <w:r w:rsidRPr="00894EBA">
        <w:rPr>
          <w:rFonts w:ascii="Helvetica" w:hAnsi="Helvetica" w:cs="Helvetica"/>
          <w:sz w:val="21"/>
          <w:szCs w:val="21"/>
        </w:rPr>
        <w:t>, że nie wdrożono i nie przyjęto do stosowania powyższej normy, dlatego klasyfikacja informacji jest prowadzona zgodnie z wprowadzoną procedurą. Zaznaczyć jednak należy, że § 20 ust. 3 Rozporządzenia KRI wskazuje</w:t>
      </w:r>
      <w:r w:rsidR="008463B2">
        <w:rPr>
          <w:rFonts w:ascii="Helvetica" w:hAnsi="Helvetica" w:cs="Helvetica"/>
          <w:sz w:val="21"/>
          <w:szCs w:val="21"/>
        </w:rPr>
        <w:t xml:space="preserve"> na spełnienie</w:t>
      </w:r>
      <w:r w:rsidRPr="00894EBA">
        <w:rPr>
          <w:rFonts w:ascii="Helvetica" w:hAnsi="Helvetica" w:cs="Helvetica"/>
          <w:sz w:val="21"/>
          <w:szCs w:val="21"/>
        </w:rPr>
        <w:t xml:space="preserve"> </w:t>
      </w:r>
      <w:r w:rsidR="008463B2" w:rsidRPr="00894EBA">
        <w:rPr>
          <w:rFonts w:ascii="Helvetica" w:hAnsi="Helvetica" w:cs="Helvetica"/>
          <w:sz w:val="21"/>
          <w:szCs w:val="21"/>
        </w:rPr>
        <w:t>wymaga</w:t>
      </w:r>
      <w:r w:rsidR="008463B2">
        <w:rPr>
          <w:rFonts w:ascii="Helvetica" w:hAnsi="Helvetica" w:cs="Helvetica"/>
          <w:sz w:val="21"/>
          <w:szCs w:val="21"/>
        </w:rPr>
        <w:t>ń</w:t>
      </w:r>
      <w:r w:rsidR="008463B2" w:rsidRPr="00894EBA">
        <w:rPr>
          <w:rFonts w:ascii="Helvetica" w:hAnsi="Helvetica" w:cs="Helvetica"/>
          <w:sz w:val="21"/>
          <w:szCs w:val="21"/>
        </w:rPr>
        <w:t xml:space="preserve"> </w:t>
      </w:r>
      <w:r w:rsidRPr="00894EBA">
        <w:rPr>
          <w:rFonts w:ascii="Helvetica" w:hAnsi="Helvetica" w:cs="Helvetica"/>
          <w:sz w:val="21"/>
          <w:szCs w:val="21"/>
        </w:rPr>
        <w:t xml:space="preserve">dot. </w:t>
      </w:r>
      <w:r w:rsidRPr="00894EBA">
        <w:rPr>
          <w:rFonts w:ascii="Helvetica" w:hAnsi="Helvetica" w:cs="Helvetica"/>
          <w:i/>
          <w:sz w:val="21"/>
          <w:szCs w:val="21"/>
        </w:rPr>
        <w:t>SZBI</w:t>
      </w:r>
      <w:r w:rsidRPr="00894EBA">
        <w:rPr>
          <w:rFonts w:ascii="Helvetica" w:hAnsi="Helvetica" w:cs="Helvetica"/>
          <w:sz w:val="21"/>
          <w:szCs w:val="21"/>
        </w:rPr>
        <w:t>, jeśli system ten został opracowany na podstawie powyższej normy. Zatem Jednostka powinna uwzględniać obowiązki w niej określone.</w:t>
      </w:r>
    </w:p>
    <w:p w14:paraId="6C874426" w14:textId="77777777" w:rsidR="004D1514" w:rsidRPr="00894EBA" w:rsidRDefault="004D1514" w:rsidP="00983826">
      <w:pPr>
        <w:tabs>
          <w:tab w:val="left" w:pos="709"/>
        </w:tabs>
        <w:spacing w:before="60" w:line="300" w:lineRule="atLeast"/>
        <w:jc w:val="both"/>
        <w:rPr>
          <w:rFonts w:ascii="Helvetica" w:hAnsi="Helvetica" w:cs="Helvetica"/>
          <w:highlight w:val="yellow"/>
          <w:lang w:bidi="pl-PL"/>
        </w:rPr>
      </w:pPr>
      <w:r w:rsidRPr="00894EBA">
        <w:rPr>
          <w:rFonts w:ascii="Helvetica" w:hAnsi="Helvetica" w:cs="Helvetica"/>
          <w:szCs w:val="24"/>
        </w:rPr>
        <w:t>Celem regulacji wewnętrznych jest usystematyzowanie obowiązujących w Jednostce procesów i rozwiązań oraz wsparcie ich uczestników w realizacji określonych czynności. Dlatego dla skutecznej i efektywnej ich realizacji istotnym jest zapewnienie aktualnych i przejrzystych przepisów określających te procesy.</w:t>
      </w:r>
    </w:p>
    <w:p w14:paraId="1C4E4A83"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szCs w:val="24"/>
        </w:rPr>
      </w:pPr>
      <w:r w:rsidRPr="00894EBA">
        <w:rPr>
          <w:rFonts w:ascii="Helvetica" w:hAnsi="Helvetica" w:cs="Helvetica"/>
          <w:b/>
          <w:szCs w:val="24"/>
        </w:rPr>
        <w:t xml:space="preserve">[nadzór Kierownictwa i analiza/przegląd </w:t>
      </w:r>
      <w:r w:rsidRPr="00894EBA">
        <w:rPr>
          <w:rFonts w:ascii="Helvetica" w:hAnsi="Helvetica" w:cs="Helvetica"/>
          <w:b/>
          <w:i/>
          <w:szCs w:val="24"/>
        </w:rPr>
        <w:t>SZBI</w:t>
      </w:r>
      <w:r w:rsidRPr="00894EBA">
        <w:rPr>
          <w:rFonts w:ascii="Helvetica" w:hAnsi="Helvetica" w:cs="Helvetica"/>
          <w:b/>
          <w:szCs w:val="24"/>
        </w:rPr>
        <w:t xml:space="preserve">] </w:t>
      </w:r>
      <w:r w:rsidRPr="00894EBA">
        <w:rPr>
          <w:rFonts w:ascii="Helvetica" w:hAnsi="Helvetica" w:cs="Helvetica"/>
          <w:szCs w:val="24"/>
        </w:rPr>
        <w:t xml:space="preserve">Nadzór nad </w:t>
      </w:r>
      <w:r w:rsidRPr="00894EBA">
        <w:rPr>
          <w:rFonts w:ascii="Helvetica" w:hAnsi="Helvetica" w:cs="Helvetica"/>
          <w:i/>
          <w:szCs w:val="24"/>
        </w:rPr>
        <w:t xml:space="preserve">SZBI </w:t>
      </w:r>
      <w:r w:rsidRPr="00894EBA">
        <w:rPr>
          <w:rFonts w:ascii="Helvetica" w:hAnsi="Helvetica" w:cs="Helvetica"/>
          <w:szCs w:val="24"/>
        </w:rPr>
        <w:t>był rozproszony i nie wszystkie obszary systemu</w:t>
      </w:r>
      <w:r w:rsidRPr="00894EBA">
        <w:rPr>
          <w:rFonts w:ascii="Helvetica" w:hAnsi="Helvetica" w:cs="Helvetica"/>
          <w:i/>
          <w:szCs w:val="24"/>
        </w:rPr>
        <w:t xml:space="preserve"> </w:t>
      </w:r>
      <w:r w:rsidRPr="00894EBA">
        <w:rPr>
          <w:rFonts w:ascii="Helvetica" w:hAnsi="Helvetica" w:cs="Helvetica"/>
          <w:szCs w:val="24"/>
        </w:rPr>
        <w:t xml:space="preserve">zostały nim objęte, w szczególności </w:t>
      </w:r>
      <w:r w:rsidRPr="00894EBA">
        <w:rPr>
          <w:rFonts w:ascii="Helvetica" w:eastAsia="Calibri" w:hAnsi="Helvetica" w:cs="Helvetica"/>
          <w:color w:val="000000"/>
          <w:szCs w:val="24"/>
          <w:lang w:eastAsia="en-US"/>
        </w:rPr>
        <w:t xml:space="preserve">dotyczące </w:t>
      </w:r>
      <w:r w:rsidRPr="00894EBA">
        <w:rPr>
          <w:rFonts w:ascii="Helvetica" w:hAnsi="Helvetica" w:cs="Helvetica"/>
          <w:color w:val="000000"/>
          <w:szCs w:val="24"/>
        </w:rPr>
        <w:t xml:space="preserve">przeglądów </w:t>
      </w:r>
      <w:r w:rsidRPr="00894EBA">
        <w:rPr>
          <w:rFonts w:ascii="Helvetica" w:hAnsi="Helvetica" w:cs="Helvetica"/>
          <w:i/>
          <w:color w:val="000000"/>
          <w:szCs w:val="24"/>
        </w:rPr>
        <w:t>SZBI</w:t>
      </w:r>
      <w:r w:rsidRPr="00894EBA">
        <w:rPr>
          <w:rFonts w:ascii="Helvetica" w:hAnsi="Helvetica" w:cs="Helvetica"/>
          <w:color w:val="000000"/>
          <w:szCs w:val="24"/>
        </w:rPr>
        <w:t>, analizy ryzyka, audytu BI oraz bazy konfiguracji CMDB.</w:t>
      </w:r>
      <w:r w:rsidRPr="00894EBA">
        <w:rPr>
          <w:rFonts w:ascii="Helvetica" w:hAnsi="Helvetica" w:cs="Helvetica"/>
          <w:szCs w:val="24"/>
        </w:rPr>
        <w:t xml:space="preserve"> </w:t>
      </w:r>
      <w:r w:rsidRPr="00894EBA">
        <w:rPr>
          <w:rFonts w:ascii="Helvetica" w:eastAsia="Calibri" w:hAnsi="Helvetica" w:cs="Helvetica"/>
          <w:color w:val="000000"/>
          <w:szCs w:val="24"/>
          <w:lang w:eastAsia="en-US"/>
        </w:rPr>
        <w:t xml:space="preserve">Nie wyznaczono osoby sprawującej nadzór nad całościowym funkcjonowaniem </w:t>
      </w:r>
      <w:r w:rsidRPr="00894EBA">
        <w:rPr>
          <w:rFonts w:ascii="Helvetica" w:eastAsia="Calibri" w:hAnsi="Helvetica" w:cs="Helvetica"/>
          <w:i/>
          <w:color w:val="000000"/>
          <w:szCs w:val="24"/>
          <w:lang w:eastAsia="en-US"/>
        </w:rPr>
        <w:t>SZBI</w:t>
      </w:r>
      <w:r w:rsidRPr="00894EBA">
        <w:rPr>
          <w:rFonts w:ascii="Helvetica" w:hAnsi="Helvetica" w:cs="Helvetica"/>
          <w:b/>
          <w:color w:val="FF0000"/>
          <w:sz w:val="18"/>
          <w:szCs w:val="24"/>
          <w:vertAlign w:val="superscript"/>
        </w:rPr>
        <w:footnoteReference w:id="34"/>
      </w:r>
      <w:r w:rsidRPr="00894EBA">
        <w:rPr>
          <w:rFonts w:ascii="Helvetica" w:eastAsia="Calibri" w:hAnsi="Helvetica" w:cs="Helvetica"/>
          <w:color w:val="000000"/>
          <w:sz w:val="21"/>
          <w:szCs w:val="21"/>
          <w:lang w:eastAsia="en-US"/>
        </w:rPr>
        <w:t xml:space="preserve">, </w:t>
      </w:r>
      <w:r w:rsidRPr="00894EBA">
        <w:rPr>
          <w:rFonts w:ascii="Helvetica" w:eastAsia="Calibri" w:hAnsi="Helvetica" w:cs="Helvetica"/>
          <w:color w:val="000000"/>
          <w:szCs w:val="24"/>
          <w:lang w:eastAsia="en-US"/>
        </w:rPr>
        <w:t>a</w:t>
      </w:r>
      <w:r w:rsidRPr="00894EBA">
        <w:rPr>
          <w:rFonts w:ascii="Helvetica" w:eastAsia="Calibri" w:hAnsi="Helvetica" w:cs="Helvetica"/>
          <w:color w:val="000000"/>
          <w:sz w:val="21"/>
          <w:szCs w:val="21"/>
          <w:lang w:eastAsia="en-US"/>
        </w:rPr>
        <w:t xml:space="preserve"> </w:t>
      </w:r>
      <w:r w:rsidRPr="00894EBA">
        <w:rPr>
          <w:rFonts w:ascii="Helvetica" w:eastAsia="Calibri" w:hAnsi="Helvetica" w:cs="Helvetica"/>
          <w:color w:val="000000"/>
          <w:szCs w:val="24"/>
          <w:lang w:eastAsia="en-US"/>
        </w:rPr>
        <w:t>odpowiedzialności, zadania i kompetencje powierzono wybranym kierownikom komórek organizacyjnych.</w:t>
      </w:r>
    </w:p>
    <w:p w14:paraId="028D3BDD" w14:textId="77777777" w:rsidR="004D1514" w:rsidRPr="00894EBA" w:rsidRDefault="004D1514" w:rsidP="00983826">
      <w:pPr>
        <w:tabs>
          <w:tab w:val="left" w:pos="709"/>
        </w:tabs>
        <w:suppressAutoHyphens/>
        <w:spacing w:before="60" w:line="300" w:lineRule="atLeast"/>
        <w:jc w:val="both"/>
        <w:outlineLvl w:val="1"/>
        <w:rPr>
          <w:rFonts w:ascii="Helvetica" w:hAnsi="Helvetica" w:cs="Helvetica"/>
          <w:szCs w:val="24"/>
        </w:rPr>
      </w:pPr>
      <w:r w:rsidRPr="00894EBA">
        <w:rPr>
          <w:rFonts w:ascii="Helvetica" w:eastAsia="Calibri" w:hAnsi="Helvetica" w:cs="Helvetica"/>
          <w:color w:val="000000"/>
          <w:szCs w:val="24"/>
          <w:lang w:eastAsia="en-US"/>
        </w:rPr>
        <w:t xml:space="preserve">W latach 2019-2020 przygotowano projekty zmian organizacyjnych, które m.in. skupiałyby kwestię nadzoru nad funkcjonowaniem </w:t>
      </w:r>
      <w:r w:rsidRPr="00894EBA">
        <w:rPr>
          <w:rFonts w:ascii="Helvetica" w:eastAsia="Calibri" w:hAnsi="Helvetica" w:cs="Helvetica"/>
          <w:i/>
          <w:color w:val="000000"/>
          <w:szCs w:val="24"/>
          <w:lang w:eastAsia="en-US"/>
        </w:rPr>
        <w:t>SZBI</w:t>
      </w:r>
      <w:r w:rsidRPr="00894EBA">
        <w:rPr>
          <w:rFonts w:ascii="Helvetica" w:eastAsia="Calibri" w:hAnsi="Helvetica" w:cs="Helvetica"/>
          <w:color w:val="000000"/>
          <w:szCs w:val="24"/>
          <w:lang w:eastAsia="en-US"/>
        </w:rPr>
        <w:t xml:space="preserve"> w jednej komórce organizacyjnej, ale </w:t>
      </w:r>
      <w:r w:rsidR="00183A0C" w:rsidRPr="00894EBA">
        <w:rPr>
          <w:rFonts w:ascii="Helvetica" w:eastAsia="Calibri" w:hAnsi="Helvetica" w:cs="Helvetica"/>
          <w:color w:val="000000"/>
          <w:szCs w:val="24"/>
          <w:lang w:eastAsia="en-US"/>
        </w:rPr>
        <w:t>ze</w:t>
      </w:r>
      <w:r w:rsidR="00183A0C">
        <w:rPr>
          <w:rFonts w:ascii="Helvetica" w:eastAsia="Calibri" w:hAnsi="Helvetica" w:cs="Helvetica"/>
          <w:color w:val="000000"/>
          <w:szCs w:val="24"/>
          <w:lang w:eastAsia="en-US"/>
        </w:rPr>
        <w:t> </w:t>
      </w:r>
      <w:r w:rsidRPr="00894EBA">
        <w:rPr>
          <w:rFonts w:ascii="Helvetica" w:eastAsia="Calibri" w:hAnsi="Helvetica" w:cs="Helvetica"/>
          <w:color w:val="000000"/>
          <w:szCs w:val="24"/>
          <w:lang w:eastAsia="en-US"/>
        </w:rPr>
        <w:t xml:space="preserve">względu na inne priorytety </w:t>
      </w:r>
      <w:r w:rsidR="00183A0C">
        <w:rPr>
          <w:rFonts w:ascii="Helvetica" w:eastAsia="Calibri" w:hAnsi="Helvetica" w:cs="Helvetica"/>
          <w:color w:val="000000"/>
          <w:szCs w:val="24"/>
          <w:lang w:eastAsia="en-US"/>
        </w:rPr>
        <w:t>K</w:t>
      </w:r>
      <w:r w:rsidR="00183A0C" w:rsidRPr="00894EBA">
        <w:rPr>
          <w:rFonts w:ascii="Helvetica" w:eastAsia="Calibri" w:hAnsi="Helvetica" w:cs="Helvetica"/>
          <w:color w:val="000000"/>
          <w:szCs w:val="24"/>
          <w:lang w:eastAsia="en-US"/>
        </w:rPr>
        <w:t xml:space="preserve">ierownictwa </w:t>
      </w:r>
      <w:r w:rsidRPr="00894EBA">
        <w:rPr>
          <w:rFonts w:ascii="Helvetica" w:eastAsia="Calibri" w:hAnsi="Helvetica" w:cs="Helvetica"/>
          <w:color w:val="000000"/>
          <w:szCs w:val="24"/>
          <w:lang w:eastAsia="en-US"/>
        </w:rPr>
        <w:t>Ministerstwa, prac nie kontynuowano</w:t>
      </w:r>
      <w:r w:rsidRPr="00894EBA">
        <w:rPr>
          <w:rFonts w:ascii="Helvetica" w:hAnsi="Helvetica" w:cs="Helvetica"/>
          <w:b/>
          <w:color w:val="FF0000"/>
          <w:sz w:val="18"/>
          <w:szCs w:val="24"/>
          <w:vertAlign w:val="superscript"/>
        </w:rPr>
        <w:footnoteReference w:id="35"/>
      </w:r>
      <w:r w:rsidRPr="00894EBA">
        <w:rPr>
          <w:rFonts w:ascii="Helvetica" w:eastAsia="Calibri" w:hAnsi="Helvetica" w:cs="Helvetica"/>
          <w:color w:val="000000"/>
          <w:szCs w:val="24"/>
          <w:lang w:eastAsia="en-US"/>
        </w:rPr>
        <w:t>.</w:t>
      </w:r>
    </w:p>
    <w:p w14:paraId="7F3E5091" w14:textId="77777777" w:rsidR="004D1514" w:rsidRPr="00894EBA" w:rsidRDefault="004D1514" w:rsidP="00983826">
      <w:pPr>
        <w:tabs>
          <w:tab w:val="left" w:pos="709"/>
        </w:tabs>
        <w:spacing w:before="60"/>
        <w:ind w:left="567" w:right="538"/>
        <w:jc w:val="both"/>
        <w:rPr>
          <w:rFonts w:ascii="Helvetica" w:hAnsi="Helvetica" w:cs="Helvetica"/>
          <w:color w:val="000000"/>
          <w:sz w:val="21"/>
          <w:szCs w:val="21"/>
        </w:rPr>
      </w:pPr>
      <w:r w:rsidRPr="00894EBA">
        <w:rPr>
          <w:rFonts w:ascii="Helvetica" w:eastAsia="Calibri" w:hAnsi="Helvetica" w:cs="Helvetica"/>
          <w:color w:val="000000"/>
          <w:sz w:val="21"/>
          <w:szCs w:val="21"/>
          <w:lang w:eastAsia="en-US"/>
        </w:rPr>
        <w:t xml:space="preserve">Nie można zgodzić się, że nadzór nad wszystkimi obszarami </w:t>
      </w:r>
      <w:r w:rsidRPr="00894EBA">
        <w:rPr>
          <w:rFonts w:ascii="Helvetica" w:eastAsia="Calibri" w:hAnsi="Helvetica" w:cs="Helvetica"/>
          <w:i/>
          <w:color w:val="000000"/>
          <w:sz w:val="21"/>
          <w:szCs w:val="21"/>
          <w:lang w:eastAsia="en-US"/>
        </w:rPr>
        <w:t>SZBI</w:t>
      </w:r>
      <w:r w:rsidRPr="00894EBA">
        <w:rPr>
          <w:rFonts w:ascii="Helvetica" w:eastAsia="Calibri" w:hAnsi="Helvetica" w:cs="Helvetica"/>
          <w:color w:val="000000"/>
          <w:sz w:val="21"/>
          <w:szCs w:val="21"/>
          <w:lang w:eastAsia="en-US"/>
        </w:rPr>
        <w:t xml:space="preserve"> został przypisany wybranym kierownikom komórek organizacyjnych. Obszary dot. </w:t>
      </w:r>
      <w:r w:rsidRPr="00894EBA">
        <w:rPr>
          <w:rFonts w:ascii="Helvetica" w:hAnsi="Helvetica" w:cs="Helvetica"/>
          <w:color w:val="000000"/>
          <w:sz w:val="21"/>
          <w:szCs w:val="21"/>
        </w:rPr>
        <w:t xml:space="preserve">przeglądów </w:t>
      </w:r>
      <w:r w:rsidRPr="00894EBA">
        <w:rPr>
          <w:rFonts w:ascii="Helvetica" w:hAnsi="Helvetica" w:cs="Helvetica"/>
          <w:i/>
          <w:color w:val="000000"/>
          <w:sz w:val="21"/>
          <w:szCs w:val="21"/>
        </w:rPr>
        <w:t>SZBI</w:t>
      </w:r>
      <w:r w:rsidRPr="00894EBA">
        <w:rPr>
          <w:rFonts w:ascii="Helvetica" w:hAnsi="Helvetica" w:cs="Helvetica"/>
          <w:color w:val="000000"/>
          <w:sz w:val="21"/>
          <w:szCs w:val="21"/>
        </w:rPr>
        <w:t>, analizy ryzyka, audytu BI, bazy konfiguracji CMDB, nie zostały uregulowane. Zatem nadzór i zadania dot. ich realizacji również nie zostały przypisane żadnej osobie / k</w:t>
      </w:r>
      <w:r w:rsidR="00B66120">
        <w:rPr>
          <w:rFonts w:ascii="Helvetica" w:hAnsi="Helvetica" w:cs="Helvetica"/>
          <w:color w:val="000000"/>
          <w:sz w:val="21"/>
          <w:szCs w:val="21"/>
        </w:rPr>
        <w:t>omórce organizacyjnej.</w:t>
      </w:r>
    </w:p>
    <w:p w14:paraId="14A5CF3B"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bCs/>
          <w:szCs w:val="24"/>
        </w:rPr>
      </w:pPr>
      <w:r w:rsidRPr="00894EBA">
        <w:rPr>
          <w:rFonts w:ascii="Helvetica" w:hAnsi="Helvetica" w:cs="Helvetica"/>
          <w:szCs w:val="24"/>
          <w:lang w:bidi="pl-PL"/>
        </w:rPr>
        <w:t xml:space="preserve">Brak zbiorczych informacji, które są </w:t>
      </w:r>
      <w:r w:rsidRPr="00894EBA">
        <w:rPr>
          <w:rFonts w:ascii="Helvetica" w:hAnsi="Helvetica" w:cs="Helvetica"/>
          <w:bCs/>
          <w:szCs w:val="24"/>
        </w:rPr>
        <w:t xml:space="preserve">kluczowe w procesie zarządzania, nie wspierał Ministerstwa we wdrażaniu </w:t>
      </w:r>
      <w:r w:rsidRPr="00894EBA">
        <w:rPr>
          <w:rFonts w:ascii="Helvetica" w:hAnsi="Helvetica" w:cs="Helvetica"/>
          <w:bCs/>
          <w:i/>
          <w:szCs w:val="24"/>
        </w:rPr>
        <w:t>SZBI</w:t>
      </w:r>
      <w:r w:rsidRPr="00894EBA">
        <w:rPr>
          <w:rFonts w:ascii="Helvetica" w:hAnsi="Helvetica" w:cs="Helvetica"/>
          <w:bCs/>
          <w:szCs w:val="24"/>
        </w:rPr>
        <w:t xml:space="preserve">. </w:t>
      </w:r>
      <w:r w:rsidRPr="00894EBA">
        <w:rPr>
          <w:rFonts w:ascii="Helvetica" w:eastAsia="Calibri" w:hAnsi="Helvetica" w:cs="Helvetica"/>
          <w:color w:val="000000"/>
          <w:szCs w:val="24"/>
          <w:lang w:eastAsia="en-US"/>
        </w:rPr>
        <w:t>N</w:t>
      </w:r>
      <w:r w:rsidRPr="00894EBA">
        <w:rPr>
          <w:rFonts w:ascii="Helvetica" w:hAnsi="Helvetica" w:cs="Helvetica"/>
          <w:szCs w:val="24"/>
        </w:rPr>
        <w:t xml:space="preserve">ie przeprowadzono całościowej analizy aktualnego stanu BI, umożliwiającej opracowanie planu/strategii rozwoju </w:t>
      </w:r>
      <w:r w:rsidRPr="00894EBA">
        <w:rPr>
          <w:rFonts w:ascii="Helvetica" w:hAnsi="Helvetica" w:cs="Helvetica"/>
          <w:i/>
          <w:szCs w:val="24"/>
        </w:rPr>
        <w:t xml:space="preserve">SZBI. </w:t>
      </w:r>
      <w:r w:rsidRPr="00894EBA">
        <w:rPr>
          <w:rFonts w:ascii="Helvetica" w:hAnsi="Helvetica" w:cs="Helvetica"/>
          <w:szCs w:val="24"/>
        </w:rPr>
        <w:t>Kierownictwo Ministerstwa nie posiadało zatem instrumentów do weryfikacji podejmowanych działań służących wdrażaniu tego systemu.</w:t>
      </w:r>
    </w:p>
    <w:p w14:paraId="380BBAEA" w14:textId="77777777" w:rsidR="004D1514" w:rsidRPr="00894EBA" w:rsidRDefault="004D1514" w:rsidP="00983826">
      <w:pPr>
        <w:tabs>
          <w:tab w:val="left" w:pos="709"/>
        </w:tabs>
        <w:suppressAutoHyphens/>
        <w:spacing w:before="60" w:line="300" w:lineRule="atLeast"/>
        <w:jc w:val="both"/>
        <w:outlineLvl w:val="1"/>
        <w:rPr>
          <w:rFonts w:ascii="Helvetica" w:hAnsi="Helvetica" w:cs="Helvetica"/>
          <w:bCs/>
          <w:szCs w:val="24"/>
        </w:rPr>
      </w:pPr>
      <w:proofErr w:type="spellStart"/>
      <w:r w:rsidRPr="00894EBA">
        <w:rPr>
          <w:rFonts w:ascii="Helvetica" w:hAnsi="Helvetica" w:cs="Helvetica"/>
          <w:szCs w:val="24"/>
        </w:rPr>
        <w:t>MRPiPS</w:t>
      </w:r>
      <w:proofErr w:type="spellEnd"/>
      <w:r w:rsidRPr="00894EBA">
        <w:rPr>
          <w:rFonts w:ascii="Helvetica" w:hAnsi="Helvetica" w:cs="Helvetica"/>
          <w:szCs w:val="24"/>
        </w:rPr>
        <w:t xml:space="preserve">, a następnie </w:t>
      </w:r>
      <w:proofErr w:type="spellStart"/>
      <w:r w:rsidRPr="00894EBA">
        <w:rPr>
          <w:rFonts w:ascii="Helvetica" w:hAnsi="Helvetica" w:cs="Helvetica"/>
          <w:szCs w:val="24"/>
        </w:rPr>
        <w:t>MRiPS</w:t>
      </w:r>
      <w:proofErr w:type="spellEnd"/>
      <w:r w:rsidRPr="00894EBA">
        <w:rPr>
          <w:rFonts w:ascii="Helvetica" w:hAnsi="Helvetica" w:cs="Helvetica"/>
          <w:szCs w:val="24"/>
        </w:rPr>
        <w:t xml:space="preserve"> podejmowało działania w zakresie doskonalenia </w:t>
      </w:r>
      <w:r w:rsidRPr="00894EBA">
        <w:rPr>
          <w:rFonts w:ascii="Helvetica" w:hAnsi="Helvetica" w:cs="Helvetica"/>
          <w:i/>
          <w:szCs w:val="24"/>
        </w:rPr>
        <w:t>SZBI</w:t>
      </w:r>
      <w:r w:rsidRPr="00894EBA">
        <w:rPr>
          <w:rFonts w:ascii="Helvetica" w:hAnsi="Helvetica" w:cs="Helvetica"/>
          <w:szCs w:val="24"/>
        </w:rPr>
        <w:t>, z uwzględnieniem informacji przekazanych w piśmie Szefa KPRM</w:t>
      </w:r>
      <w:r w:rsidRPr="00894EBA">
        <w:rPr>
          <w:rFonts w:ascii="Helvetica" w:hAnsi="Helvetica" w:cs="Helvetica"/>
          <w:b/>
          <w:color w:val="FF0000"/>
          <w:sz w:val="18"/>
          <w:szCs w:val="24"/>
          <w:vertAlign w:val="superscript"/>
        </w:rPr>
        <w:footnoteReference w:id="36"/>
      </w:r>
      <w:r w:rsidRPr="00894EBA">
        <w:rPr>
          <w:rFonts w:ascii="Helvetica" w:hAnsi="Helvetica" w:cs="Helvetica"/>
          <w:szCs w:val="24"/>
        </w:rPr>
        <w:t xml:space="preserve"> dot. najważniejszych i najczęściej powtarzających się nieprawidłowości w obszarze </w:t>
      </w:r>
      <w:r w:rsidRPr="00894EBA">
        <w:rPr>
          <w:rFonts w:ascii="Helvetica" w:hAnsi="Helvetica" w:cs="Helvetica"/>
          <w:i/>
          <w:szCs w:val="24"/>
        </w:rPr>
        <w:t>SZBI</w:t>
      </w:r>
      <w:r w:rsidRPr="00894EBA">
        <w:rPr>
          <w:rFonts w:ascii="Helvetica" w:hAnsi="Helvetica" w:cs="Helvetica"/>
          <w:szCs w:val="24"/>
        </w:rPr>
        <w:t xml:space="preserve">, jednak bez analizy </w:t>
      </w:r>
      <w:r w:rsidRPr="00894EBA">
        <w:rPr>
          <w:rFonts w:ascii="Helvetica" w:eastAsia="Calibri" w:hAnsi="Helvetica" w:cs="Helvetica"/>
          <w:color w:val="000000"/>
          <w:szCs w:val="24"/>
          <w:lang w:eastAsia="en-US"/>
        </w:rPr>
        <w:t>stanu BI nie można stwierdzić, czy były one odpowiedzią na najpilniejsze potrzeby Jednostki.</w:t>
      </w:r>
    </w:p>
    <w:p w14:paraId="350E6A7E" w14:textId="77777777" w:rsidR="004D1514" w:rsidRPr="00894EBA" w:rsidRDefault="004D1514" w:rsidP="00983826">
      <w:pPr>
        <w:tabs>
          <w:tab w:val="left" w:pos="709"/>
        </w:tabs>
        <w:spacing w:before="60"/>
        <w:ind w:left="567" w:right="538"/>
        <w:jc w:val="both"/>
        <w:rPr>
          <w:rFonts w:ascii="Helvetica" w:eastAsia="Calibri" w:hAnsi="Helvetica" w:cs="Helvetica"/>
          <w:color w:val="000000"/>
          <w:sz w:val="21"/>
          <w:szCs w:val="21"/>
          <w:lang w:eastAsia="en-US"/>
        </w:rPr>
      </w:pPr>
      <w:r w:rsidRPr="00894EBA">
        <w:rPr>
          <w:rFonts w:ascii="Helvetica" w:eastAsia="Calibri" w:hAnsi="Helvetica" w:cs="Helvetica"/>
          <w:color w:val="000000"/>
          <w:sz w:val="21"/>
          <w:szCs w:val="21"/>
          <w:lang w:eastAsia="en-US"/>
        </w:rPr>
        <w:t xml:space="preserve">Podjęte działania służące poprawie BI, w szczególności dot. zweryfikowania: realizacji zaleceń </w:t>
      </w:r>
      <w:proofErr w:type="spellStart"/>
      <w:r w:rsidRPr="00894EBA">
        <w:rPr>
          <w:rFonts w:ascii="Helvetica" w:eastAsia="Calibri" w:hAnsi="Helvetica" w:cs="Helvetica"/>
          <w:color w:val="000000"/>
          <w:sz w:val="21"/>
          <w:szCs w:val="21"/>
          <w:lang w:eastAsia="en-US"/>
        </w:rPr>
        <w:t>poaudytowych</w:t>
      </w:r>
      <w:proofErr w:type="spellEnd"/>
      <w:r w:rsidRPr="00894EBA">
        <w:rPr>
          <w:rFonts w:ascii="Helvetica" w:eastAsia="Calibri" w:hAnsi="Helvetica" w:cs="Helvetica"/>
          <w:color w:val="000000"/>
          <w:sz w:val="21"/>
          <w:szCs w:val="21"/>
          <w:lang w:eastAsia="en-US"/>
        </w:rPr>
        <w:t>, procedury nadawania ról i uprawnień oraz wewnętrznych zasad informowania o incydentach, spójności i kompletności systemu tworzenia kopii zapasowych, postanowień umownych i ewentualnego uzupełnienia ich o klauzule dot. bezpieczeństwa, dostępności, praw autorskich, warunków SLA i tajemnicy, zabezpieczeń techniczno-organizacyjnych dostępu do stref chronionych, rozliczalności działań administratorskich oraz wdrożenia mechanizmów bezpieczeństwa związanych z pracą zdalną. Działania te nie zostały jednak poprzedzone analizą stanu BI, dlatego nie można ocenić</w:t>
      </w:r>
      <w:r w:rsidR="002237ED">
        <w:rPr>
          <w:rFonts w:ascii="Helvetica" w:eastAsia="Calibri" w:hAnsi="Helvetica" w:cs="Helvetica"/>
          <w:color w:val="000000"/>
          <w:sz w:val="21"/>
          <w:szCs w:val="21"/>
          <w:lang w:eastAsia="en-US"/>
        </w:rPr>
        <w:t>,</w:t>
      </w:r>
      <w:r w:rsidRPr="00894EBA">
        <w:rPr>
          <w:rFonts w:ascii="Helvetica" w:eastAsia="Calibri" w:hAnsi="Helvetica" w:cs="Helvetica"/>
          <w:color w:val="000000"/>
          <w:sz w:val="21"/>
          <w:szCs w:val="21"/>
          <w:lang w:eastAsia="en-US"/>
        </w:rPr>
        <w:t xml:space="preserve"> czy stanowiły one realizację najpilniejszych potrzeb Ministerstwa.</w:t>
      </w:r>
    </w:p>
    <w:p w14:paraId="05182231" w14:textId="77777777" w:rsidR="004D1514" w:rsidRPr="00894EBA" w:rsidRDefault="004D1514" w:rsidP="00983826">
      <w:pPr>
        <w:tabs>
          <w:tab w:val="left" w:pos="709"/>
        </w:tabs>
        <w:spacing w:before="60"/>
        <w:ind w:left="567" w:right="538"/>
        <w:jc w:val="both"/>
        <w:rPr>
          <w:rFonts w:ascii="Helvetica" w:eastAsia="Calibri" w:hAnsi="Helvetica" w:cs="Helvetica"/>
          <w:color w:val="000000"/>
          <w:sz w:val="21"/>
          <w:szCs w:val="21"/>
          <w:lang w:eastAsia="en-US"/>
        </w:rPr>
      </w:pPr>
      <w:r w:rsidRPr="00894EBA">
        <w:rPr>
          <w:rFonts w:ascii="Helvetica" w:eastAsia="Calibri" w:hAnsi="Helvetica" w:cs="Helvetica"/>
          <w:color w:val="000000"/>
          <w:sz w:val="21"/>
          <w:szCs w:val="21"/>
          <w:lang w:eastAsia="en-US"/>
        </w:rPr>
        <w:t>Wyjaśniono</w:t>
      </w:r>
      <w:r w:rsidRPr="00894EBA">
        <w:rPr>
          <w:rFonts w:ascii="Helvetica" w:hAnsi="Helvetica" w:cs="Helvetica"/>
          <w:b/>
          <w:color w:val="FF0000"/>
          <w:sz w:val="18"/>
          <w:vertAlign w:val="superscript"/>
        </w:rPr>
        <w:footnoteReference w:id="37"/>
      </w:r>
      <w:r w:rsidRPr="00894EBA">
        <w:rPr>
          <w:rFonts w:ascii="Helvetica" w:eastAsia="Calibri" w:hAnsi="Helvetica" w:cs="Helvetica"/>
          <w:color w:val="000000"/>
          <w:sz w:val="21"/>
          <w:szCs w:val="21"/>
          <w:lang w:eastAsia="en-US"/>
        </w:rPr>
        <w:t xml:space="preserve">, że analiza stanu BI realizowana jest w sposób rozproszony, na podstawie poszczególnych procedur. Dotychczas nie przyjęto rozwiązania, zgodnie z którym analiza miałaby objąć jednocześnie wszystkie aspekty funkcjonowania </w:t>
      </w:r>
      <w:r w:rsidRPr="00894EBA">
        <w:rPr>
          <w:rFonts w:ascii="Helvetica" w:eastAsia="Calibri" w:hAnsi="Helvetica" w:cs="Helvetica"/>
          <w:i/>
          <w:color w:val="000000"/>
          <w:sz w:val="21"/>
          <w:szCs w:val="21"/>
          <w:lang w:eastAsia="en-US"/>
        </w:rPr>
        <w:t>SZBI</w:t>
      </w:r>
      <w:r w:rsidRPr="00894EBA">
        <w:rPr>
          <w:rFonts w:ascii="Helvetica" w:eastAsia="Calibri" w:hAnsi="Helvetica" w:cs="Helvetica"/>
          <w:color w:val="000000"/>
          <w:sz w:val="21"/>
          <w:szCs w:val="21"/>
          <w:lang w:eastAsia="en-US"/>
        </w:rPr>
        <w:t xml:space="preserve">. Podejmowanie działań usprawniających oraz wyznaczanie kierunków rozwoju </w:t>
      </w:r>
      <w:r w:rsidRPr="00894EBA">
        <w:rPr>
          <w:rFonts w:ascii="Helvetica" w:eastAsia="Calibri" w:hAnsi="Helvetica" w:cs="Helvetica"/>
          <w:i/>
          <w:color w:val="000000"/>
          <w:sz w:val="21"/>
          <w:szCs w:val="21"/>
          <w:lang w:eastAsia="en-US"/>
        </w:rPr>
        <w:t>SZBI</w:t>
      </w:r>
      <w:r w:rsidRPr="00894EBA">
        <w:rPr>
          <w:rFonts w:ascii="Helvetica" w:eastAsia="Calibri" w:hAnsi="Helvetica" w:cs="Helvetica"/>
          <w:color w:val="000000"/>
          <w:sz w:val="21"/>
          <w:szCs w:val="21"/>
          <w:lang w:eastAsia="en-US"/>
        </w:rPr>
        <w:t xml:space="preserve"> wynika z pojawiających się nowych rozwiązań prawnych, organizacyjnych, a narzędzia nadzorcze projektowane i wdrażane są w regulacjach wewnętrznych.</w:t>
      </w:r>
      <w:r w:rsidRPr="00894EBA">
        <w:rPr>
          <w:rFonts w:ascii="Helvetica" w:hAnsi="Helvetica" w:cs="Helvetica"/>
        </w:rPr>
        <w:t xml:space="preserve"> </w:t>
      </w:r>
      <w:r w:rsidRPr="00894EBA">
        <w:rPr>
          <w:rFonts w:ascii="Helvetica" w:hAnsi="Helvetica" w:cs="Helvetica"/>
          <w:sz w:val="21"/>
          <w:szCs w:val="21"/>
        </w:rPr>
        <w:t>Zaznaczono</w:t>
      </w:r>
      <w:r w:rsidRPr="00894EBA">
        <w:rPr>
          <w:rFonts w:ascii="Helvetica" w:hAnsi="Helvetica" w:cs="Helvetica"/>
          <w:b/>
          <w:color w:val="FF0000"/>
          <w:sz w:val="18"/>
          <w:szCs w:val="18"/>
          <w:vertAlign w:val="superscript"/>
        </w:rPr>
        <w:footnoteReference w:id="38"/>
      </w:r>
      <w:r w:rsidRPr="00894EBA">
        <w:rPr>
          <w:rFonts w:ascii="Helvetica" w:hAnsi="Helvetica" w:cs="Helvetica"/>
          <w:sz w:val="21"/>
          <w:szCs w:val="21"/>
        </w:rPr>
        <w:t xml:space="preserve"> także, że inicjatywy i wprowadzane zmiany w tym obszarze zależały m.in. od poszczególnych członków kierownictwa, w</w:t>
      </w:r>
      <w:r w:rsidR="00983826" w:rsidRPr="00894EBA">
        <w:rPr>
          <w:rFonts w:ascii="Helvetica" w:hAnsi="Helvetica" w:cs="Helvetica"/>
          <w:sz w:val="21"/>
          <w:szCs w:val="21"/>
        </w:rPr>
        <w:t xml:space="preserve"> tym dyrektora generalnego. </w:t>
      </w:r>
    </w:p>
    <w:p w14:paraId="09E4710B" w14:textId="77777777" w:rsidR="004D1514" w:rsidRPr="00894EBA" w:rsidRDefault="004D1514" w:rsidP="00983826">
      <w:pPr>
        <w:tabs>
          <w:tab w:val="left" w:pos="709"/>
        </w:tabs>
        <w:suppressAutoHyphens/>
        <w:spacing w:before="60" w:line="300" w:lineRule="atLeast"/>
        <w:jc w:val="both"/>
        <w:outlineLvl w:val="1"/>
        <w:rPr>
          <w:rFonts w:ascii="Helvetica" w:hAnsi="Helvetica" w:cs="Helvetica"/>
          <w:szCs w:val="24"/>
        </w:rPr>
      </w:pPr>
      <w:r w:rsidRPr="00894EBA">
        <w:rPr>
          <w:rFonts w:ascii="Helvetica" w:hAnsi="Helvetica" w:cs="Helvetica"/>
          <w:szCs w:val="24"/>
        </w:rPr>
        <w:t xml:space="preserve">Skuteczne wdrażanie </w:t>
      </w:r>
      <w:r w:rsidRPr="00894EBA">
        <w:rPr>
          <w:rFonts w:ascii="Helvetica" w:hAnsi="Helvetica" w:cs="Helvetica"/>
          <w:i/>
          <w:szCs w:val="24"/>
        </w:rPr>
        <w:t>SZBI</w:t>
      </w:r>
      <w:r w:rsidRPr="00894EBA">
        <w:rPr>
          <w:rFonts w:ascii="Helvetica" w:hAnsi="Helvetica" w:cs="Helvetica"/>
          <w:szCs w:val="24"/>
        </w:rPr>
        <w:t xml:space="preserve"> wymaga diagnozy istniejących rozwiązań. Pozwoliłaby ona na opracowanie planu/strategii wdrażania </w:t>
      </w:r>
      <w:r w:rsidRPr="00894EBA">
        <w:rPr>
          <w:rFonts w:ascii="Helvetica" w:hAnsi="Helvetica" w:cs="Helvetica"/>
          <w:i/>
          <w:szCs w:val="24"/>
        </w:rPr>
        <w:t>SZBI</w:t>
      </w:r>
      <w:r w:rsidRPr="00894EBA">
        <w:rPr>
          <w:rFonts w:ascii="Helvetica" w:hAnsi="Helvetica" w:cs="Helvetica"/>
          <w:szCs w:val="24"/>
        </w:rPr>
        <w:t xml:space="preserve">, określającego m.in. planowane działania, termin ich wdrożenia oraz osoby odpowiedzialne za ich realizację. Identyfikacja słabości i opracowanie planu/strategii przyczyniłyby się do skuteczniejszego zarządzania obszarem BI, bowiem dokument taki umożliwiłby także </w:t>
      </w:r>
      <w:r w:rsidRPr="00894EBA">
        <w:rPr>
          <w:rFonts w:ascii="Helvetica" w:eastAsia="Calibri" w:hAnsi="Helvetica" w:cs="Helvetica"/>
          <w:color w:val="000000"/>
          <w:szCs w:val="24"/>
          <w:lang w:eastAsia="en-US"/>
        </w:rPr>
        <w:t xml:space="preserve">hierarchizację działań do podjęcia. </w:t>
      </w:r>
      <w:r w:rsidRPr="00894EBA">
        <w:rPr>
          <w:rFonts w:ascii="Helvetica" w:hAnsi="Helvetica" w:cs="Helvetica"/>
          <w:szCs w:val="24"/>
        </w:rPr>
        <w:t>Ułatwiłoby to analizę i ocenę wdrażanych rozwiązań. Kierownictwo Ministerstwa posiadałoby również narzędzie zarządcze do podejmowania adekwatnych decyzji.</w:t>
      </w:r>
    </w:p>
    <w:p w14:paraId="1BD1722A"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szCs w:val="24"/>
        </w:rPr>
      </w:pPr>
      <w:r w:rsidRPr="00894EBA">
        <w:rPr>
          <w:rFonts w:ascii="Helvetica" w:hAnsi="Helvetica" w:cs="Helvetica"/>
          <w:b/>
          <w:bCs/>
          <w:szCs w:val="24"/>
        </w:rPr>
        <w:t>[analiza ryzyka]</w:t>
      </w:r>
      <w:r w:rsidRPr="00894EBA">
        <w:rPr>
          <w:rFonts w:ascii="Helvetica" w:hAnsi="Helvetica" w:cs="Helvetica"/>
          <w:bCs/>
          <w:szCs w:val="24"/>
        </w:rPr>
        <w:t xml:space="preserve"> W </w:t>
      </w:r>
      <w:proofErr w:type="spellStart"/>
      <w:r w:rsidRPr="00894EBA">
        <w:rPr>
          <w:rFonts w:ascii="Helvetica" w:hAnsi="Helvetica" w:cs="Helvetica"/>
          <w:bCs/>
          <w:szCs w:val="24"/>
        </w:rPr>
        <w:t>MRiPS</w:t>
      </w:r>
      <w:proofErr w:type="spellEnd"/>
      <w:r w:rsidRPr="00894EBA">
        <w:rPr>
          <w:rFonts w:ascii="Helvetica" w:hAnsi="Helvetica" w:cs="Helvetica"/>
          <w:bCs/>
          <w:szCs w:val="24"/>
        </w:rPr>
        <w:t xml:space="preserve"> realizowano czynności dot. szacowania ryzyka, jednak były one prowadzone na potrzeby kontroli zarządczej. Identyfikowano ryzyka w stosunku do zadań</w:t>
      </w:r>
      <w:r w:rsidRPr="00894EBA">
        <w:rPr>
          <w:rFonts w:ascii="Helvetica" w:hAnsi="Helvetica" w:cs="Helvetica"/>
          <w:szCs w:val="24"/>
        </w:rPr>
        <w:t xml:space="preserve">, podczas gdy celem analizy ryzyka BI, powinna być w pierwszej kolejności ocena </w:t>
      </w:r>
      <w:proofErr w:type="spellStart"/>
      <w:r w:rsidRPr="00894EBA">
        <w:rPr>
          <w:rFonts w:ascii="Helvetica" w:hAnsi="Helvetica" w:cs="Helvetica"/>
          <w:szCs w:val="24"/>
        </w:rPr>
        <w:t>ryzyk</w:t>
      </w:r>
      <w:proofErr w:type="spellEnd"/>
      <w:r w:rsidRPr="00894EBA">
        <w:rPr>
          <w:rFonts w:ascii="Helvetica" w:hAnsi="Helvetica" w:cs="Helvetica"/>
          <w:szCs w:val="24"/>
        </w:rPr>
        <w:t xml:space="preserve"> związanych z utratą integralności, dostępności lub poufności. Ponadto analizą ryzyka powinny być objęte wszystkie aktywa jednostki. Z tego powodu nie można uznać, </w:t>
      </w:r>
      <w:r w:rsidR="00CF612B" w:rsidRPr="00894EBA">
        <w:rPr>
          <w:rFonts w:ascii="Helvetica" w:hAnsi="Helvetica" w:cs="Helvetica"/>
          <w:szCs w:val="24"/>
        </w:rPr>
        <w:t>że</w:t>
      </w:r>
      <w:r w:rsidR="00CF612B">
        <w:rPr>
          <w:rFonts w:ascii="Helvetica" w:hAnsi="Helvetica" w:cs="Helvetica"/>
          <w:szCs w:val="24"/>
        </w:rPr>
        <w:t> </w:t>
      </w:r>
      <w:r w:rsidRPr="00894EBA">
        <w:rPr>
          <w:rFonts w:ascii="Helvetica" w:hAnsi="Helvetica" w:cs="Helvetica"/>
          <w:szCs w:val="24"/>
        </w:rPr>
        <w:t xml:space="preserve">działania te stanowiły spełnienie </w:t>
      </w:r>
      <w:r w:rsidRPr="00894EBA">
        <w:rPr>
          <w:rFonts w:ascii="Helvetica" w:hAnsi="Helvetica" w:cs="Helvetica"/>
          <w:bCs/>
          <w:szCs w:val="24"/>
        </w:rPr>
        <w:t xml:space="preserve">wymogów § 20 ust. 2 pkt 3 </w:t>
      </w:r>
      <w:r w:rsidRPr="00894EBA">
        <w:rPr>
          <w:rFonts w:ascii="Helvetica" w:hAnsi="Helvetica" w:cs="Helvetica"/>
          <w:bCs/>
          <w:i/>
          <w:szCs w:val="24"/>
        </w:rPr>
        <w:t>Rozporządzenia KRI</w:t>
      </w:r>
      <w:r w:rsidRPr="00894EBA">
        <w:rPr>
          <w:rFonts w:ascii="Helvetica" w:hAnsi="Helvetica" w:cs="Helvetica"/>
          <w:bCs/>
          <w:szCs w:val="24"/>
        </w:rPr>
        <w:t>.</w:t>
      </w:r>
      <w:r w:rsidRPr="00894EBA">
        <w:rPr>
          <w:rFonts w:ascii="Helvetica" w:hAnsi="Helvetica" w:cs="Helvetica"/>
          <w:szCs w:val="24"/>
        </w:rPr>
        <w:t xml:space="preserve"> Brak przeprowadzenia analizy ryzyka BI skutkował tym, że nie opracowano też planu postępowania z ryzykiem. Jednostka zaznaczyła, że w maju br. powołano zespół ds. zarządzania ryzykiem</w:t>
      </w:r>
      <w:r w:rsidRPr="00894EBA">
        <w:rPr>
          <w:rFonts w:ascii="Helvetica" w:hAnsi="Helvetica" w:cs="Helvetica"/>
          <w:b/>
          <w:color w:val="FF0000"/>
          <w:sz w:val="18"/>
          <w:szCs w:val="24"/>
          <w:vertAlign w:val="superscript"/>
        </w:rPr>
        <w:footnoteReference w:id="39"/>
      </w:r>
      <w:r w:rsidRPr="00894EBA">
        <w:rPr>
          <w:rFonts w:ascii="Helvetica" w:hAnsi="Helvetica" w:cs="Helvetica"/>
          <w:szCs w:val="24"/>
        </w:rPr>
        <w:t xml:space="preserve"> i kwestie BI będą przedmiotem jego prac.</w:t>
      </w:r>
    </w:p>
    <w:p w14:paraId="4D156D74" w14:textId="77777777" w:rsidR="004D1514" w:rsidRPr="00894EBA" w:rsidRDefault="004D1514" w:rsidP="00983826">
      <w:pPr>
        <w:tabs>
          <w:tab w:val="left" w:pos="709"/>
        </w:tabs>
        <w:spacing w:before="60"/>
        <w:ind w:left="567" w:right="538"/>
        <w:jc w:val="both"/>
        <w:rPr>
          <w:rFonts w:ascii="Helvetica" w:hAnsi="Helvetica" w:cs="Helvetica"/>
          <w:sz w:val="21"/>
          <w:szCs w:val="21"/>
        </w:rPr>
      </w:pPr>
      <w:r w:rsidRPr="00894EBA">
        <w:rPr>
          <w:rFonts w:ascii="Helvetica" w:hAnsi="Helvetica" w:cs="Helvetica"/>
          <w:bCs/>
          <w:sz w:val="21"/>
          <w:szCs w:val="21"/>
        </w:rPr>
        <w:t xml:space="preserve">W Ministerstwie nie wdrożono regulacji dot. zarządzania ryzykiem BI. Szacowanie ryzyka wykonywane było przez poszczególne komórki na podstawie </w:t>
      </w:r>
      <w:r w:rsidRPr="00894EBA">
        <w:rPr>
          <w:rFonts w:ascii="Helvetica" w:hAnsi="Helvetica" w:cs="Helvetica"/>
          <w:i/>
          <w:sz w:val="21"/>
          <w:szCs w:val="21"/>
        </w:rPr>
        <w:t>zarządzenia w sprawie kontroli zarządczej</w:t>
      </w:r>
      <w:r w:rsidRPr="00894EBA">
        <w:rPr>
          <w:rFonts w:ascii="Helvetica" w:hAnsi="Helvetica" w:cs="Helvetica"/>
          <w:b/>
          <w:color w:val="FF0000"/>
          <w:sz w:val="18"/>
          <w:vertAlign w:val="superscript"/>
        </w:rPr>
        <w:footnoteReference w:id="40"/>
      </w:r>
      <w:r w:rsidRPr="00894EBA">
        <w:rPr>
          <w:rFonts w:ascii="Helvetica" w:hAnsi="Helvetica" w:cs="Helvetica"/>
          <w:i/>
          <w:sz w:val="21"/>
          <w:szCs w:val="21"/>
        </w:rPr>
        <w:t xml:space="preserve">. </w:t>
      </w:r>
      <w:r w:rsidRPr="00894EBA">
        <w:rPr>
          <w:rFonts w:ascii="Helvetica" w:hAnsi="Helvetica" w:cs="Helvetica"/>
          <w:sz w:val="21"/>
          <w:szCs w:val="21"/>
        </w:rPr>
        <w:t>Regulacja ta nie mogła stanowić podstawy do sporządzenia kompleksowej analizy ryzyka BI, ponieważ wynika to z przyjętej w niej metodologii identyfikacji oraz szacowania ryzyka. Zgodnie z tym zarządzeniem komórki zobowiązane są do identyfikacji ryzyka w odniesieniu do realizowanych zadań oraz ochrony danych osobowych</w:t>
      </w:r>
      <w:r w:rsidRPr="00894EBA">
        <w:rPr>
          <w:rFonts w:ascii="Helvetica" w:hAnsi="Helvetica" w:cs="Helvetica"/>
          <w:b/>
          <w:color w:val="FF0000"/>
          <w:sz w:val="18"/>
          <w:vertAlign w:val="superscript"/>
        </w:rPr>
        <w:footnoteReference w:id="41"/>
      </w:r>
      <w:r w:rsidRPr="00894EBA">
        <w:rPr>
          <w:rFonts w:ascii="Helvetica" w:hAnsi="Helvetica" w:cs="Helvetica"/>
          <w:sz w:val="21"/>
          <w:szCs w:val="21"/>
        </w:rPr>
        <w:t xml:space="preserve">. Identyfikowane są ryzyka związane ze zmianami w organizacji, zagrażające wizerunkowi, o charakterze finansowym, korupcyjnym, legislacyjnym, dot. zasobów ludzkich. Ocena </w:t>
      </w:r>
      <w:proofErr w:type="spellStart"/>
      <w:r w:rsidRPr="00894EBA">
        <w:rPr>
          <w:rFonts w:ascii="Helvetica" w:hAnsi="Helvetica" w:cs="Helvetica"/>
          <w:sz w:val="21"/>
          <w:szCs w:val="21"/>
        </w:rPr>
        <w:t>ryzyk</w:t>
      </w:r>
      <w:proofErr w:type="spellEnd"/>
      <w:r w:rsidRPr="00894EBA">
        <w:rPr>
          <w:rFonts w:ascii="Helvetica" w:hAnsi="Helvetica" w:cs="Helvetica"/>
          <w:sz w:val="21"/>
          <w:szCs w:val="21"/>
        </w:rPr>
        <w:t xml:space="preserve"> w odniesieniu do 6</w:t>
      </w:r>
      <w:r w:rsidRPr="00894EBA">
        <w:rPr>
          <w:rFonts w:ascii="Helvetica" w:hAnsi="Helvetica" w:cs="Helvetica"/>
          <w:b/>
          <w:color w:val="FF0000"/>
          <w:sz w:val="18"/>
          <w:vertAlign w:val="superscript"/>
        </w:rPr>
        <w:footnoteReference w:id="42"/>
      </w:r>
      <w:r w:rsidRPr="00894EBA">
        <w:rPr>
          <w:rFonts w:ascii="Helvetica" w:hAnsi="Helvetica" w:cs="Helvetica"/>
          <w:sz w:val="21"/>
          <w:szCs w:val="21"/>
        </w:rPr>
        <w:t>z 10 systemów teleinformatycznych dot. tylko ochrony danych osobowych.</w:t>
      </w:r>
    </w:p>
    <w:p w14:paraId="4A14DDD2" w14:textId="77777777" w:rsidR="004D1514" w:rsidRPr="00894EBA" w:rsidRDefault="004D1514" w:rsidP="00983826">
      <w:pPr>
        <w:tabs>
          <w:tab w:val="left" w:pos="709"/>
        </w:tabs>
        <w:spacing w:before="60"/>
        <w:ind w:left="567" w:right="538"/>
        <w:jc w:val="both"/>
        <w:rPr>
          <w:rFonts w:ascii="Helvetica" w:hAnsi="Helvetica" w:cs="Helvetica"/>
          <w:bCs/>
          <w:sz w:val="21"/>
          <w:szCs w:val="21"/>
        </w:rPr>
      </w:pPr>
      <w:r w:rsidRPr="00894EBA">
        <w:rPr>
          <w:rFonts w:ascii="Helvetica" w:hAnsi="Helvetica" w:cs="Helvetica"/>
          <w:sz w:val="21"/>
          <w:szCs w:val="21"/>
        </w:rPr>
        <w:t xml:space="preserve">Natomiast celem analizy ryzyka BI jest odniesienie jej do wszystkich aktywów jednostki (nie tylko danych osobowych) oraz dokonanie oceny </w:t>
      </w:r>
      <w:proofErr w:type="spellStart"/>
      <w:r w:rsidRPr="00894EBA">
        <w:rPr>
          <w:rFonts w:ascii="Helvetica" w:hAnsi="Helvetica" w:cs="Helvetica"/>
          <w:sz w:val="21"/>
          <w:szCs w:val="21"/>
        </w:rPr>
        <w:t>ryzyk</w:t>
      </w:r>
      <w:proofErr w:type="spellEnd"/>
      <w:r w:rsidRPr="00894EBA">
        <w:rPr>
          <w:rFonts w:ascii="Helvetica" w:hAnsi="Helvetica" w:cs="Helvetica"/>
          <w:sz w:val="21"/>
          <w:szCs w:val="21"/>
        </w:rPr>
        <w:t xml:space="preserve"> związanych z utratą integralności, dostępności lub poufności informacji. Wyjaśniono</w:t>
      </w:r>
      <w:r w:rsidRPr="00894EBA">
        <w:rPr>
          <w:rFonts w:ascii="Helvetica" w:hAnsi="Helvetica" w:cs="Helvetica"/>
          <w:b/>
          <w:color w:val="FF0000"/>
          <w:sz w:val="18"/>
          <w:vertAlign w:val="superscript"/>
        </w:rPr>
        <w:footnoteReference w:id="43"/>
      </w:r>
      <w:r w:rsidRPr="00894EBA">
        <w:rPr>
          <w:rFonts w:ascii="Helvetica" w:hAnsi="Helvetica" w:cs="Helvetica"/>
          <w:sz w:val="21"/>
          <w:szCs w:val="21"/>
        </w:rPr>
        <w:t>, że w </w:t>
      </w:r>
      <w:proofErr w:type="spellStart"/>
      <w:r w:rsidRPr="00894EBA">
        <w:rPr>
          <w:rFonts w:ascii="Helvetica" w:hAnsi="Helvetica" w:cs="Helvetica"/>
          <w:sz w:val="21"/>
          <w:szCs w:val="21"/>
        </w:rPr>
        <w:t>MRiPS</w:t>
      </w:r>
      <w:proofErr w:type="spellEnd"/>
      <w:r w:rsidRPr="00894EBA">
        <w:rPr>
          <w:rFonts w:ascii="Helvetica" w:hAnsi="Helvetica" w:cs="Helvetica"/>
          <w:sz w:val="21"/>
          <w:szCs w:val="21"/>
        </w:rPr>
        <w:t xml:space="preserve"> nie ma regulacji, która wprost nakazuje przeprowadzić analizę ryzyka BI jako odrębnego obszaru działania Jednostki.</w:t>
      </w:r>
    </w:p>
    <w:p w14:paraId="1D8EA399" w14:textId="77777777" w:rsidR="004D1514" w:rsidRPr="00894EBA" w:rsidRDefault="004D1514" w:rsidP="00983826">
      <w:pPr>
        <w:tabs>
          <w:tab w:val="left" w:pos="709"/>
        </w:tabs>
        <w:spacing w:before="60"/>
        <w:ind w:left="567" w:right="538"/>
        <w:jc w:val="both"/>
        <w:rPr>
          <w:rFonts w:ascii="Helvetica" w:hAnsi="Helvetica" w:cs="Helvetica"/>
          <w:sz w:val="21"/>
          <w:szCs w:val="24"/>
        </w:rPr>
      </w:pPr>
      <w:r w:rsidRPr="00894EBA">
        <w:rPr>
          <w:rFonts w:ascii="Helvetica" w:hAnsi="Helvetica" w:cs="Helvetica"/>
          <w:sz w:val="21"/>
          <w:szCs w:val="24"/>
        </w:rPr>
        <w:t xml:space="preserve">W związku z wymogiem audytora Ministerstwa Finansów przy certyfikacji Systemu Centralnego FEAD wdrożono </w:t>
      </w:r>
      <w:r w:rsidRPr="00894EBA">
        <w:rPr>
          <w:rFonts w:ascii="Helvetica" w:hAnsi="Helvetica" w:cs="Helvetica"/>
          <w:i/>
          <w:sz w:val="21"/>
          <w:szCs w:val="24"/>
        </w:rPr>
        <w:t>Metodykę zarządzania ryzykiem w zakresie bezpieczeństwa informacji SC FEAD</w:t>
      </w:r>
      <w:r w:rsidRPr="00894EBA">
        <w:rPr>
          <w:rFonts w:ascii="Helvetica" w:hAnsi="Helvetica" w:cs="Helvetica"/>
          <w:sz w:val="21"/>
          <w:szCs w:val="24"/>
        </w:rPr>
        <w:t xml:space="preserve"> i na jej podstawie przeprowadzono analizę ryzyka tego systemu</w:t>
      </w:r>
      <w:r w:rsidRPr="00894EBA">
        <w:rPr>
          <w:rFonts w:ascii="Helvetica" w:hAnsi="Helvetica" w:cs="Helvetica"/>
          <w:b/>
          <w:color w:val="FF0000"/>
          <w:sz w:val="18"/>
          <w:szCs w:val="24"/>
          <w:vertAlign w:val="superscript"/>
        </w:rPr>
        <w:footnoteReference w:id="44"/>
      </w:r>
      <w:r w:rsidRPr="00894EBA">
        <w:rPr>
          <w:rFonts w:ascii="Helvetica" w:hAnsi="Helvetica" w:cs="Helvetica"/>
          <w:sz w:val="21"/>
          <w:szCs w:val="24"/>
        </w:rPr>
        <w:t xml:space="preserve">. Jednak działania te nie były podejmowane na potrzeby </w:t>
      </w:r>
      <w:r w:rsidRPr="00894EBA">
        <w:rPr>
          <w:rFonts w:ascii="Helvetica" w:hAnsi="Helvetica" w:cs="Helvetica"/>
          <w:i/>
          <w:sz w:val="21"/>
          <w:szCs w:val="24"/>
        </w:rPr>
        <w:t>SZBI</w:t>
      </w:r>
      <w:r w:rsidRPr="00894EBA">
        <w:rPr>
          <w:rFonts w:ascii="Helvetica" w:hAnsi="Helvetica" w:cs="Helvetica"/>
          <w:sz w:val="21"/>
          <w:szCs w:val="24"/>
        </w:rPr>
        <w:t>, a wynikały z obowiązków Programu Operacyjnego Pomoc Żywnościowa 2014-2020. Analizę ryzyka i metodykę zawarto w PBI IT, co wynikało z wymagań audytora Ministerstwa Finansów oraz specyfiki tego Programu.</w:t>
      </w:r>
    </w:p>
    <w:p w14:paraId="0426E40D" w14:textId="77777777" w:rsidR="004D1514" w:rsidRPr="00894EBA" w:rsidRDefault="004D1514" w:rsidP="00983826">
      <w:pPr>
        <w:tabs>
          <w:tab w:val="left" w:pos="709"/>
        </w:tabs>
        <w:spacing w:before="60" w:line="300" w:lineRule="atLeast"/>
        <w:jc w:val="both"/>
        <w:rPr>
          <w:rFonts w:ascii="Helvetica" w:hAnsi="Helvetica" w:cs="Helvetica"/>
        </w:rPr>
      </w:pPr>
      <w:r w:rsidRPr="00894EBA">
        <w:rPr>
          <w:rFonts w:ascii="Helvetica" w:hAnsi="Helvetica" w:cs="Helvetica"/>
        </w:rPr>
        <w:t xml:space="preserve">Analiza ryzyka BI jest jednym z najistotniejszych elementów ustanowienia </w:t>
      </w:r>
      <w:r w:rsidRPr="00894EBA">
        <w:rPr>
          <w:rFonts w:ascii="Helvetica" w:hAnsi="Helvetica" w:cs="Helvetica"/>
          <w:i/>
        </w:rPr>
        <w:t>SZBI</w:t>
      </w:r>
      <w:r w:rsidRPr="00894EBA">
        <w:rPr>
          <w:rFonts w:ascii="Helvetica" w:hAnsi="Helvetica" w:cs="Helvetica"/>
        </w:rPr>
        <w:t xml:space="preserve">. Pozwala na proaktywne zarządzanie bezpieczeństwem informacji, w tym przeciwdziałanie zagrożeniom oraz ograniczanie skutków w przypadku zmaterializowania się </w:t>
      </w:r>
      <w:proofErr w:type="spellStart"/>
      <w:r w:rsidRPr="00894EBA">
        <w:rPr>
          <w:rFonts w:ascii="Helvetica" w:hAnsi="Helvetica" w:cs="Helvetica"/>
        </w:rPr>
        <w:t>ryzyk</w:t>
      </w:r>
      <w:proofErr w:type="spellEnd"/>
      <w:r w:rsidRPr="00894EBA">
        <w:rPr>
          <w:rFonts w:ascii="Helvetica" w:hAnsi="Helvetica" w:cs="Helvetica"/>
        </w:rPr>
        <w:t>. Z tego powodu proces ten powinien być cykliczny, a dodatkowe działania powinny być podejmowane w sytuacjach zmieniającego się otoczenia.</w:t>
      </w:r>
    </w:p>
    <w:p w14:paraId="6307746D"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bCs/>
          <w:szCs w:val="24"/>
        </w:rPr>
      </w:pPr>
      <w:r w:rsidRPr="00894EBA">
        <w:rPr>
          <w:rFonts w:ascii="Helvetica" w:hAnsi="Helvetica" w:cs="Helvetica"/>
          <w:b/>
          <w:bCs/>
          <w:szCs w:val="24"/>
        </w:rPr>
        <w:t>[audyt]</w:t>
      </w:r>
      <w:r w:rsidRPr="00894EBA">
        <w:rPr>
          <w:rFonts w:ascii="Helvetica" w:hAnsi="Helvetica" w:cs="Helvetica"/>
          <w:bCs/>
          <w:szCs w:val="24"/>
        </w:rPr>
        <w:t xml:space="preserve"> W Ministerstwie przeprowadzono audyt BI, skupiając się na badaniu </w:t>
      </w:r>
      <w:r w:rsidRPr="00894EBA">
        <w:rPr>
          <w:rFonts w:ascii="Helvetica" w:hAnsi="Helvetica" w:cs="Helvetica"/>
          <w:szCs w:val="21"/>
        </w:rPr>
        <w:t>bezpieczeństwa infrastruktury teleinformatycznej. Tym</w:t>
      </w:r>
      <w:r w:rsidRPr="00894EBA">
        <w:rPr>
          <w:rFonts w:ascii="Helvetica" w:hAnsi="Helvetica" w:cs="Helvetica"/>
          <w:bCs/>
          <w:szCs w:val="24"/>
        </w:rPr>
        <w:t xml:space="preserve"> samym nie objęto badaniem wszystkich obszarów bezpieczeństwa informacji. Rozszerzenie jego zakresu</w:t>
      </w:r>
      <w:r w:rsidRPr="00894EBA" w:rsidDel="00F660DD">
        <w:rPr>
          <w:rFonts w:ascii="Helvetica" w:hAnsi="Helvetica" w:cs="Helvetica"/>
          <w:bCs/>
          <w:szCs w:val="24"/>
        </w:rPr>
        <w:t xml:space="preserve"> </w:t>
      </w:r>
      <w:r w:rsidRPr="00894EBA">
        <w:rPr>
          <w:rFonts w:ascii="Helvetica" w:hAnsi="Helvetica" w:cs="Helvetica"/>
          <w:bCs/>
          <w:szCs w:val="24"/>
        </w:rPr>
        <w:t xml:space="preserve">zapewniłoby pełną identyfikację słabości </w:t>
      </w:r>
      <w:r w:rsidRPr="00894EBA">
        <w:rPr>
          <w:rFonts w:ascii="Helvetica" w:hAnsi="Helvetica" w:cs="Helvetica"/>
          <w:bCs/>
          <w:i/>
          <w:szCs w:val="24"/>
        </w:rPr>
        <w:t>SZBI</w:t>
      </w:r>
      <w:r w:rsidRPr="00894EBA">
        <w:rPr>
          <w:rFonts w:ascii="Helvetica" w:hAnsi="Helvetica" w:cs="Helvetica"/>
          <w:bCs/>
          <w:szCs w:val="24"/>
        </w:rPr>
        <w:t xml:space="preserve"> i wspierałoby Jednostkę w ich eliminacji.</w:t>
      </w:r>
    </w:p>
    <w:p w14:paraId="300A7229" w14:textId="77777777" w:rsidR="004D1514" w:rsidRPr="00894EBA" w:rsidRDefault="004D1514" w:rsidP="00983826">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Czynności eksperckie</w:t>
      </w:r>
      <w:r w:rsidRPr="00894EBA">
        <w:rPr>
          <w:rFonts w:ascii="Helvetica" w:hAnsi="Helvetica" w:cs="Helvetica"/>
          <w:b/>
          <w:color w:val="FF0000"/>
          <w:sz w:val="18"/>
          <w:vertAlign w:val="superscript"/>
        </w:rPr>
        <w:footnoteReference w:id="45"/>
      </w:r>
      <w:r w:rsidRPr="00894EBA">
        <w:rPr>
          <w:rFonts w:ascii="Helvetica" w:hAnsi="Helvetica" w:cs="Helvetica"/>
          <w:sz w:val="21"/>
          <w:szCs w:val="21"/>
        </w:rPr>
        <w:t xml:space="preserve"> dot. </w:t>
      </w:r>
      <w:r w:rsidRPr="00894EBA">
        <w:rPr>
          <w:rFonts w:ascii="Helvetica" w:hAnsi="Helvetica" w:cs="Helvetica"/>
          <w:i/>
          <w:sz w:val="21"/>
          <w:szCs w:val="21"/>
        </w:rPr>
        <w:t>badania bezpieczeństwa infrastruktury teleinformatycznej</w:t>
      </w:r>
      <w:r w:rsidRPr="00894EBA">
        <w:rPr>
          <w:rFonts w:ascii="Helvetica" w:hAnsi="Helvetica" w:cs="Helvetica"/>
          <w:sz w:val="21"/>
          <w:szCs w:val="21"/>
        </w:rPr>
        <w:t xml:space="preserve">. </w:t>
      </w:r>
      <w:r w:rsidRPr="00894EBA">
        <w:rPr>
          <w:rFonts w:ascii="Helvetica" w:hAnsi="Helvetica" w:cs="Helvetica"/>
          <w:bCs/>
          <w:sz w:val="21"/>
        </w:rPr>
        <w:t xml:space="preserve">wykonała firma zewnętrzna. </w:t>
      </w:r>
      <w:r w:rsidRPr="00894EBA">
        <w:rPr>
          <w:rFonts w:ascii="Helvetica" w:hAnsi="Helvetica" w:cs="Helvetica"/>
          <w:sz w:val="21"/>
          <w:szCs w:val="21"/>
        </w:rPr>
        <w:t>Dotyczyły one w szczególności ogólnej analizy komunikacji sieciowej z poziomu Internetu, skanowania portów</w:t>
      </w:r>
      <w:r w:rsidRPr="00894EBA">
        <w:rPr>
          <w:rFonts w:ascii="Helvetica" w:hAnsi="Helvetica" w:cs="Helvetica"/>
          <w:b/>
          <w:color w:val="FF0000"/>
          <w:sz w:val="18"/>
          <w:vertAlign w:val="superscript"/>
        </w:rPr>
        <w:footnoteReference w:id="46"/>
      </w:r>
      <w:r w:rsidRPr="00894EBA">
        <w:rPr>
          <w:rFonts w:ascii="Helvetica" w:hAnsi="Helvetica" w:cs="Helvetica"/>
          <w:sz w:val="21"/>
          <w:szCs w:val="21"/>
        </w:rPr>
        <w:t xml:space="preserve">, prób detekcji wersji oraz typu oprogramowania systemowego zainstalowanego na urządzeniach dostępnych z Internetu, skanowania podatności na aktywnych hostach z badanej sieci publicznej, zewnętrznego testowania serwerów http. Audyt ten nie objął zatem wszystkich obszarów </w:t>
      </w:r>
      <w:r w:rsidRPr="00894EBA">
        <w:rPr>
          <w:rFonts w:ascii="Helvetica" w:hAnsi="Helvetica" w:cs="Helvetica"/>
          <w:i/>
          <w:sz w:val="21"/>
          <w:szCs w:val="21"/>
        </w:rPr>
        <w:t>SZBI</w:t>
      </w:r>
      <w:r w:rsidRPr="00894EBA">
        <w:rPr>
          <w:rFonts w:ascii="Helvetica" w:hAnsi="Helvetica" w:cs="Helvetica"/>
          <w:b/>
          <w:color w:val="FF0000"/>
          <w:sz w:val="18"/>
          <w:vertAlign w:val="superscript"/>
        </w:rPr>
        <w:footnoteReference w:id="47"/>
      </w:r>
      <w:r w:rsidRPr="00894EBA">
        <w:rPr>
          <w:rFonts w:ascii="Helvetica" w:hAnsi="Helvetica" w:cs="Helvetica"/>
          <w:sz w:val="21"/>
          <w:szCs w:val="21"/>
        </w:rPr>
        <w:t>.</w:t>
      </w:r>
    </w:p>
    <w:p w14:paraId="1BCA4C57" w14:textId="77777777" w:rsidR="004D1514" w:rsidRPr="00894EBA" w:rsidRDefault="004D1514" w:rsidP="00983826">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Wyjaśniono</w:t>
      </w:r>
      <w:r w:rsidRPr="00894EBA">
        <w:rPr>
          <w:rFonts w:ascii="Helvetica" w:hAnsi="Helvetica" w:cs="Helvetica"/>
          <w:b/>
          <w:color w:val="FF0000"/>
          <w:sz w:val="18"/>
          <w:vertAlign w:val="superscript"/>
        </w:rPr>
        <w:footnoteReference w:id="48"/>
      </w:r>
      <w:r w:rsidRPr="00894EBA">
        <w:rPr>
          <w:rFonts w:ascii="Helvetica" w:hAnsi="Helvetica" w:cs="Helvetica"/>
          <w:sz w:val="21"/>
          <w:szCs w:val="21"/>
        </w:rPr>
        <w:t>, że audyt wewnętrzny w pełnym zakresie nie został zrealizowany, ponieważ w </w:t>
      </w:r>
      <w:r w:rsidRPr="00894EBA">
        <w:rPr>
          <w:rFonts w:ascii="Helvetica" w:hAnsi="Helvetica" w:cs="Helvetica"/>
          <w:i/>
          <w:sz w:val="21"/>
          <w:szCs w:val="21"/>
        </w:rPr>
        <w:t>Planie audytu wewnętrznego na 2021 r.</w:t>
      </w:r>
      <w:r w:rsidRPr="00894EBA">
        <w:rPr>
          <w:rFonts w:ascii="Helvetica" w:hAnsi="Helvetica" w:cs="Helvetica"/>
          <w:sz w:val="21"/>
          <w:szCs w:val="21"/>
        </w:rPr>
        <w:t xml:space="preserve"> znalazło się 19 obszarów ryzyka, a na samodzielnych stanowiskach audytu wewnętrznego zatrudnionych jest 3 audytorów wewnętrznych. Powołano się także na wspólne stanowisko Ministerstwa Administracji i Cyfryzacji oraz Ministerstwa Finansów</w:t>
      </w:r>
      <w:r w:rsidRPr="00894EBA">
        <w:rPr>
          <w:rFonts w:ascii="Helvetica" w:hAnsi="Helvetica" w:cs="Helvetica"/>
          <w:b/>
          <w:color w:val="FF0000"/>
          <w:sz w:val="18"/>
          <w:vertAlign w:val="superscript"/>
        </w:rPr>
        <w:footnoteReference w:id="49"/>
      </w:r>
      <w:r w:rsidRPr="00894EBA">
        <w:rPr>
          <w:rFonts w:ascii="Helvetica" w:hAnsi="Helvetica" w:cs="Helvetica"/>
          <w:sz w:val="21"/>
          <w:szCs w:val="21"/>
        </w:rPr>
        <w:t xml:space="preserve"> wskazujące, że </w:t>
      </w:r>
      <w:r w:rsidRPr="00894EBA">
        <w:rPr>
          <w:rFonts w:ascii="Helvetica" w:hAnsi="Helvetica" w:cs="Helvetica"/>
          <w:sz w:val="21"/>
        </w:rPr>
        <w:t>nie należy automatycznie przypisywać zadania audytu w zakresie bezpieczeństwa informacji komórce audytu wewnętrznego.</w:t>
      </w:r>
    </w:p>
    <w:p w14:paraId="3ADF56FC" w14:textId="77777777" w:rsidR="004D1514" w:rsidRPr="00894EBA" w:rsidRDefault="004D1514" w:rsidP="00983826">
      <w:pPr>
        <w:tabs>
          <w:tab w:val="left" w:pos="709"/>
        </w:tabs>
        <w:spacing w:before="60"/>
        <w:ind w:left="567" w:right="538"/>
        <w:jc w:val="both"/>
        <w:rPr>
          <w:rFonts w:ascii="Helvetica" w:hAnsi="Helvetica" w:cs="Helvetica"/>
          <w:sz w:val="21"/>
          <w:szCs w:val="24"/>
        </w:rPr>
      </w:pPr>
      <w:r w:rsidRPr="00894EBA">
        <w:rPr>
          <w:rFonts w:ascii="Helvetica" w:hAnsi="Helvetica" w:cs="Helvetica"/>
          <w:sz w:val="21"/>
          <w:szCs w:val="24"/>
        </w:rPr>
        <w:t xml:space="preserve">W </w:t>
      </w:r>
      <w:r w:rsidRPr="00894EBA">
        <w:rPr>
          <w:rFonts w:ascii="Helvetica" w:hAnsi="Helvetica" w:cs="Helvetica"/>
          <w:i/>
          <w:sz w:val="21"/>
          <w:szCs w:val="24"/>
        </w:rPr>
        <w:t>Planie audytów wewnętrznych na 2021 r.</w:t>
      </w:r>
      <w:r w:rsidRPr="00894EBA">
        <w:rPr>
          <w:rFonts w:ascii="Helvetica" w:hAnsi="Helvetica" w:cs="Helvetica"/>
          <w:sz w:val="21"/>
          <w:szCs w:val="24"/>
        </w:rPr>
        <w:t xml:space="preserve"> uwzględnione zostało zadanie zapewniające pn. </w:t>
      </w:r>
      <w:r w:rsidRPr="00894EBA">
        <w:rPr>
          <w:rFonts w:ascii="Helvetica" w:hAnsi="Helvetica" w:cs="Helvetica"/>
          <w:i/>
          <w:sz w:val="21"/>
          <w:szCs w:val="24"/>
        </w:rPr>
        <w:t>Systemy informatyczne</w:t>
      </w:r>
      <w:r w:rsidRPr="00894EBA">
        <w:rPr>
          <w:rFonts w:ascii="Helvetica" w:hAnsi="Helvetica" w:cs="Helvetica"/>
          <w:sz w:val="21"/>
          <w:szCs w:val="24"/>
        </w:rPr>
        <w:t>, jednakże jego szczegółowy zakres zostanie określony w programie zadania audytowego. Realizacja audytu planowana jest w IV kw. 2021 r.</w:t>
      </w:r>
    </w:p>
    <w:p w14:paraId="2518CFED" w14:textId="77777777" w:rsidR="004D1514" w:rsidRPr="00894EBA" w:rsidRDefault="004D1514" w:rsidP="00983826">
      <w:pPr>
        <w:tabs>
          <w:tab w:val="left" w:pos="709"/>
        </w:tabs>
        <w:spacing w:before="60" w:line="300" w:lineRule="atLeast"/>
        <w:jc w:val="both"/>
        <w:rPr>
          <w:rFonts w:ascii="Helvetica" w:hAnsi="Helvetica" w:cs="Helvetica"/>
          <w:szCs w:val="24"/>
        </w:rPr>
      </w:pPr>
      <w:r w:rsidRPr="00894EBA">
        <w:rPr>
          <w:rFonts w:ascii="Helvetica" w:hAnsi="Helvetica" w:cs="Helvetica"/>
          <w:szCs w:val="24"/>
        </w:rPr>
        <w:t>Realizacja audytu w niepełnym zakresie utrudnia osiągnięcie celu audytu, w tym nie pozwala na skuteczną identyfikację potencjalnych słabości lub zagrożeń bezpieczeństwa informacji.</w:t>
      </w:r>
    </w:p>
    <w:p w14:paraId="43ED6A6C" w14:textId="77777777" w:rsidR="004D1514" w:rsidRPr="00894EBA" w:rsidRDefault="004D1514" w:rsidP="00983826">
      <w:pPr>
        <w:numPr>
          <w:ilvl w:val="1"/>
          <w:numId w:val="2"/>
        </w:numPr>
        <w:tabs>
          <w:tab w:val="left" w:pos="709"/>
        </w:tabs>
        <w:spacing w:before="60" w:line="300" w:lineRule="atLeast"/>
        <w:ind w:left="0" w:firstLine="0"/>
        <w:jc w:val="both"/>
        <w:rPr>
          <w:rFonts w:ascii="Helvetica" w:hAnsi="Helvetica" w:cs="Helvetica"/>
          <w:szCs w:val="24"/>
        </w:rPr>
      </w:pPr>
      <w:r w:rsidRPr="00894EBA">
        <w:rPr>
          <w:rFonts w:ascii="Helvetica" w:hAnsi="Helvetica" w:cs="Helvetica"/>
          <w:szCs w:val="24"/>
        </w:rPr>
        <w:t xml:space="preserve">Prawidłowo monitorowano stopień wykonania rekomendacji audytu i częściowo je wdrożono. Konieczna jest również realizacja zalecenia audytu przeprowadzonego w 2019 r., które nie zostało wykonane, tj. uzupełnienie dokumentu pn. </w:t>
      </w:r>
      <w:r w:rsidRPr="00894EBA">
        <w:rPr>
          <w:rFonts w:ascii="Helvetica" w:hAnsi="Helvetica" w:cs="Helvetica"/>
          <w:i/>
          <w:szCs w:val="24"/>
        </w:rPr>
        <w:t xml:space="preserve">Tryb kompleksowego i cyklicznego badania podatności w obrębie infrastruktury informatycznej </w:t>
      </w:r>
      <w:proofErr w:type="spellStart"/>
      <w:r w:rsidRPr="00894EBA">
        <w:rPr>
          <w:rFonts w:ascii="Helvetica" w:hAnsi="Helvetica" w:cs="Helvetica"/>
          <w:i/>
          <w:szCs w:val="24"/>
        </w:rPr>
        <w:t>MRPiPS</w:t>
      </w:r>
      <w:proofErr w:type="spellEnd"/>
      <w:r w:rsidRPr="00894EBA">
        <w:rPr>
          <w:rFonts w:ascii="Helvetica" w:hAnsi="Helvetica" w:cs="Helvetica"/>
          <w:szCs w:val="24"/>
        </w:rPr>
        <w:t>.</w:t>
      </w:r>
    </w:p>
    <w:p w14:paraId="06189B56" w14:textId="77777777" w:rsidR="004D1514" w:rsidRPr="00894EBA" w:rsidRDefault="004D1514" w:rsidP="00983826">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 xml:space="preserve">W Ministerstwie w 2019 r. przeprowadzono audyt wewnętrzny Bezpieczeństwa teleinformatycznego </w:t>
      </w:r>
      <w:proofErr w:type="spellStart"/>
      <w:r w:rsidRPr="00894EBA">
        <w:rPr>
          <w:rFonts w:ascii="Helvetica" w:hAnsi="Helvetica" w:cs="Helvetica"/>
          <w:sz w:val="21"/>
          <w:szCs w:val="21"/>
        </w:rPr>
        <w:t>MRPiPS</w:t>
      </w:r>
      <w:proofErr w:type="spellEnd"/>
      <w:r w:rsidRPr="00893E7C">
        <w:rPr>
          <w:rFonts w:ascii="Helvetica" w:hAnsi="Helvetica" w:cs="Helvetica"/>
          <w:b/>
          <w:color w:val="FF0000"/>
          <w:sz w:val="18"/>
          <w:szCs w:val="18"/>
          <w:vertAlign w:val="superscript"/>
        </w:rPr>
        <w:footnoteReference w:id="50"/>
      </w:r>
      <w:r w:rsidRPr="00894EBA">
        <w:rPr>
          <w:rFonts w:ascii="Helvetica" w:hAnsi="Helvetica" w:cs="Helvetica"/>
          <w:sz w:val="21"/>
          <w:szCs w:val="21"/>
        </w:rPr>
        <w:t xml:space="preserve">. Realizacja zaleceń tego audytu była monitorowana </w:t>
      </w:r>
      <w:r w:rsidR="00A20B8C" w:rsidRPr="00894EBA">
        <w:rPr>
          <w:rFonts w:ascii="Helvetica" w:hAnsi="Helvetica" w:cs="Helvetica"/>
          <w:sz w:val="21"/>
          <w:szCs w:val="21"/>
        </w:rPr>
        <w:t>i</w:t>
      </w:r>
      <w:r w:rsidR="00A20B8C">
        <w:rPr>
          <w:rFonts w:ascii="Helvetica" w:hAnsi="Helvetica" w:cs="Helvetica"/>
          <w:sz w:val="21"/>
          <w:szCs w:val="21"/>
        </w:rPr>
        <w:t> </w:t>
      </w:r>
      <w:r w:rsidRPr="00894EBA">
        <w:rPr>
          <w:rFonts w:ascii="Helvetica" w:hAnsi="Helvetica" w:cs="Helvetica"/>
          <w:sz w:val="21"/>
          <w:szCs w:val="21"/>
        </w:rPr>
        <w:t>podlegała także ocenie w toku czynności eksperckich przeprowadzonych w 2020 r. W wyniku przeprowadzonego w 2019 r. audytu sformułowano 2 zalecenia. Pierwsze dot. określenia trybu kompleksowego i cyklicznego badania podatności w obrębie infrastruktury informatycznej. Kolejne – wdrożenia cyklicznych działań w zakresie skanowania, których celem miało być badanie aktualnego stanu bezpieczeństwa w związku z pojawianiem się nowych zagrożeń. Ponadto rekomendowano by wyniki tych testów poddawać szczegółowej analizie, a w razie konieczności podejmować działania usprawniające badany obszar.</w:t>
      </w:r>
    </w:p>
    <w:p w14:paraId="790BED82" w14:textId="77777777" w:rsidR="004D1514" w:rsidRPr="00894EBA" w:rsidRDefault="004D1514" w:rsidP="00983826">
      <w:pPr>
        <w:tabs>
          <w:tab w:val="left" w:pos="709"/>
        </w:tabs>
        <w:spacing w:before="60"/>
        <w:ind w:left="567" w:right="538"/>
        <w:jc w:val="both"/>
        <w:rPr>
          <w:rFonts w:ascii="Helvetica" w:hAnsi="Helvetica" w:cs="Helvetica"/>
          <w:sz w:val="21"/>
          <w:szCs w:val="21"/>
        </w:rPr>
      </w:pPr>
      <w:proofErr w:type="spellStart"/>
      <w:r w:rsidRPr="00894EBA">
        <w:rPr>
          <w:rFonts w:ascii="Helvetica" w:hAnsi="Helvetica" w:cs="Helvetica"/>
          <w:sz w:val="21"/>
          <w:szCs w:val="21"/>
        </w:rPr>
        <w:t>MRiPS</w:t>
      </w:r>
      <w:proofErr w:type="spellEnd"/>
      <w:r w:rsidRPr="00894EBA">
        <w:rPr>
          <w:rFonts w:ascii="Helvetica" w:hAnsi="Helvetica" w:cs="Helvetica"/>
          <w:sz w:val="21"/>
          <w:szCs w:val="21"/>
        </w:rPr>
        <w:t xml:space="preserve"> wdrożyło drugie zalecenie, tj. sporządzano raporty z badania podatności systemów. Podatności, które zostały w nich wskazane były usuwane przez wykonawców umów zajmujących się utrzymaniem systemów, a następnie ponawiano testy podatności.</w:t>
      </w:r>
    </w:p>
    <w:p w14:paraId="59A38811" w14:textId="77777777" w:rsidR="004D1514" w:rsidRPr="00894EBA" w:rsidRDefault="004D1514" w:rsidP="00983826">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 xml:space="preserve">Pierwsze zalecenie wdrożono częściowo. Opracowano dokument </w:t>
      </w:r>
      <w:r w:rsidRPr="00811C50">
        <w:rPr>
          <w:rFonts w:ascii="Helvetica" w:hAnsi="Helvetica" w:cs="Helvetica"/>
          <w:i/>
          <w:sz w:val="21"/>
          <w:szCs w:val="21"/>
        </w:rPr>
        <w:t xml:space="preserve">Tryb kompleksowego i cyklicznego badania podatności w obrębie infrastruktury informatycznej </w:t>
      </w:r>
      <w:proofErr w:type="spellStart"/>
      <w:r w:rsidRPr="00811C50">
        <w:rPr>
          <w:rFonts w:ascii="Helvetica" w:hAnsi="Helvetica" w:cs="Helvetica"/>
          <w:i/>
          <w:sz w:val="21"/>
          <w:szCs w:val="21"/>
        </w:rPr>
        <w:t>MRPiPS</w:t>
      </w:r>
      <w:proofErr w:type="spellEnd"/>
      <w:r w:rsidRPr="00894EBA">
        <w:rPr>
          <w:rFonts w:ascii="Helvetica" w:hAnsi="Helvetica" w:cs="Helvetica"/>
          <w:sz w:val="21"/>
          <w:szCs w:val="21"/>
        </w:rPr>
        <w:t>, jednak, w ocenie czynności eksperckich, składał się on z 10 punktów, nie był datowany, właściciel dokumentu nie został oznaczony, na dokumencie nie było akceptacji uprawnionej osoby i przyjęcia do użytkowania. Dokument zawierał w treści szczątkowe informacje na temat kluczowych kroków składających się na podstawowy proces zarządzania podatnościami</w:t>
      </w:r>
      <w:r w:rsidRPr="00893E7C">
        <w:rPr>
          <w:rFonts w:ascii="Helvetica" w:hAnsi="Helvetica" w:cs="Helvetica"/>
          <w:b/>
          <w:color w:val="FF0000"/>
          <w:sz w:val="18"/>
          <w:szCs w:val="18"/>
          <w:vertAlign w:val="superscript"/>
        </w:rPr>
        <w:footnoteReference w:id="51"/>
      </w:r>
      <w:r w:rsidRPr="00894EBA">
        <w:rPr>
          <w:rFonts w:ascii="Helvetica" w:hAnsi="Helvetica" w:cs="Helvetica"/>
          <w:sz w:val="21"/>
          <w:szCs w:val="21"/>
        </w:rPr>
        <w:t>. Ekspert zalecił podjęcie dalszych działań w celu kompletnego wdrożenia zalecenia.</w:t>
      </w:r>
    </w:p>
    <w:p w14:paraId="71A7C71E" w14:textId="77777777" w:rsidR="004D1514" w:rsidRPr="00894EBA" w:rsidRDefault="004D1514" w:rsidP="00983826">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Dokument został zatwierdzony przez Dyrektora DI 11 stycznia 2021 r. i przyjęty do wykonywania przez pracowników. Nie został on jednak uszczegółowiony zgodnie z zaleceniem, tj. dodano do jego treści tylko możliwość badania podatności bezpieczeństwa teleinformatycznego także innymi narzędziami niż dotychczas stosowane oraz zmieniono cykliczność badania podatności (z raz na kwartał na raz na pół roku). Wyjaśniono</w:t>
      </w:r>
      <w:r w:rsidRPr="00893E7C">
        <w:rPr>
          <w:rFonts w:ascii="Helvetica" w:hAnsi="Helvetica" w:cs="Helvetica"/>
          <w:b/>
          <w:color w:val="FF0000"/>
          <w:sz w:val="18"/>
          <w:szCs w:val="18"/>
          <w:vertAlign w:val="superscript"/>
        </w:rPr>
        <w:footnoteReference w:id="52"/>
      </w:r>
      <w:r w:rsidRPr="00894EBA">
        <w:rPr>
          <w:rFonts w:ascii="Helvetica" w:hAnsi="Helvetica" w:cs="Helvetica"/>
          <w:sz w:val="21"/>
          <w:szCs w:val="21"/>
        </w:rPr>
        <w:t>, że zalecenie zostało potraktowane przez DI, jako dotyczące realizacji wskazanej procedury na poziomie wykonawczym, a zatwierdzony dokument zawiera główne czynności administratorów wykonujących badanie podatności systemów.</w:t>
      </w:r>
    </w:p>
    <w:p w14:paraId="4C8ECD06" w14:textId="77777777" w:rsidR="004D1514" w:rsidRPr="00894EBA" w:rsidRDefault="004D1514" w:rsidP="00983826">
      <w:pPr>
        <w:tabs>
          <w:tab w:val="left" w:pos="709"/>
        </w:tabs>
        <w:spacing w:before="60" w:line="300" w:lineRule="atLeast"/>
        <w:jc w:val="both"/>
        <w:rPr>
          <w:rFonts w:ascii="Helvetica" w:hAnsi="Helvetica" w:cs="Helvetica"/>
        </w:rPr>
      </w:pPr>
      <w:r w:rsidRPr="00894EBA">
        <w:rPr>
          <w:rFonts w:ascii="Helvetica" w:hAnsi="Helvetica" w:cs="Helvetica"/>
        </w:rPr>
        <w:t xml:space="preserve">Ocena czynności eksperckich dotyczyła opracowanego dokumentu. Zatem podejmowane działania w obszarze badania podatności, pomimo że wspierają proces zapewnienia BI, nie są wystarczające do realizacji zalecenia audytu. Opracowanie przejrzystej dokumentacji dot. bezpieczeństwa informacji zapewnia sprawność działania </w:t>
      </w:r>
      <w:r w:rsidRPr="00894EBA">
        <w:rPr>
          <w:rFonts w:ascii="Helvetica" w:hAnsi="Helvetica" w:cs="Helvetica"/>
          <w:i/>
        </w:rPr>
        <w:t>SZBI</w:t>
      </w:r>
      <w:r w:rsidRPr="00894EBA">
        <w:rPr>
          <w:rFonts w:ascii="Helvetica" w:hAnsi="Helvetica" w:cs="Helvetica"/>
        </w:rPr>
        <w:t xml:space="preserve"> i stanowi istotny jego element.</w:t>
      </w:r>
    </w:p>
    <w:p w14:paraId="1D5C343A" w14:textId="77777777" w:rsidR="004D1514" w:rsidRPr="00894EBA" w:rsidRDefault="004D1514" w:rsidP="00983826">
      <w:pPr>
        <w:numPr>
          <w:ilvl w:val="1"/>
          <w:numId w:val="2"/>
        </w:numPr>
        <w:tabs>
          <w:tab w:val="num" w:pos="-1139"/>
          <w:tab w:val="left" w:pos="709"/>
        </w:tabs>
        <w:suppressAutoHyphens/>
        <w:spacing w:before="120" w:line="300" w:lineRule="atLeast"/>
        <w:ind w:left="0" w:firstLine="0"/>
        <w:jc w:val="both"/>
        <w:outlineLvl w:val="1"/>
        <w:rPr>
          <w:rFonts w:ascii="Helvetica" w:hAnsi="Helvetica" w:cs="Helvetica"/>
          <w:bCs/>
          <w:szCs w:val="24"/>
        </w:rPr>
      </w:pPr>
      <w:r w:rsidRPr="00894EBA">
        <w:rPr>
          <w:rFonts w:ascii="Helvetica" w:hAnsi="Helvetica" w:cs="Helvetica"/>
          <w:b/>
          <w:bCs/>
          <w:szCs w:val="24"/>
        </w:rPr>
        <w:t>[baza CMDB]</w:t>
      </w:r>
      <w:r w:rsidRPr="00894EBA">
        <w:rPr>
          <w:rFonts w:ascii="Helvetica" w:hAnsi="Helvetica" w:cs="Helvetica"/>
          <w:bCs/>
          <w:szCs w:val="24"/>
        </w:rPr>
        <w:t xml:space="preserve"> Ministerstwo prowadziło inwentaryzację sprzętu i oprogramowania służącego do przetwarzania informacji. Do spełnienia wymogów § 20 ust. 2 pkt 2 Rozporządzenia KRI wymagane jest ujęcie w ewidencjach / rejestrach wszystkich aktywów informatycznych i wskazanie relacji pomiędzy elementami konfiguracji.</w:t>
      </w:r>
    </w:p>
    <w:p w14:paraId="754C4EC3" w14:textId="77777777" w:rsidR="004D1514" w:rsidRPr="00894EBA" w:rsidRDefault="004D1514" w:rsidP="00983826">
      <w:pPr>
        <w:tabs>
          <w:tab w:val="left" w:pos="709"/>
        </w:tabs>
        <w:spacing w:before="60"/>
        <w:ind w:left="567" w:right="538"/>
        <w:jc w:val="both"/>
        <w:rPr>
          <w:rFonts w:ascii="Helvetica" w:hAnsi="Helvetica" w:cs="Helvetica"/>
          <w:sz w:val="21"/>
          <w:szCs w:val="21"/>
        </w:rPr>
      </w:pPr>
      <w:proofErr w:type="spellStart"/>
      <w:r w:rsidRPr="00894EBA">
        <w:rPr>
          <w:rFonts w:ascii="Helvetica" w:hAnsi="Helvetica" w:cs="Helvetica"/>
          <w:sz w:val="21"/>
          <w:szCs w:val="21"/>
        </w:rPr>
        <w:t>MRiPS</w:t>
      </w:r>
      <w:proofErr w:type="spellEnd"/>
      <w:r w:rsidRPr="00894EBA">
        <w:rPr>
          <w:rFonts w:ascii="Helvetica" w:hAnsi="Helvetica" w:cs="Helvetica"/>
          <w:sz w:val="21"/>
          <w:szCs w:val="21"/>
        </w:rPr>
        <w:t xml:space="preserve"> w zakresie inwentaryzacji sprzętu i oprogramowania dysponowało: wykazem serwerowni, wykazem sprzętu komputerowego</w:t>
      </w:r>
      <w:r w:rsidRPr="007B02B2">
        <w:rPr>
          <w:rFonts w:ascii="Helvetica" w:hAnsi="Helvetica" w:cs="Helvetica"/>
          <w:b/>
          <w:color w:val="FF0000"/>
          <w:sz w:val="18"/>
          <w:szCs w:val="18"/>
          <w:vertAlign w:val="superscript"/>
        </w:rPr>
        <w:footnoteReference w:id="53"/>
      </w:r>
      <w:r w:rsidRPr="00894EBA">
        <w:rPr>
          <w:rFonts w:ascii="Helvetica" w:hAnsi="Helvetica" w:cs="Helvetica"/>
          <w:sz w:val="21"/>
          <w:szCs w:val="21"/>
        </w:rPr>
        <w:t>, wykazem urządzeń mobilnych oraz ewidencjami aktywów informacyjnych przetwarzających informacje w sposób cyfrowy</w:t>
      </w:r>
      <w:r w:rsidRPr="004E5CB9">
        <w:rPr>
          <w:rFonts w:ascii="Helvetica" w:hAnsi="Helvetica" w:cs="Helvetica"/>
          <w:b/>
          <w:color w:val="FF0000"/>
          <w:sz w:val="18"/>
          <w:szCs w:val="18"/>
          <w:vertAlign w:val="superscript"/>
        </w:rPr>
        <w:footnoteReference w:id="54"/>
      </w:r>
      <w:r w:rsidRPr="00894EBA">
        <w:rPr>
          <w:rFonts w:ascii="Helvetica" w:hAnsi="Helvetica" w:cs="Helvetica"/>
          <w:sz w:val="21"/>
          <w:szCs w:val="21"/>
        </w:rPr>
        <w:t>. Dokumenty te nie obejmowały jednak wszystkich zidentyfikowanych aktywów informatycznych (np. drukarek, urządzeń wielofunkcyjnych, pendrive’ów, modemów, sprzętu do wideokonferencji). Ponadto nie zawierały danych o oprogramowaniu (w wykazie sprzętu komputerowego wskazano jedynie system operacyjny) i środkach komunikacji, ich rodzaju, parametrach, aktualnej konfiguracji i relacjach między elementami konfiguracji.</w:t>
      </w:r>
    </w:p>
    <w:p w14:paraId="0B7689CD" w14:textId="77777777" w:rsidR="004D1514" w:rsidRPr="00894EBA" w:rsidRDefault="004D1514" w:rsidP="00983826">
      <w:pPr>
        <w:tabs>
          <w:tab w:val="left" w:pos="709"/>
        </w:tabs>
        <w:spacing w:before="60"/>
        <w:ind w:left="567" w:right="538"/>
        <w:jc w:val="both"/>
        <w:rPr>
          <w:rFonts w:ascii="Helvetica" w:hAnsi="Helvetica" w:cs="Helvetica"/>
          <w:bCs/>
          <w:sz w:val="16"/>
          <w:szCs w:val="16"/>
        </w:rPr>
      </w:pPr>
      <w:r w:rsidRPr="00894EBA">
        <w:rPr>
          <w:rFonts w:ascii="Helvetica" w:hAnsi="Helvetica" w:cs="Helvetica"/>
          <w:sz w:val="21"/>
          <w:szCs w:val="21"/>
        </w:rPr>
        <w:t>W opinii</w:t>
      </w:r>
      <w:r w:rsidRPr="004E5CB9">
        <w:rPr>
          <w:rFonts w:ascii="Helvetica" w:hAnsi="Helvetica" w:cs="Helvetica"/>
          <w:b/>
          <w:color w:val="FF0000"/>
          <w:sz w:val="18"/>
          <w:szCs w:val="18"/>
          <w:vertAlign w:val="superscript"/>
        </w:rPr>
        <w:footnoteReference w:id="55"/>
      </w:r>
      <w:r w:rsidRPr="00894EBA">
        <w:rPr>
          <w:rFonts w:ascii="Helvetica" w:hAnsi="Helvetica" w:cs="Helvetica"/>
          <w:sz w:val="21"/>
          <w:szCs w:val="21"/>
        </w:rPr>
        <w:t xml:space="preserve"> Ministerstwa wdrożenie dedykowanego narzędzia kompleksowej, relacyjnej bazy danych CMDB, jest jednym z możliwych rozwiązań ale nie jedynym. Kierując się koniecznością zapewnienia redukcji kosztów wybrano inny sposób gromadzenia tych informacji, przy jednoczesnym spełnieniu warunku zapewnienia ich autentyczności, rozliczalności, niezaprzeczalności i niezawodności. Zdaniem Kontrolowanego Rozporządzenie KRI nie wskazuje na obowiązek prowadzenia i aktualizacji bazy konfiguracji CMDB jako sposobu realizacji zawartych w nim wymagań.</w:t>
      </w:r>
    </w:p>
    <w:p w14:paraId="5D9133CB" w14:textId="77777777" w:rsidR="004D1514" w:rsidRPr="00894EBA" w:rsidRDefault="004D1514" w:rsidP="00983826">
      <w:pPr>
        <w:tabs>
          <w:tab w:val="left" w:pos="709"/>
        </w:tabs>
        <w:spacing w:before="60"/>
        <w:jc w:val="both"/>
        <w:rPr>
          <w:rFonts w:ascii="Helvetica" w:hAnsi="Helvetica" w:cs="Helvetica"/>
          <w:bCs/>
          <w:szCs w:val="24"/>
        </w:rPr>
      </w:pPr>
      <w:r w:rsidRPr="00894EBA">
        <w:rPr>
          <w:rFonts w:ascii="Helvetica" w:hAnsi="Helvetica" w:cs="Helvetica"/>
          <w:bCs/>
          <w:szCs w:val="24"/>
        </w:rPr>
        <w:t xml:space="preserve">W </w:t>
      </w:r>
      <w:r w:rsidRPr="00894EBA">
        <w:rPr>
          <w:rFonts w:ascii="Helvetica" w:hAnsi="Helvetica" w:cs="Helvetica"/>
          <w:bCs/>
          <w:i/>
          <w:szCs w:val="24"/>
        </w:rPr>
        <w:t>Wytycznych dla kontroli działania systemów teleinformatycznych używanych do realizacji zadań publicznych</w:t>
      </w:r>
      <w:r w:rsidRPr="00894EBA">
        <w:rPr>
          <w:rFonts w:ascii="Helvetica" w:hAnsi="Helvetica" w:cs="Helvetica"/>
          <w:b/>
          <w:color w:val="FF0000"/>
          <w:sz w:val="18"/>
          <w:vertAlign w:val="superscript"/>
        </w:rPr>
        <w:footnoteReference w:id="56"/>
      </w:r>
      <w:r w:rsidRPr="00894EBA">
        <w:rPr>
          <w:rFonts w:ascii="Helvetica" w:hAnsi="Helvetica" w:cs="Helvetica"/>
          <w:bCs/>
          <w:szCs w:val="24"/>
        </w:rPr>
        <w:t xml:space="preserve"> w pkt. 2.3. </w:t>
      </w:r>
      <w:r w:rsidRPr="00894EBA">
        <w:rPr>
          <w:rFonts w:ascii="Helvetica" w:hAnsi="Helvetica" w:cs="Helvetica"/>
          <w:bCs/>
          <w:i/>
          <w:szCs w:val="24"/>
        </w:rPr>
        <w:t>Inwentaryzacja sprzętu i oprogramowania informatycznego</w:t>
      </w:r>
      <w:r w:rsidRPr="00894EBA" w:rsidDel="005B3AFC">
        <w:rPr>
          <w:rFonts w:ascii="Helvetica" w:hAnsi="Helvetica" w:cs="Helvetica"/>
          <w:bCs/>
          <w:szCs w:val="24"/>
        </w:rPr>
        <w:t xml:space="preserve"> </w:t>
      </w:r>
      <w:r w:rsidRPr="00894EBA">
        <w:rPr>
          <w:rFonts w:ascii="Helvetica" w:hAnsi="Helvetica" w:cs="Helvetica"/>
          <w:bCs/>
          <w:szCs w:val="24"/>
        </w:rPr>
        <w:t>wskazano, że spełnienie powyższego wymogu oznacza w praktyce posiadanie rejestru zasobów teleinformatycznych (zwanego bazą konfiguracji CMDB). Powinien on zawierać informacje o wszystkich zidentyfikowanych aktywach informatycznych, w tym: szczegółowe dane o urządzeniach technicznych, oprogramowaniu i środkach komunikacji, ich rodzaju, parametrach, aktualnej konfiguracji i relacjach między elementami konfiguracji oraz użytkowniku.</w:t>
      </w:r>
    </w:p>
    <w:p w14:paraId="267CE709" w14:textId="77777777" w:rsidR="004D1514" w:rsidRPr="00894EBA" w:rsidRDefault="004D1514" w:rsidP="00983826">
      <w:pPr>
        <w:tabs>
          <w:tab w:val="left" w:pos="709"/>
        </w:tabs>
        <w:spacing w:before="60"/>
        <w:jc w:val="both"/>
        <w:rPr>
          <w:rFonts w:ascii="Helvetica" w:hAnsi="Helvetica" w:cs="Helvetica"/>
          <w:bCs/>
          <w:szCs w:val="24"/>
        </w:rPr>
      </w:pPr>
      <w:r w:rsidRPr="00894EBA">
        <w:rPr>
          <w:rFonts w:ascii="Helvetica" w:hAnsi="Helvetica" w:cs="Helvetica"/>
          <w:bCs/>
          <w:szCs w:val="24"/>
        </w:rPr>
        <w:t>Przekazane ewidencje / rejestry wymagają uzupełnienia o powyższe elementy dla zapewnienia zgodności z wymogami Rozporządzenia KRI. Nie jest kwestionowany brak dedykowanego specjalistycznego narzędzia do zarządzania infrastrukturą IT, a fakt, że przyjęte przez Ministerstwo rozwiązania nie zapewniają pełnych informacji w tym zakresie. Wybór konkretnego rozwiązania dot. sposobu prowadzenia i aktualizacji inwentaryzacji sprzętu i oprogramowania informatycznego leży w gestii każdej Jednostki. Nie jest ona zobowiązana do korzystania z dedykowanego narzędzia.</w:t>
      </w:r>
    </w:p>
    <w:p w14:paraId="20B81A84" w14:textId="77777777" w:rsidR="004D1514" w:rsidRPr="00894EBA" w:rsidRDefault="004D1514" w:rsidP="00983826">
      <w:pPr>
        <w:tabs>
          <w:tab w:val="left" w:pos="709"/>
        </w:tabs>
        <w:spacing w:before="60"/>
        <w:jc w:val="both"/>
        <w:rPr>
          <w:rFonts w:ascii="Helvetica" w:hAnsi="Helvetica" w:cs="Helvetica"/>
          <w:bCs/>
          <w:szCs w:val="24"/>
        </w:rPr>
      </w:pPr>
      <w:r w:rsidRPr="00894EBA">
        <w:rPr>
          <w:rFonts w:ascii="Helvetica" w:hAnsi="Helvetica" w:cs="Helvetica"/>
          <w:szCs w:val="24"/>
        </w:rPr>
        <w:t>Brak kompletnego rejestru aktywów informatycznych uniemożliwia przeprowadzenie rzetelnej analizy ryzyka i przygotowanie planu postępowania z ryzykiem.</w:t>
      </w:r>
    </w:p>
    <w:p w14:paraId="51DDF00D" w14:textId="77777777" w:rsidR="004D1514" w:rsidRPr="00894EBA" w:rsidRDefault="004D1514" w:rsidP="00983826">
      <w:pPr>
        <w:numPr>
          <w:ilvl w:val="1"/>
          <w:numId w:val="2"/>
        </w:numPr>
        <w:tabs>
          <w:tab w:val="num" w:pos="-1139"/>
          <w:tab w:val="left" w:pos="709"/>
        </w:tabs>
        <w:suppressAutoHyphens/>
        <w:spacing w:before="120" w:line="300" w:lineRule="atLeast"/>
        <w:ind w:left="0" w:firstLine="0"/>
        <w:jc w:val="both"/>
        <w:outlineLvl w:val="1"/>
        <w:rPr>
          <w:rFonts w:ascii="Helvetica" w:hAnsi="Helvetica" w:cs="Helvetica"/>
          <w:bCs/>
          <w:szCs w:val="24"/>
        </w:rPr>
      </w:pPr>
      <w:r w:rsidRPr="00894EBA">
        <w:rPr>
          <w:rFonts w:ascii="Helvetica" w:hAnsi="Helvetica" w:cs="Helvetica"/>
          <w:bCs/>
          <w:szCs w:val="24"/>
        </w:rPr>
        <w:t>PBI IT odnosiła się do zarządzania infrastrukturą informatyczną, określając obowiązek ewidencji zasobów informacyjnych, do których należały także aktywa informatyczne. Uzupełnienia wymaga wskazanie sposobu i zakresu gromadzonych danych.</w:t>
      </w:r>
    </w:p>
    <w:p w14:paraId="4A4F021B" w14:textId="77777777" w:rsidR="004D1514" w:rsidRPr="00894EBA" w:rsidRDefault="004D1514" w:rsidP="00983826">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W PBI IT</w:t>
      </w:r>
      <w:r w:rsidRPr="009F1303">
        <w:rPr>
          <w:rFonts w:ascii="Helvetica" w:hAnsi="Helvetica" w:cs="Helvetica"/>
          <w:b/>
          <w:color w:val="FF0000"/>
          <w:sz w:val="18"/>
          <w:szCs w:val="18"/>
          <w:vertAlign w:val="superscript"/>
        </w:rPr>
        <w:footnoteReference w:id="57"/>
      </w:r>
      <w:r w:rsidRPr="00894EBA">
        <w:rPr>
          <w:rFonts w:ascii="Helvetica" w:hAnsi="Helvetica" w:cs="Helvetica"/>
          <w:sz w:val="21"/>
          <w:szCs w:val="21"/>
        </w:rPr>
        <w:t xml:space="preserve"> wprowadzono obowiązek ewidencji aktywów informacyjnych przetwarzających informacje w sposób cyfrowy. Za aktywa informacyjne uznano</w:t>
      </w:r>
      <w:r w:rsidRPr="009F1303">
        <w:rPr>
          <w:rFonts w:ascii="Helvetica" w:hAnsi="Helvetica" w:cs="Helvetica"/>
          <w:b/>
          <w:color w:val="FF0000"/>
          <w:sz w:val="18"/>
          <w:szCs w:val="18"/>
          <w:vertAlign w:val="superscript"/>
        </w:rPr>
        <w:footnoteReference w:id="58"/>
      </w:r>
      <w:r w:rsidRPr="00894EBA">
        <w:rPr>
          <w:rFonts w:ascii="Helvetica" w:hAnsi="Helvetica" w:cs="Helvetica"/>
          <w:sz w:val="21"/>
          <w:szCs w:val="21"/>
        </w:rPr>
        <w:t xml:space="preserve"> wszelkie zasoby będące informacją i nośnikiem informacji istotne z puntu widzenia Ministerstwa, do których Jednostka posiada prawo majątkowe, m.in. papier, nośniki elektroniczne, bazy danych, komputery osobiste (notebooki, laptopy), systemy informatyczne, systemy operacyjne, serwery, archiwa tradycyjne i cyfrowe. Ewidencje te były prowadzone przez komórki organizacyjne.</w:t>
      </w:r>
    </w:p>
    <w:p w14:paraId="5410A86A" w14:textId="77777777" w:rsidR="004D1514" w:rsidRPr="00894EBA" w:rsidRDefault="004D1514" w:rsidP="00983826">
      <w:pPr>
        <w:tabs>
          <w:tab w:val="left" w:pos="709"/>
        </w:tabs>
        <w:spacing w:before="60"/>
        <w:ind w:left="567" w:right="538"/>
        <w:jc w:val="both"/>
        <w:rPr>
          <w:rFonts w:ascii="Helvetica" w:hAnsi="Helvetica" w:cs="Helvetica"/>
          <w:bCs/>
          <w:sz w:val="21"/>
          <w:szCs w:val="21"/>
        </w:rPr>
      </w:pPr>
      <w:r w:rsidRPr="00894EBA">
        <w:rPr>
          <w:rFonts w:ascii="Helvetica" w:hAnsi="Helvetica" w:cs="Helvetica"/>
          <w:sz w:val="21"/>
          <w:szCs w:val="21"/>
        </w:rPr>
        <w:t>Słabością tych regulacji był jednak brak postanowień dot. sposobu i zakresu gromadzonych danych, w szczególności w odniesieniu do aktywów informatycznych. Wyjaśniono</w:t>
      </w:r>
      <w:r w:rsidRPr="009F1303">
        <w:rPr>
          <w:rFonts w:ascii="Helvetica" w:hAnsi="Helvetica" w:cs="Helvetica"/>
          <w:b/>
          <w:color w:val="FF0000"/>
          <w:sz w:val="18"/>
          <w:szCs w:val="18"/>
          <w:vertAlign w:val="superscript"/>
        </w:rPr>
        <w:footnoteReference w:id="59"/>
      </w:r>
      <w:r w:rsidRPr="00894EBA">
        <w:rPr>
          <w:rFonts w:ascii="Helvetica" w:hAnsi="Helvetica" w:cs="Helvetica"/>
          <w:sz w:val="21"/>
          <w:szCs w:val="21"/>
        </w:rPr>
        <w:t>, że nie wprowadzono regulacji określających wymagania dot. prowadzenia i aktualizacji bazy konfiguracji CMDB, bowiem Ministerstwo nie wykorzystuje narzędzia jakim jest hurtownia danych CMDB.</w:t>
      </w:r>
      <w:r w:rsidR="00983826" w:rsidRPr="00894EBA">
        <w:rPr>
          <w:rFonts w:ascii="Helvetica" w:hAnsi="Helvetica" w:cs="Helvetica"/>
          <w:bCs/>
          <w:sz w:val="21"/>
          <w:szCs w:val="21"/>
        </w:rPr>
        <w:t xml:space="preserve"> </w:t>
      </w:r>
    </w:p>
    <w:p w14:paraId="1E19C5D9" w14:textId="77777777" w:rsidR="004D1514" w:rsidRPr="00894EBA" w:rsidRDefault="004D1514" w:rsidP="00983826">
      <w:pPr>
        <w:tabs>
          <w:tab w:val="left" w:pos="709"/>
        </w:tabs>
        <w:suppressAutoHyphens/>
        <w:spacing w:before="60" w:line="300" w:lineRule="atLeast"/>
        <w:jc w:val="both"/>
        <w:outlineLvl w:val="1"/>
        <w:rPr>
          <w:rFonts w:ascii="Helvetica" w:hAnsi="Helvetica" w:cs="Helvetica"/>
          <w:bCs/>
          <w:szCs w:val="24"/>
        </w:rPr>
      </w:pPr>
      <w:r w:rsidRPr="00894EBA">
        <w:rPr>
          <w:rFonts w:ascii="Helvetica" w:hAnsi="Helvetica" w:cs="Helvetica"/>
          <w:szCs w:val="24"/>
        </w:rPr>
        <w:t>W</w:t>
      </w:r>
      <w:r w:rsidRPr="00894EBA">
        <w:rPr>
          <w:rFonts w:ascii="Helvetica" w:hAnsi="Helvetica" w:cs="Helvetica"/>
          <w:bCs/>
          <w:szCs w:val="24"/>
        </w:rPr>
        <w:t>ybór konkretnego sposobu prowadzenia i aktualizacji inwentaryzacji sprzętu i oprogramowania informatycznego należy do </w:t>
      </w:r>
      <w:proofErr w:type="spellStart"/>
      <w:r w:rsidRPr="00894EBA">
        <w:rPr>
          <w:rFonts w:ascii="Helvetica" w:hAnsi="Helvetica" w:cs="Helvetica"/>
          <w:bCs/>
          <w:szCs w:val="24"/>
        </w:rPr>
        <w:t>MRiPS</w:t>
      </w:r>
      <w:proofErr w:type="spellEnd"/>
      <w:r w:rsidRPr="00894EBA">
        <w:rPr>
          <w:rFonts w:ascii="Helvetica" w:hAnsi="Helvetica" w:cs="Helvetica"/>
          <w:bCs/>
          <w:szCs w:val="24"/>
        </w:rPr>
        <w:t>. Natomiast przyjęte rozwiązania / zasady powinny zostać określone w regulacjach wewnętrznych. Zapewniłoby to wsparcie dla osób zaangażowanych w ten proces w efektywnej realizacji zadań.</w:t>
      </w:r>
    </w:p>
    <w:p w14:paraId="5DC7D96A" w14:textId="77777777" w:rsidR="004D1514" w:rsidRPr="00894EBA" w:rsidRDefault="004D1514" w:rsidP="00983826">
      <w:pPr>
        <w:numPr>
          <w:ilvl w:val="1"/>
          <w:numId w:val="2"/>
        </w:numPr>
        <w:tabs>
          <w:tab w:val="num" w:pos="0"/>
          <w:tab w:val="left" w:pos="709"/>
        </w:tabs>
        <w:suppressAutoHyphens/>
        <w:spacing w:before="120" w:line="300" w:lineRule="atLeast"/>
        <w:ind w:left="0" w:firstLine="0"/>
        <w:jc w:val="both"/>
        <w:outlineLvl w:val="1"/>
        <w:rPr>
          <w:rFonts w:ascii="Helvetica" w:hAnsi="Helvetica" w:cs="Helvetica"/>
          <w:bCs/>
          <w:szCs w:val="24"/>
        </w:rPr>
      </w:pPr>
      <w:r w:rsidRPr="00894EBA">
        <w:rPr>
          <w:rFonts w:ascii="Helvetica" w:hAnsi="Helvetica" w:cs="Helvetica"/>
          <w:b/>
          <w:bCs/>
          <w:szCs w:val="24"/>
        </w:rPr>
        <w:t>[uprawnienia]</w:t>
      </w:r>
      <w:r w:rsidRPr="00894EBA">
        <w:rPr>
          <w:rFonts w:ascii="Helvetica" w:hAnsi="Helvetica" w:cs="Helvetica"/>
          <w:bCs/>
          <w:szCs w:val="24"/>
        </w:rPr>
        <w:t xml:space="preserve"> W Ministerstwie wdrożono regulacje wspierające proces nadawania uprawnień i zapewniające przejrzystość działań w tym obszarze. Wymagają one jedynie aktualizacji w zakresie narzędzia wykorzystywanego do przesyłania i rejestrowania wniosków o nadanie / zmianę uprawnień. Przyjęte natomiast rozwiązania dotyczące odbierania uprawnień nie gwarantują ich skuteczności, przez co niespełniony pozostaje wymóg § 20 ust. 2 pkt 5 Rozporządzenia KRI. Odbieranie uprawnień następuje ze znacznym opóźnieniem w odniesieniu od momentu zakończenia stosunku pracy.</w:t>
      </w:r>
    </w:p>
    <w:p w14:paraId="56ECB191" w14:textId="77777777" w:rsidR="004D1514" w:rsidRPr="00894EBA" w:rsidRDefault="004D1514" w:rsidP="009F1303">
      <w:pPr>
        <w:tabs>
          <w:tab w:val="left" w:pos="709"/>
        </w:tabs>
        <w:spacing w:before="60"/>
        <w:ind w:left="567" w:right="567"/>
        <w:jc w:val="both"/>
        <w:rPr>
          <w:rFonts w:ascii="Helvetica" w:hAnsi="Helvetica" w:cs="Helvetica"/>
          <w:sz w:val="21"/>
          <w:szCs w:val="21"/>
        </w:rPr>
      </w:pPr>
      <w:r w:rsidRPr="00894EBA">
        <w:rPr>
          <w:rFonts w:ascii="Helvetica" w:hAnsi="Helvetica" w:cs="Helvetica"/>
          <w:bCs/>
          <w:sz w:val="21"/>
          <w:szCs w:val="21"/>
        </w:rPr>
        <w:t xml:space="preserve">PBI IT regulowała proces nadawania uprawnień. Kierownik komórki, w której zatrudniony był pracownik określał zakres uprawnień, ograniczając je do niezbędnego minimum, potrzebnego na danym stanowisku. Wnioski elektroniczne były przekazywane do DI, a uprawnienia nadawane przez administratorów poszczególnych systemów. Regulacja ta wprowadzała także wzory wniosków. Zawarto w niej odwołanie do </w:t>
      </w:r>
      <w:r w:rsidRPr="00894EBA">
        <w:rPr>
          <w:rFonts w:ascii="Helvetica" w:hAnsi="Helvetica" w:cs="Helvetica"/>
          <w:sz w:val="21"/>
          <w:szCs w:val="21"/>
        </w:rPr>
        <w:t xml:space="preserve">niewykorzystywanego narzędzia służącego do ich przesyłania, tj. samoobsługowego systemu rejestracji zgłoszeń (http://serwis/maximo/ui/login), który użytkowano do 9 marca 2021 r. PBI IT nie określała natomiast używanego od 2016 r. systemu </w:t>
      </w:r>
      <w:proofErr w:type="spellStart"/>
      <w:r w:rsidRPr="00894EBA">
        <w:rPr>
          <w:rFonts w:ascii="Helvetica" w:hAnsi="Helvetica" w:cs="Helvetica"/>
          <w:sz w:val="21"/>
          <w:szCs w:val="21"/>
        </w:rPr>
        <w:t>eDok</w:t>
      </w:r>
      <w:proofErr w:type="spellEnd"/>
      <w:r w:rsidRPr="00894EBA">
        <w:rPr>
          <w:rFonts w:ascii="Helvetica" w:hAnsi="Helvetica" w:cs="Helvetica"/>
          <w:sz w:val="21"/>
          <w:szCs w:val="21"/>
        </w:rPr>
        <w:t xml:space="preserve">, który służył jako podstawowe narzędzie </w:t>
      </w:r>
      <w:r w:rsidR="00D337DB" w:rsidRPr="00894EBA">
        <w:rPr>
          <w:rFonts w:ascii="Helvetica" w:hAnsi="Helvetica" w:cs="Helvetica"/>
          <w:sz w:val="21"/>
          <w:szCs w:val="21"/>
        </w:rPr>
        <w:t>do</w:t>
      </w:r>
      <w:r w:rsidR="00D337DB">
        <w:rPr>
          <w:rFonts w:ascii="Helvetica" w:hAnsi="Helvetica" w:cs="Helvetica"/>
          <w:sz w:val="21"/>
          <w:szCs w:val="21"/>
        </w:rPr>
        <w:t> </w:t>
      </w:r>
      <w:r w:rsidRPr="00894EBA">
        <w:rPr>
          <w:rFonts w:ascii="Helvetica" w:hAnsi="Helvetica" w:cs="Helvetica"/>
          <w:sz w:val="21"/>
          <w:szCs w:val="21"/>
        </w:rPr>
        <w:t>ich przekazywania. Wyjaśniono</w:t>
      </w:r>
      <w:r w:rsidRPr="00894EBA">
        <w:rPr>
          <w:rFonts w:ascii="Helvetica" w:hAnsi="Helvetica" w:cs="Helvetica"/>
          <w:b/>
          <w:color w:val="FF0000"/>
          <w:sz w:val="18"/>
          <w:vertAlign w:val="superscript"/>
        </w:rPr>
        <w:footnoteReference w:id="60"/>
      </w:r>
      <w:r w:rsidRPr="00894EBA">
        <w:rPr>
          <w:rFonts w:ascii="Helvetica" w:hAnsi="Helvetica" w:cs="Helvetica"/>
          <w:sz w:val="21"/>
          <w:szCs w:val="21"/>
        </w:rPr>
        <w:t xml:space="preserve">, że wszystkie wnioski były przesyłane i rejestrowane w systemie </w:t>
      </w:r>
      <w:proofErr w:type="spellStart"/>
      <w:r w:rsidRPr="00894EBA">
        <w:rPr>
          <w:rFonts w:ascii="Helvetica" w:hAnsi="Helvetica" w:cs="Helvetica"/>
          <w:sz w:val="21"/>
          <w:szCs w:val="21"/>
        </w:rPr>
        <w:t>eDok</w:t>
      </w:r>
      <w:proofErr w:type="spellEnd"/>
      <w:r w:rsidRPr="00894EBA">
        <w:rPr>
          <w:rFonts w:ascii="Helvetica" w:hAnsi="Helvetica" w:cs="Helvetica"/>
          <w:sz w:val="21"/>
          <w:szCs w:val="21"/>
        </w:rPr>
        <w:t xml:space="preserve">. Użytkownicy korzystali z systemu </w:t>
      </w:r>
      <w:hyperlink r:id="rId8" w:history="1">
        <w:r w:rsidRPr="00894EBA">
          <w:rPr>
            <w:rFonts w:ascii="Helvetica" w:hAnsi="Helvetica" w:cs="Helvetica"/>
            <w:sz w:val="21"/>
            <w:szCs w:val="21"/>
          </w:rPr>
          <w:t>http://serwis/maximo/ui/login</w:t>
        </w:r>
      </w:hyperlink>
      <w:r w:rsidRPr="00894EBA">
        <w:rPr>
          <w:rFonts w:ascii="Helvetica" w:hAnsi="Helvetica" w:cs="Helvetica"/>
          <w:sz w:val="21"/>
          <w:szCs w:val="21"/>
        </w:rPr>
        <w:t xml:space="preserve"> sporadycznie.</w:t>
      </w:r>
      <w:r w:rsidRPr="00894EBA">
        <w:rPr>
          <w:rFonts w:ascii="Helvetica" w:hAnsi="Helvetica" w:cs="Helvetica"/>
          <w:szCs w:val="21"/>
        </w:rPr>
        <w:t xml:space="preserve"> </w:t>
      </w:r>
      <w:r w:rsidRPr="00894EBA">
        <w:rPr>
          <w:rFonts w:ascii="Helvetica" w:hAnsi="Helvetica" w:cs="Helvetica"/>
          <w:sz w:val="21"/>
          <w:szCs w:val="21"/>
        </w:rPr>
        <w:t>Zadeklarowano, że postanowienia</w:t>
      </w:r>
      <w:r w:rsidRPr="00894EBA">
        <w:rPr>
          <w:rFonts w:ascii="Helvetica" w:hAnsi="Helvetica" w:cs="Helvetica"/>
          <w:i/>
          <w:sz w:val="21"/>
          <w:szCs w:val="21"/>
        </w:rPr>
        <w:t xml:space="preserve"> </w:t>
      </w:r>
      <w:r w:rsidRPr="00894EBA">
        <w:rPr>
          <w:rFonts w:ascii="Helvetica" w:hAnsi="Helvetica" w:cs="Helvetica"/>
          <w:sz w:val="21"/>
          <w:szCs w:val="21"/>
        </w:rPr>
        <w:t>PBI IT w tym zakresie zostaną zmienione przy najbliższej aktualizacji dokumentu.</w:t>
      </w:r>
    </w:p>
    <w:p w14:paraId="5164DD65" w14:textId="77777777" w:rsidR="004D1514" w:rsidRPr="00894EBA" w:rsidRDefault="004D1514" w:rsidP="009F1303">
      <w:pPr>
        <w:tabs>
          <w:tab w:val="left" w:pos="709"/>
        </w:tabs>
        <w:spacing w:before="60"/>
        <w:ind w:left="567" w:right="567"/>
        <w:jc w:val="both"/>
        <w:rPr>
          <w:rFonts w:ascii="Helvetica" w:hAnsi="Helvetica" w:cs="Helvetica"/>
          <w:sz w:val="21"/>
          <w:szCs w:val="21"/>
        </w:rPr>
      </w:pPr>
      <w:r w:rsidRPr="00894EBA">
        <w:rPr>
          <w:rFonts w:ascii="Helvetica" w:hAnsi="Helvetica" w:cs="Helvetica"/>
          <w:sz w:val="21"/>
          <w:szCs w:val="21"/>
        </w:rPr>
        <w:t>Podstawą odebrania uprawnień był wniosek o odebranie / cofnięcie uprawnień. Zgodnie z PBI IT powinien on niezwłocznie zostać przesłany do DI przez komórkę, w której zatrudniony był pracownik. Uprawnienia cofane były w dniu otrzymania takiego wniosku w </w:t>
      </w:r>
      <w:proofErr w:type="spellStart"/>
      <w:r w:rsidRPr="00894EBA">
        <w:rPr>
          <w:rFonts w:ascii="Helvetica" w:hAnsi="Helvetica" w:cs="Helvetica"/>
          <w:sz w:val="21"/>
          <w:szCs w:val="21"/>
        </w:rPr>
        <w:t>eDok</w:t>
      </w:r>
      <w:proofErr w:type="spellEnd"/>
      <w:r w:rsidRPr="00894EBA">
        <w:rPr>
          <w:rFonts w:ascii="Helvetica" w:hAnsi="Helvetica" w:cs="Helvetica"/>
          <w:sz w:val="21"/>
          <w:szCs w:val="21"/>
        </w:rPr>
        <w:t xml:space="preserve"> przez administratora systemu. Przyjęta zasada, ze względu na brak wyznaczenia terminu przekazania takiego wniosku, nie gwarantowała niezwłocznego odebrania uprawnień, w przypadkach zakończenia świadczenia pracy. Wskazano</w:t>
      </w:r>
      <w:r w:rsidRPr="00894EBA">
        <w:rPr>
          <w:rFonts w:ascii="Helvetica" w:hAnsi="Helvetica" w:cs="Helvetica"/>
          <w:b/>
          <w:color w:val="FF0000"/>
          <w:sz w:val="18"/>
          <w:vertAlign w:val="superscript"/>
        </w:rPr>
        <w:footnoteReference w:id="61"/>
      </w:r>
      <w:r w:rsidRPr="00894EBA">
        <w:rPr>
          <w:rFonts w:ascii="Helvetica" w:hAnsi="Helvetica" w:cs="Helvetica"/>
          <w:sz w:val="21"/>
          <w:szCs w:val="21"/>
        </w:rPr>
        <w:t xml:space="preserve">, że każdy pracownik w związku z ustaniem zatrudnienia obowiązany jest do niezwłocznego zwrotu i rozliczenia się ze sprzętu, co musi zostać potwierdzone na karcie obiegowej. Wg </w:t>
      </w:r>
      <w:proofErr w:type="spellStart"/>
      <w:r w:rsidRPr="00894EBA">
        <w:rPr>
          <w:rFonts w:ascii="Helvetica" w:hAnsi="Helvetica" w:cs="Helvetica"/>
          <w:sz w:val="21"/>
          <w:szCs w:val="21"/>
        </w:rPr>
        <w:t>MRiPS</w:t>
      </w:r>
      <w:proofErr w:type="spellEnd"/>
      <w:r w:rsidRPr="00894EBA">
        <w:rPr>
          <w:rFonts w:ascii="Helvetica" w:hAnsi="Helvetica" w:cs="Helvetica"/>
          <w:sz w:val="21"/>
          <w:szCs w:val="21"/>
        </w:rPr>
        <w:t xml:space="preserve"> dla pracowników DI było </w:t>
      </w:r>
      <w:r w:rsidR="00D337DB" w:rsidRPr="00894EBA">
        <w:rPr>
          <w:rFonts w:ascii="Helvetica" w:hAnsi="Helvetica" w:cs="Helvetica"/>
          <w:sz w:val="21"/>
          <w:szCs w:val="21"/>
        </w:rPr>
        <w:t>to</w:t>
      </w:r>
      <w:r w:rsidR="00D337DB">
        <w:rPr>
          <w:rFonts w:ascii="Helvetica" w:hAnsi="Helvetica" w:cs="Helvetica"/>
          <w:sz w:val="21"/>
          <w:szCs w:val="21"/>
        </w:rPr>
        <w:t> </w:t>
      </w:r>
      <w:r w:rsidRPr="00894EBA">
        <w:rPr>
          <w:rFonts w:ascii="Helvetica" w:hAnsi="Helvetica" w:cs="Helvetica"/>
          <w:sz w:val="21"/>
          <w:szCs w:val="21"/>
        </w:rPr>
        <w:t>równoznaczne z koniecznością odebrania uprawnień pracownikowi.</w:t>
      </w:r>
    </w:p>
    <w:p w14:paraId="258E3DBD" w14:textId="77777777" w:rsidR="004D1514" w:rsidRPr="00894EBA" w:rsidRDefault="004D1514" w:rsidP="009F1303">
      <w:pPr>
        <w:tabs>
          <w:tab w:val="left" w:pos="709"/>
        </w:tabs>
        <w:spacing w:before="60"/>
        <w:ind w:left="567" w:right="567"/>
        <w:jc w:val="both"/>
        <w:rPr>
          <w:rFonts w:ascii="Helvetica" w:hAnsi="Helvetica" w:cs="Helvetica"/>
          <w:sz w:val="21"/>
          <w:szCs w:val="21"/>
        </w:rPr>
      </w:pPr>
      <w:r w:rsidRPr="00894EBA">
        <w:rPr>
          <w:rFonts w:ascii="Helvetica" w:hAnsi="Helvetica" w:cs="Helvetica"/>
          <w:sz w:val="21"/>
          <w:szCs w:val="21"/>
        </w:rPr>
        <w:t>W okresie maj-czerwiec 2021 r. stosunek pracy w Jednostce zakończyło 18</w:t>
      </w:r>
      <w:r w:rsidRPr="00894EBA">
        <w:rPr>
          <w:rFonts w:ascii="Helvetica" w:hAnsi="Helvetica" w:cs="Helvetica"/>
          <w:b/>
          <w:color w:val="FF0000"/>
          <w:sz w:val="18"/>
          <w:vertAlign w:val="superscript"/>
        </w:rPr>
        <w:footnoteReference w:id="62"/>
      </w:r>
      <w:r w:rsidRPr="00894EBA">
        <w:rPr>
          <w:rFonts w:ascii="Helvetica" w:hAnsi="Helvetica" w:cs="Helvetica"/>
          <w:sz w:val="21"/>
          <w:szCs w:val="21"/>
        </w:rPr>
        <w:t> pracowników. Tylko w 2 przypadkach odebranie uprawnień nastąpiło z dniem zakończenia zatrudnienia albo przed tym dniem. W pozostałych 7 przypadkach uprawnienia cofnięto w terminie do 3 dni roboczych od zakończenia zatrudnienia, w 3 przypadkach do 9 dni roboczych, natomiast w pozostałych 6 opóźnienie w zakresie cofnięcia uprawnień było znaczne i wyniosło od 43 do 62 dni roboczych. Zatem mimo obowiązku rozliczenia się ze sprzętu, uprawnienia nie były niezwłocznie cofane.</w:t>
      </w:r>
    </w:p>
    <w:p w14:paraId="5CE35187" w14:textId="77777777" w:rsidR="004D1514" w:rsidRPr="00894EBA" w:rsidRDefault="004D1514" w:rsidP="00983826">
      <w:pPr>
        <w:tabs>
          <w:tab w:val="left" w:pos="709"/>
        </w:tabs>
        <w:spacing w:before="60" w:line="300" w:lineRule="atLeast"/>
        <w:jc w:val="both"/>
        <w:rPr>
          <w:rFonts w:ascii="Helvetica" w:hAnsi="Helvetica" w:cs="Helvetica"/>
          <w:szCs w:val="24"/>
        </w:rPr>
      </w:pPr>
      <w:r w:rsidRPr="00894EBA">
        <w:rPr>
          <w:rFonts w:ascii="Helvetica" w:hAnsi="Helvetica" w:cs="Helvetica"/>
          <w:szCs w:val="24"/>
        </w:rPr>
        <w:t>Wdrożone działania w zakresie cofania uprawnień nie zapewniły niezwłocznego ich odebrania, co wymaga wdrożenia skutecznego rozwiązania.</w:t>
      </w:r>
    </w:p>
    <w:p w14:paraId="17BB8807" w14:textId="77777777" w:rsidR="004D1514" w:rsidRPr="00894EBA" w:rsidRDefault="004D1514" w:rsidP="00983826">
      <w:pPr>
        <w:numPr>
          <w:ilvl w:val="1"/>
          <w:numId w:val="2"/>
        </w:numPr>
        <w:tabs>
          <w:tab w:val="num" w:pos="0"/>
          <w:tab w:val="left" w:pos="709"/>
        </w:tabs>
        <w:suppressAutoHyphens/>
        <w:spacing w:before="60" w:line="300" w:lineRule="atLeast"/>
        <w:ind w:left="0" w:firstLine="0"/>
        <w:jc w:val="both"/>
        <w:outlineLvl w:val="1"/>
        <w:rPr>
          <w:rFonts w:ascii="Helvetica" w:hAnsi="Helvetica" w:cs="Helvetica"/>
          <w:szCs w:val="24"/>
        </w:rPr>
      </w:pPr>
      <w:r w:rsidRPr="00894EBA">
        <w:rPr>
          <w:rFonts w:ascii="Helvetica" w:hAnsi="Helvetica" w:cs="Helvetica"/>
          <w:szCs w:val="24"/>
        </w:rPr>
        <w:t xml:space="preserve">W trzech badanych systemach uprawnienia nadawano prawidłowo, zgodnie z kompetencjami pracowników oraz uprawnieniami wykonawców umów dotyczących utrzymania i rozwoju danego systemu. Funkcjonalności systemów pozwalały na nadanie różnego ich zakresu, a zasada ograniczenia uprawnień do niezbędnego minimum potrzebnego do realizacji zadań była stosowana. Pracownikom zablokowano dostęp do elementów narzędziowych systemów, co zapobiegało wprowadzaniu w nich niepożądanych zmian. W przypadku wykonawców umów mieli oni dostęp jedynie </w:t>
      </w:r>
      <w:r w:rsidR="002D511F" w:rsidRPr="00894EBA">
        <w:rPr>
          <w:rFonts w:ascii="Helvetica" w:hAnsi="Helvetica" w:cs="Helvetica"/>
          <w:szCs w:val="24"/>
        </w:rPr>
        <w:t>do</w:t>
      </w:r>
      <w:r w:rsidR="002D511F">
        <w:rPr>
          <w:rFonts w:ascii="Helvetica" w:hAnsi="Helvetica" w:cs="Helvetica"/>
          <w:szCs w:val="24"/>
        </w:rPr>
        <w:t> </w:t>
      </w:r>
      <w:r w:rsidRPr="00894EBA">
        <w:rPr>
          <w:rFonts w:ascii="Helvetica" w:hAnsi="Helvetica" w:cs="Helvetica"/>
          <w:szCs w:val="24"/>
        </w:rPr>
        <w:t>„swojego” systemu, ponieważ były one od siebie rozdzielone na poziomie sieci.</w:t>
      </w:r>
    </w:p>
    <w:p w14:paraId="105E422C" w14:textId="77777777" w:rsidR="004D1514" w:rsidRPr="00894EBA" w:rsidRDefault="004D1514" w:rsidP="000F6EB1">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 xml:space="preserve">Uprawnienia do 3 badanych systemów w pełnym zakresie nadawane były wyłącznie osobom odpowiedzialnym za administrowanie systemami, natomiast pozostałym zostały ograniczone do niezbędnego minimum potrzebnego do realizacji zadań. Badane systemy gromadziły także informacje o zakresach nadanych uprawnień, niezależnie od złożonych wniosków przechowywanych w </w:t>
      </w:r>
      <w:proofErr w:type="spellStart"/>
      <w:r w:rsidRPr="00894EBA">
        <w:rPr>
          <w:rFonts w:ascii="Helvetica" w:hAnsi="Helvetica" w:cs="Helvetica"/>
          <w:sz w:val="21"/>
          <w:szCs w:val="21"/>
        </w:rPr>
        <w:t>eDok</w:t>
      </w:r>
      <w:proofErr w:type="spellEnd"/>
      <w:r w:rsidRPr="00894EBA">
        <w:rPr>
          <w:rFonts w:ascii="Helvetica" w:hAnsi="Helvetica" w:cs="Helvetica"/>
          <w:sz w:val="21"/>
          <w:szCs w:val="21"/>
        </w:rPr>
        <w:t>. W przypadku tych systemów utworzone zostało także awaryjne konto techniczne administratora centralnego, do którego login i hasło zostało zdeponowane w zabezpieczonym miejscu.</w:t>
      </w:r>
    </w:p>
    <w:p w14:paraId="0B1D4C5B" w14:textId="77777777" w:rsidR="004D1514" w:rsidRPr="00894EBA" w:rsidRDefault="004D1514" w:rsidP="000F6EB1">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Dostępem do elementów narzędziowych systemów dysponowali wyłącznie pracownicy Wydziału Przetwarzania Danych oraz wykonawca umowy odpowiedzialny za utrzymanie i rozwój danego systemu. Wdrażane przez wykonawcę zmiany były nadzorowane przez ASI danego systemu przy współpracy z pracownikami Wydziału Przetwarzania Danych.</w:t>
      </w:r>
    </w:p>
    <w:p w14:paraId="7E0705A3" w14:textId="77777777" w:rsidR="004D1514" w:rsidRPr="00894EBA" w:rsidRDefault="004D1514" w:rsidP="000F6EB1">
      <w:pPr>
        <w:tabs>
          <w:tab w:val="left" w:pos="709"/>
        </w:tabs>
        <w:spacing w:before="60"/>
        <w:ind w:left="567" w:right="538"/>
        <w:jc w:val="both"/>
        <w:rPr>
          <w:rFonts w:ascii="Helvetica" w:hAnsi="Helvetica" w:cs="Helvetica"/>
          <w:sz w:val="16"/>
          <w:szCs w:val="16"/>
        </w:rPr>
      </w:pPr>
      <w:r w:rsidRPr="00894EBA">
        <w:rPr>
          <w:rFonts w:ascii="Helvetica" w:hAnsi="Helvetica" w:cs="Helvetica"/>
          <w:sz w:val="21"/>
          <w:szCs w:val="21"/>
        </w:rPr>
        <w:t xml:space="preserve">Wykonawcy umów dot. utrzymania i rozwoju danego systemu składali wniosek o nadanie uprawnień dla swojego personelu realizującego przedmiot umowy wraz z oświadczeniami tych osób o zapoznaniu się i zobowiązaniu do przestrzegania zasad, reguł i postanowień zawartych w Wyciągu z PBI IT. Na tej podstawie tworzone były dla nich konta. We wniosku wskazywany był okres, na jaki ma być utworzone konto – maksymalny to czas trwania umowy. W umowach wskazywana była również miesięczna gwarancja, zatem w tym okresie, w przypadkach awarii, wykonawca mógł także uzyskać dostęp do systemu. Systemy były od siebie rozdzielone </w:t>
      </w:r>
      <w:r w:rsidR="002D511F" w:rsidRPr="00894EBA">
        <w:rPr>
          <w:rFonts w:ascii="Helvetica" w:hAnsi="Helvetica" w:cs="Helvetica"/>
          <w:sz w:val="21"/>
          <w:szCs w:val="21"/>
        </w:rPr>
        <w:t>na</w:t>
      </w:r>
      <w:r w:rsidR="002D511F">
        <w:rPr>
          <w:rFonts w:ascii="Helvetica" w:hAnsi="Helvetica" w:cs="Helvetica"/>
          <w:sz w:val="21"/>
          <w:szCs w:val="21"/>
        </w:rPr>
        <w:t> </w:t>
      </w:r>
      <w:r w:rsidRPr="00894EBA">
        <w:rPr>
          <w:rFonts w:ascii="Helvetica" w:hAnsi="Helvetica" w:cs="Helvetica"/>
          <w:sz w:val="21"/>
          <w:szCs w:val="21"/>
        </w:rPr>
        <w:t>poziomie sieci, zatem wykonawca miał dostęp tylko do „swojego” systemu. Dostęp do niego następował za pomo</w:t>
      </w:r>
      <w:r w:rsidR="000F6EB1" w:rsidRPr="00894EBA">
        <w:rPr>
          <w:rFonts w:ascii="Helvetica" w:hAnsi="Helvetica" w:cs="Helvetica"/>
          <w:sz w:val="21"/>
          <w:szCs w:val="21"/>
        </w:rPr>
        <w:t>cą szyfrowanego połączenia VPN.</w:t>
      </w:r>
    </w:p>
    <w:p w14:paraId="6E704276" w14:textId="77777777" w:rsidR="004D1514" w:rsidRPr="00894EBA" w:rsidRDefault="004D1514" w:rsidP="00983826">
      <w:pPr>
        <w:numPr>
          <w:ilvl w:val="1"/>
          <w:numId w:val="2"/>
        </w:numPr>
        <w:tabs>
          <w:tab w:val="num" w:pos="0"/>
          <w:tab w:val="left" w:pos="709"/>
        </w:tabs>
        <w:suppressAutoHyphens/>
        <w:spacing w:before="60" w:line="300" w:lineRule="atLeast"/>
        <w:ind w:left="0" w:firstLine="0"/>
        <w:jc w:val="both"/>
        <w:outlineLvl w:val="1"/>
        <w:rPr>
          <w:rFonts w:ascii="Helvetica" w:hAnsi="Helvetica" w:cs="Helvetica"/>
          <w:bCs/>
          <w:szCs w:val="24"/>
        </w:rPr>
      </w:pPr>
      <w:r w:rsidRPr="00894EBA">
        <w:rPr>
          <w:rFonts w:ascii="Helvetica" w:hAnsi="Helvetica" w:cs="Helvetica"/>
          <w:bCs/>
          <w:szCs w:val="24"/>
        </w:rPr>
        <w:t>Dokumentowania wymagają analizy aktywności użytkowników oraz kontrola spójności treści wniosków nadanych uprawnień z ich faktycznym zakresem w trzech badanych systemach.</w:t>
      </w:r>
    </w:p>
    <w:p w14:paraId="63B299A2" w14:textId="77777777" w:rsidR="004D1514" w:rsidRPr="00894EBA" w:rsidRDefault="004D1514" w:rsidP="000F6EB1">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Regulacje</w:t>
      </w:r>
      <w:r w:rsidRPr="00894EBA">
        <w:rPr>
          <w:rFonts w:ascii="Helvetica" w:hAnsi="Helvetica" w:cs="Helvetica"/>
          <w:b/>
          <w:color w:val="FF0000"/>
          <w:sz w:val="18"/>
          <w:vertAlign w:val="superscript"/>
        </w:rPr>
        <w:footnoteReference w:id="63"/>
      </w:r>
      <w:r w:rsidRPr="00894EBA">
        <w:rPr>
          <w:rFonts w:ascii="Helvetica" w:hAnsi="Helvetica" w:cs="Helvetica"/>
          <w:sz w:val="21"/>
          <w:szCs w:val="21"/>
        </w:rPr>
        <w:t xml:space="preserve"> </w:t>
      </w:r>
      <w:proofErr w:type="spellStart"/>
      <w:r w:rsidRPr="00894EBA">
        <w:rPr>
          <w:rFonts w:ascii="Helvetica" w:hAnsi="Helvetica" w:cs="Helvetica"/>
          <w:sz w:val="21"/>
          <w:szCs w:val="21"/>
        </w:rPr>
        <w:t>MRiPS</w:t>
      </w:r>
      <w:proofErr w:type="spellEnd"/>
      <w:r w:rsidRPr="00894EBA">
        <w:rPr>
          <w:rFonts w:ascii="Helvetica" w:hAnsi="Helvetica" w:cs="Helvetica"/>
          <w:sz w:val="21"/>
          <w:szCs w:val="21"/>
        </w:rPr>
        <w:t xml:space="preserve"> wprowadzały obowiązek okresowej kontroli spójności treści wniosków określających zakres uprawnień z ich zakresem nadanym w systemach. Wyjaśniono</w:t>
      </w:r>
      <w:r w:rsidRPr="00894EBA">
        <w:rPr>
          <w:rFonts w:ascii="Helvetica" w:hAnsi="Helvetica" w:cs="Helvetica"/>
          <w:b/>
          <w:color w:val="FF0000"/>
          <w:sz w:val="18"/>
          <w:vertAlign w:val="superscript"/>
        </w:rPr>
        <w:footnoteReference w:id="64"/>
      </w:r>
      <w:r w:rsidRPr="00894EBA">
        <w:rPr>
          <w:rFonts w:ascii="Helvetica" w:hAnsi="Helvetica" w:cs="Helvetica"/>
          <w:sz w:val="21"/>
          <w:szCs w:val="21"/>
        </w:rPr>
        <w:t>, że kontrole takie odbywają się częściej niż raz w roku w związku ze zmianami w strukturze organizacyjnej komórek Ministerstwa oraz zmianami w systemach. W ocenie Ministerstwa</w:t>
      </w:r>
      <w:r w:rsidRPr="00894EBA">
        <w:rPr>
          <w:rFonts w:ascii="Helvetica" w:hAnsi="Helvetica" w:cs="Helvetica"/>
          <w:b/>
          <w:color w:val="FF0000"/>
          <w:sz w:val="18"/>
          <w:vertAlign w:val="superscript"/>
        </w:rPr>
        <w:footnoteReference w:id="65"/>
      </w:r>
      <w:r w:rsidRPr="00894EBA">
        <w:rPr>
          <w:rFonts w:ascii="Helvetica" w:hAnsi="Helvetica" w:cs="Helvetica"/>
          <w:sz w:val="21"/>
          <w:szCs w:val="21"/>
        </w:rPr>
        <w:t xml:space="preserve"> dokumentowanie procesu kontroli spójności byłoby działaniem nadmiarowym.</w:t>
      </w:r>
    </w:p>
    <w:p w14:paraId="55BCC3ED" w14:textId="77777777" w:rsidR="004D1514" w:rsidRPr="00894EBA" w:rsidRDefault="004D1514" w:rsidP="000F6EB1">
      <w:pPr>
        <w:tabs>
          <w:tab w:val="left" w:pos="709"/>
        </w:tabs>
        <w:spacing w:before="60"/>
        <w:ind w:left="567" w:right="538"/>
        <w:jc w:val="both"/>
        <w:rPr>
          <w:rFonts w:ascii="Helvetica" w:hAnsi="Helvetica" w:cs="Helvetica"/>
          <w:i/>
          <w:sz w:val="16"/>
          <w:szCs w:val="16"/>
        </w:rPr>
      </w:pPr>
      <w:r w:rsidRPr="00894EBA">
        <w:rPr>
          <w:rFonts w:ascii="Helvetica" w:hAnsi="Helvetica" w:cs="Helvetica"/>
          <w:sz w:val="21"/>
          <w:szCs w:val="21"/>
        </w:rPr>
        <w:t>Ponadto PBI IT</w:t>
      </w:r>
      <w:r w:rsidRPr="00894EBA">
        <w:rPr>
          <w:rFonts w:ascii="Helvetica" w:hAnsi="Helvetica" w:cs="Helvetica"/>
          <w:b/>
          <w:color w:val="FF0000"/>
          <w:sz w:val="18"/>
          <w:vertAlign w:val="superscript"/>
        </w:rPr>
        <w:footnoteReference w:id="66"/>
      </w:r>
      <w:r w:rsidRPr="00894EBA">
        <w:rPr>
          <w:rFonts w:ascii="Helvetica" w:hAnsi="Helvetica" w:cs="Helvetica"/>
          <w:sz w:val="21"/>
          <w:szCs w:val="21"/>
        </w:rPr>
        <w:t xml:space="preserve"> dla administratorów systemów wprowadzała obowiązek weryfikacji uprawnień nadanych użytkownikom przynajmniej raz w ciągu dwóch lat. Weryfikacja </w:t>
      </w:r>
      <w:r w:rsidR="002D511F" w:rsidRPr="00894EBA">
        <w:rPr>
          <w:rFonts w:ascii="Helvetica" w:hAnsi="Helvetica" w:cs="Helvetica"/>
          <w:sz w:val="21"/>
          <w:szCs w:val="21"/>
        </w:rPr>
        <w:t>ta</w:t>
      </w:r>
      <w:r w:rsidR="002D511F">
        <w:rPr>
          <w:rFonts w:ascii="Helvetica" w:hAnsi="Helvetica" w:cs="Helvetica"/>
          <w:sz w:val="21"/>
          <w:szCs w:val="21"/>
        </w:rPr>
        <w:t> </w:t>
      </w:r>
      <w:r w:rsidRPr="00894EBA">
        <w:rPr>
          <w:rFonts w:ascii="Helvetica" w:hAnsi="Helvetica" w:cs="Helvetica"/>
          <w:sz w:val="21"/>
          <w:szCs w:val="21"/>
        </w:rPr>
        <w:t>w stosunku do 3 badanych systemów polegała na analizie aktywności użytkowników. Jeżeli użytkownik nie logował się do systemu w okresie dłuższym niż rok, jego konto było blokowane. Z procesu tego nie były sporządzane formalne dokumenty, z wyjątkiem statystki usuniętych kont</w:t>
      </w:r>
      <w:r w:rsidRPr="00894EBA">
        <w:rPr>
          <w:rFonts w:ascii="Helvetica" w:hAnsi="Helvetica" w:cs="Helvetica"/>
          <w:i/>
          <w:sz w:val="21"/>
          <w:szCs w:val="21"/>
        </w:rPr>
        <w:t>.</w:t>
      </w:r>
      <w:r w:rsidRPr="00894EBA">
        <w:rPr>
          <w:rFonts w:ascii="Helvetica" w:hAnsi="Helvetica" w:cs="Helvetica"/>
          <w:sz w:val="21"/>
          <w:szCs w:val="21"/>
        </w:rPr>
        <w:t xml:space="preserve"> Wskazano, że przyjęcie tej zasady pozwala na zapewnienie większej efektywności działań pracowników DI oraz pozwala zapewnić na racj</w:t>
      </w:r>
      <w:r w:rsidR="000F6EB1" w:rsidRPr="00894EBA">
        <w:rPr>
          <w:rFonts w:ascii="Helvetica" w:hAnsi="Helvetica" w:cs="Helvetica"/>
          <w:sz w:val="21"/>
          <w:szCs w:val="21"/>
        </w:rPr>
        <w:t>onalnym poziomie zatrudnienie i </w:t>
      </w:r>
      <w:r w:rsidRPr="00894EBA">
        <w:rPr>
          <w:rFonts w:ascii="Helvetica" w:hAnsi="Helvetica" w:cs="Helvetica"/>
          <w:sz w:val="21"/>
          <w:szCs w:val="21"/>
        </w:rPr>
        <w:t>ponoszon</w:t>
      </w:r>
      <w:r w:rsidR="000F6EB1" w:rsidRPr="00894EBA">
        <w:rPr>
          <w:rFonts w:ascii="Helvetica" w:hAnsi="Helvetica" w:cs="Helvetica"/>
          <w:sz w:val="21"/>
          <w:szCs w:val="21"/>
        </w:rPr>
        <w:t xml:space="preserve">e przez </w:t>
      </w:r>
      <w:proofErr w:type="spellStart"/>
      <w:r w:rsidR="000F6EB1" w:rsidRPr="00894EBA">
        <w:rPr>
          <w:rFonts w:ascii="Helvetica" w:hAnsi="Helvetica" w:cs="Helvetica"/>
          <w:sz w:val="21"/>
          <w:szCs w:val="21"/>
        </w:rPr>
        <w:t>MRiPS</w:t>
      </w:r>
      <w:proofErr w:type="spellEnd"/>
      <w:r w:rsidR="000F6EB1" w:rsidRPr="00894EBA">
        <w:rPr>
          <w:rFonts w:ascii="Helvetica" w:hAnsi="Helvetica" w:cs="Helvetica"/>
          <w:sz w:val="21"/>
          <w:szCs w:val="21"/>
        </w:rPr>
        <w:t xml:space="preserve"> koszty osobowe.</w:t>
      </w:r>
    </w:p>
    <w:p w14:paraId="45B54067" w14:textId="77777777" w:rsidR="004D1514" w:rsidRPr="00894EBA" w:rsidRDefault="004D1514" w:rsidP="00983826">
      <w:pPr>
        <w:tabs>
          <w:tab w:val="left" w:pos="709"/>
        </w:tabs>
        <w:spacing w:before="60" w:line="300" w:lineRule="atLeast"/>
        <w:jc w:val="both"/>
        <w:rPr>
          <w:rFonts w:ascii="Helvetica" w:hAnsi="Helvetica" w:cs="Helvetica"/>
          <w:szCs w:val="24"/>
        </w:rPr>
      </w:pPr>
      <w:r w:rsidRPr="00894EBA">
        <w:rPr>
          <w:rFonts w:ascii="Helvetica" w:hAnsi="Helvetica" w:cs="Helvetica"/>
          <w:szCs w:val="24"/>
        </w:rPr>
        <w:t>Nie można zgodzić się, że dokumentowanie czynności podejmowanych w ramach kontroli spójności byłoby działaniem nadmiarowym. Nadawanie właściwych uprawnień wspiera zapewnienie BI, dlatego czynności kontrolne w tym zakresie powinny być dokumentowane. Dokumentowanie jest również ważne z perspektywy nadzoru oraz efektywnego doskonalenia procesu nadawania uprawnień. W odniesieniu do prowadzonych analiz aktywności użytkowników nie można zgodzić się, że sporządzenie wykazu z danymi nt. usuniętych kont raz w roku wymagałoby zwiększenia zatrudnienia i ponoszenia dodatkowych kosztów osobowych.</w:t>
      </w:r>
    </w:p>
    <w:p w14:paraId="55747912" w14:textId="77777777" w:rsidR="004D1514" w:rsidRPr="00894EBA" w:rsidRDefault="004D1514" w:rsidP="00983826">
      <w:pPr>
        <w:numPr>
          <w:ilvl w:val="1"/>
          <w:numId w:val="2"/>
        </w:numPr>
        <w:tabs>
          <w:tab w:val="num" w:pos="0"/>
          <w:tab w:val="left" w:pos="709"/>
        </w:tabs>
        <w:suppressAutoHyphens/>
        <w:spacing w:before="60" w:line="300" w:lineRule="atLeast"/>
        <w:ind w:left="0" w:firstLine="0"/>
        <w:jc w:val="both"/>
        <w:outlineLvl w:val="1"/>
        <w:rPr>
          <w:rFonts w:ascii="Helvetica" w:hAnsi="Helvetica" w:cs="Helvetica"/>
          <w:bCs/>
          <w:sz w:val="20"/>
          <w:szCs w:val="24"/>
        </w:rPr>
      </w:pPr>
      <w:r w:rsidRPr="00894EBA">
        <w:rPr>
          <w:rFonts w:ascii="Helvetica" w:hAnsi="Helvetica" w:cs="Helvetica"/>
          <w:bCs/>
          <w:szCs w:val="24"/>
        </w:rPr>
        <w:t>Zarządzanie hasłami w badanych systemach było realizowane prawidłowo, tj. stosowano zasady złożoności hasła, jego okresowej zmiany oraz ochrony przed udostępnieniem. Zasadnym byłoby wdrożenie rozwiązań w zakresie blokowania dostępu do konta ASI badanych systemów po określonej liczbie prób błędnego logowania. Praktyka nadawania identyfikatorów pozwalała na ustalenie użytkowników, choć uzasadnionym byłoby wprowadzenie jednolitych zasad w zakresie ich tworzenia.</w:t>
      </w:r>
    </w:p>
    <w:p w14:paraId="70559695" w14:textId="77777777" w:rsidR="004D1514" w:rsidRPr="00894EBA" w:rsidRDefault="004D1514" w:rsidP="000F6EB1">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Badane systemy</w:t>
      </w:r>
      <w:r w:rsidRPr="00894EBA">
        <w:rPr>
          <w:rFonts w:ascii="Helvetica" w:hAnsi="Helvetica" w:cs="Helvetica"/>
          <w:b/>
          <w:color w:val="FF0000"/>
          <w:sz w:val="18"/>
          <w:vertAlign w:val="superscript"/>
        </w:rPr>
        <w:footnoteReference w:id="67"/>
      </w:r>
      <w:r w:rsidRPr="00894EBA">
        <w:rPr>
          <w:rFonts w:ascii="Helvetica" w:hAnsi="Helvetica" w:cs="Helvetica"/>
          <w:sz w:val="21"/>
          <w:szCs w:val="21"/>
        </w:rPr>
        <w:t xml:space="preserve"> wymuszały złożoność hasła, okresową jego zmianę, natomiast w przypadku pierwszego logowania zmianę hasła nadanego przez administratora. Określono czas aktywności sesji, po upływie którego systemy rozłączały się, a dostęp do nich wymagał ponownego logowania. Dodatkowo CSIZS i PIU </w:t>
      </w:r>
      <w:proofErr w:type="spellStart"/>
      <w:r w:rsidRPr="00894EBA">
        <w:rPr>
          <w:rFonts w:ascii="Helvetica" w:hAnsi="Helvetica" w:cs="Helvetica"/>
          <w:sz w:val="21"/>
          <w:szCs w:val="21"/>
        </w:rPr>
        <w:t>Emp@tia</w:t>
      </w:r>
      <w:proofErr w:type="spellEnd"/>
      <w:r w:rsidRPr="00894EBA">
        <w:rPr>
          <w:rFonts w:ascii="Helvetica" w:hAnsi="Helvetica" w:cs="Helvetica"/>
          <w:sz w:val="21"/>
          <w:szCs w:val="21"/>
        </w:rPr>
        <w:t xml:space="preserve"> zapamiętywały 5 ostatnich haseł, zapobiegając ich ponownemu wykorzystaniu. SI KDR nie miał takiej funkcjonalności. Uniemożliwiał tylko ponowne wykorzystanie bieżącego hasła. Systemy te nie posiadały funkcjonalności blokowania dostępu po kilku nieudanych próbach logowania, tj. SI KDR blokował taki dostęp po 5 nieudanych próbach, jednak blokada następowała na 10 minut i po upływie tego czasu użytkownik posiadał ponowną możliwość logowania. Tej funkcji nie miały CSIZS i PIU </w:t>
      </w:r>
      <w:proofErr w:type="spellStart"/>
      <w:r w:rsidRPr="00894EBA">
        <w:rPr>
          <w:rFonts w:ascii="Helvetica" w:hAnsi="Helvetica" w:cs="Helvetica"/>
          <w:sz w:val="21"/>
          <w:szCs w:val="21"/>
        </w:rPr>
        <w:t>Emp@tia</w:t>
      </w:r>
      <w:proofErr w:type="spellEnd"/>
      <w:r w:rsidRPr="00894EBA">
        <w:rPr>
          <w:rFonts w:ascii="Helvetica" w:hAnsi="Helvetica" w:cs="Helvetica"/>
          <w:b/>
          <w:color w:val="FF0000"/>
          <w:sz w:val="18"/>
          <w:vertAlign w:val="superscript"/>
        </w:rPr>
        <w:footnoteReference w:id="68"/>
      </w:r>
      <w:r w:rsidRPr="00894EBA">
        <w:rPr>
          <w:rFonts w:ascii="Helvetica" w:hAnsi="Helvetica" w:cs="Helvetica"/>
          <w:sz w:val="21"/>
          <w:szCs w:val="21"/>
        </w:rPr>
        <w:t>.</w:t>
      </w:r>
    </w:p>
    <w:p w14:paraId="1E7EB350" w14:textId="77777777" w:rsidR="004D1514" w:rsidRPr="00894EBA" w:rsidRDefault="004D1514" w:rsidP="000F6EB1">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Wyjaśniono</w:t>
      </w:r>
      <w:r w:rsidRPr="00894EBA">
        <w:rPr>
          <w:rFonts w:ascii="Helvetica" w:hAnsi="Helvetica" w:cs="Helvetica"/>
          <w:b/>
          <w:color w:val="FF0000"/>
          <w:sz w:val="18"/>
          <w:vertAlign w:val="superscript"/>
        </w:rPr>
        <w:footnoteReference w:id="69"/>
      </w:r>
      <w:r w:rsidRPr="00894EBA">
        <w:rPr>
          <w:rFonts w:ascii="Helvetica" w:hAnsi="Helvetica" w:cs="Helvetica"/>
          <w:sz w:val="21"/>
          <w:szCs w:val="21"/>
        </w:rPr>
        <w:t xml:space="preserve">, że w zakresie CSIZS </w:t>
      </w:r>
      <w:proofErr w:type="spellStart"/>
      <w:r w:rsidRPr="00894EBA">
        <w:rPr>
          <w:rFonts w:ascii="Helvetica" w:hAnsi="Helvetica" w:cs="Helvetica"/>
          <w:sz w:val="21"/>
          <w:szCs w:val="21"/>
        </w:rPr>
        <w:t>MRiPS</w:t>
      </w:r>
      <w:proofErr w:type="spellEnd"/>
      <w:r w:rsidRPr="00894EBA">
        <w:rPr>
          <w:rFonts w:ascii="Helvetica" w:hAnsi="Helvetica" w:cs="Helvetica"/>
          <w:sz w:val="21"/>
          <w:szCs w:val="21"/>
        </w:rPr>
        <w:t xml:space="preserve"> rozważy wprowadzenie funkcjonalności blokady dostępu dla administratorów po określonej liczbie błędnych prób logowania. Zasadnym jest jednak wprowadzenie takich rozwiązań dla wszystkich systemów.</w:t>
      </w:r>
    </w:p>
    <w:p w14:paraId="7DB1CE2A" w14:textId="77777777" w:rsidR="004D1514" w:rsidRPr="00894EBA" w:rsidRDefault="004D1514" w:rsidP="000F6EB1">
      <w:pPr>
        <w:tabs>
          <w:tab w:val="left" w:pos="709"/>
        </w:tabs>
        <w:spacing w:before="60"/>
        <w:ind w:left="567" w:right="538"/>
        <w:jc w:val="both"/>
        <w:rPr>
          <w:rFonts w:ascii="Helvetica" w:hAnsi="Helvetica" w:cs="Helvetica"/>
          <w:sz w:val="21"/>
          <w:szCs w:val="21"/>
        </w:rPr>
      </w:pPr>
      <w:proofErr w:type="spellStart"/>
      <w:r w:rsidRPr="00894EBA">
        <w:rPr>
          <w:rFonts w:ascii="Helvetica" w:hAnsi="Helvetica" w:cs="Helvetica"/>
          <w:sz w:val="21"/>
          <w:szCs w:val="21"/>
        </w:rPr>
        <w:t>MRiPS</w:t>
      </w:r>
      <w:proofErr w:type="spellEnd"/>
      <w:r w:rsidRPr="00894EBA">
        <w:rPr>
          <w:rFonts w:ascii="Helvetica" w:hAnsi="Helvetica" w:cs="Helvetica"/>
          <w:sz w:val="21"/>
          <w:szCs w:val="21"/>
        </w:rPr>
        <w:t xml:space="preserve"> nie wdrożyło jednolitych zasad nadawania identyfikatora użytkownika. W przypadku badanych systemów nazwa użytkownika nie mogła tylko za</w:t>
      </w:r>
      <w:r w:rsidR="00894EBA">
        <w:rPr>
          <w:rFonts w:ascii="Helvetica" w:hAnsi="Helvetica" w:cs="Helvetica"/>
          <w:sz w:val="21"/>
          <w:szCs w:val="21"/>
        </w:rPr>
        <w:t>wierać spacji ani być tożsama z </w:t>
      </w:r>
      <w:r w:rsidRPr="00894EBA">
        <w:rPr>
          <w:rFonts w:ascii="Helvetica" w:hAnsi="Helvetica" w:cs="Helvetica"/>
          <w:sz w:val="21"/>
          <w:szCs w:val="21"/>
        </w:rPr>
        <w:t xml:space="preserve">już istniejącą. Każdy użytkownik posiadał niepowtarzalny identyfikator dostępności do systemu, ale sposób jego ustalania był różny. Z reguły składał się on z imienia i nazwiska, imienia i pierwszej litery nazwiska bądź pierwszej litery imienia i nazwiska użytkownika. Wyjątkiem było jedno konto w CSIZS i PIU </w:t>
      </w:r>
      <w:proofErr w:type="spellStart"/>
      <w:r w:rsidRPr="00894EBA">
        <w:rPr>
          <w:rFonts w:ascii="Helvetica" w:hAnsi="Helvetica" w:cs="Helvetica"/>
          <w:sz w:val="21"/>
          <w:szCs w:val="21"/>
        </w:rPr>
        <w:t>Emp@tii</w:t>
      </w:r>
      <w:proofErr w:type="spellEnd"/>
      <w:r w:rsidRPr="00894EBA">
        <w:rPr>
          <w:rFonts w:ascii="Helvetica" w:hAnsi="Helvetica" w:cs="Helvetica"/>
          <w:sz w:val="21"/>
          <w:szCs w:val="21"/>
        </w:rPr>
        <w:t>, gdzie identyfikator skonstruowano w sposób odmienny, jednak identyfikacja użytkownika możliwa była przez zapisy zawarte w profilu konta.</w:t>
      </w:r>
    </w:p>
    <w:p w14:paraId="293F13C0"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szCs w:val="24"/>
        </w:rPr>
      </w:pPr>
      <w:r w:rsidRPr="00894EBA">
        <w:rPr>
          <w:rFonts w:ascii="Helvetica" w:hAnsi="Helvetica" w:cs="Helvetica"/>
          <w:b/>
          <w:bCs/>
          <w:szCs w:val="24"/>
        </w:rPr>
        <w:t xml:space="preserve">[incydenty] </w:t>
      </w:r>
      <w:proofErr w:type="spellStart"/>
      <w:r w:rsidRPr="00894EBA">
        <w:rPr>
          <w:rFonts w:ascii="Helvetica" w:hAnsi="Helvetica" w:cs="Helvetica"/>
          <w:bCs/>
          <w:szCs w:val="24"/>
        </w:rPr>
        <w:t>MRiPS</w:t>
      </w:r>
      <w:proofErr w:type="spellEnd"/>
      <w:r w:rsidRPr="00894EBA">
        <w:rPr>
          <w:rFonts w:ascii="Helvetica" w:hAnsi="Helvetica" w:cs="Helvetica"/>
          <w:bCs/>
          <w:szCs w:val="24"/>
        </w:rPr>
        <w:t xml:space="preserve"> opracowało regulacje dotyczące zarządzania incydentami określające zasady ich zgłaszania oraz klasyfikacji wg trzech poziomów, a także zakres zadań osób zaangażowanych w ten proces.</w:t>
      </w:r>
    </w:p>
    <w:p w14:paraId="73E57534" w14:textId="77777777" w:rsidR="004D1514" w:rsidRPr="00894EBA" w:rsidRDefault="004D1514" w:rsidP="00983826">
      <w:pPr>
        <w:tabs>
          <w:tab w:val="left" w:pos="709"/>
        </w:tabs>
        <w:suppressAutoHyphens/>
        <w:spacing w:before="60" w:line="300" w:lineRule="atLeast"/>
        <w:jc w:val="both"/>
        <w:outlineLvl w:val="1"/>
        <w:rPr>
          <w:rFonts w:ascii="Helvetica" w:hAnsi="Helvetica" w:cs="Helvetica"/>
          <w:szCs w:val="24"/>
        </w:rPr>
      </w:pPr>
      <w:r w:rsidRPr="00894EBA">
        <w:rPr>
          <w:rFonts w:ascii="Helvetica" w:hAnsi="Helvetica" w:cs="Helvetica"/>
          <w:bCs/>
          <w:szCs w:val="24"/>
        </w:rPr>
        <w:t>Obszar ten wymaga jednak udoskonalenia, w szczególności ze względu na wprowadzenie 3</w:t>
      </w:r>
      <w:r w:rsidRPr="00894EBA">
        <w:rPr>
          <w:rFonts w:ascii="Helvetica" w:hAnsi="Helvetica" w:cs="Helvetica"/>
          <w:b/>
          <w:color w:val="FF0000"/>
          <w:sz w:val="18"/>
          <w:szCs w:val="24"/>
          <w:vertAlign w:val="superscript"/>
        </w:rPr>
        <w:footnoteReference w:id="70"/>
      </w:r>
      <w:r w:rsidRPr="00894EBA">
        <w:rPr>
          <w:rFonts w:ascii="Helvetica" w:hAnsi="Helvetica" w:cs="Helvetica"/>
          <w:szCs w:val="24"/>
        </w:rPr>
        <w:t> odmiennych definicji incydentu oraz wskazanie</w:t>
      </w:r>
      <w:r w:rsidRPr="00894EBA">
        <w:rPr>
          <w:rFonts w:ascii="Helvetica" w:hAnsi="Helvetica" w:cs="Helvetica"/>
          <w:b/>
          <w:color w:val="FF0000"/>
          <w:sz w:val="18"/>
          <w:szCs w:val="24"/>
          <w:vertAlign w:val="superscript"/>
        </w:rPr>
        <w:footnoteReference w:id="71"/>
      </w:r>
      <w:r w:rsidRPr="00894EBA">
        <w:rPr>
          <w:rFonts w:ascii="Helvetica" w:hAnsi="Helvetica" w:cs="Helvetica"/>
          <w:szCs w:val="24"/>
        </w:rPr>
        <w:t xml:space="preserve"> nieaktualnych kanałów ich zgłaszania.</w:t>
      </w:r>
    </w:p>
    <w:p w14:paraId="44CE3E88" w14:textId="77777777" w:rsidR="004D1514" w:rsidRPr="00894EBA" w:rsidRDefault="004D1514" w:rsidP="00983826">
      <w:pPr>
        <w:tabs>
          <w:tab w:val="left" w:pos="709"/>
        </w:tabs>
        <w:suppressAutoHyphens/>
        <w:spacing w:before="60" w:line="300" w:lineRule="atLeast"/>
        <w:jc w:val="both"/>
        <w:outlineLvl w:val="1"/>
        <w:rPr>
          <w:rFonts w:ascii="Helvetica" w:hAnsi="Helvetica" w:cs="Helvetica"/>
          <w:szCs w:val="24"/>
        </w:rPr>
      </w:pPr>
      <w:r w:rsidRPr="00894EBA">
        <w:rPr>
          <w:rFonts w:ascii="Helvetica" w:hAnsi="Helvetica" w:cs="Helvetica"/>
          <w:szCs w:val="24"/>
        </w:rPr>
        <w:t xml:space="preserve">Zasadnym byłoby również wdrożenie postanowień dot. zakresu danych, jakie mają być zamieszczane w rejestrze incydentów, monitorowania, wykrywania i analizowania </w:t>
      </w:r>
      <w:r w:rsidRPr="00894EBA">
        <w:rPr>
          <w:rFonts w:ascii="Helvetica" w:hAnsi="Helvetica" w:cs="Helvetica"/>
          <w:bCs/>
          <w:szCs w:val="24"/>
        </w:rPr>
        <w:t>incydentów i ataków, w tym wyszukiwania powiązań oraz szacowania słabości zabezpieczeń, określenia maksymalnego czasu obsługi incydentów dla poszczególnych ich poziomów (poziom niski, średni i wysoki), zasad gromadzenia materiału dowodowego (poziom niski i średni) oraz, w uzasadnionych sytuacjach, mechanizmów umożliwiających monitorowanie rozmiarów i kosztów incydentów.</w:t>
      </w:r>
    </w:p>
    <w:p w14:paraId="3741BDF3" w14:textId="77777777" w:rsidR="004D1514" w:rsidRPr="00894EBA" w:rsidRDefault="004D1514" w:rsidP="00983826">
      <w:pPr>
        <w:tabs>
          <w:tab w:val="left" w:pos="709"/>
        </w:tabs>
        <w:suppressAutoHyphens/>
        <w:spacing w:before="60" w:line="300" w:lineRule="atLeast"/>
        <w:jc w:val="both"/>
        <w:outlineLvl w:val="1"/>
        <w:rPr>
          <w:rFonts w:ascii="Helvetica" w:hAnsi="Helvetica" w:cs="Helvetica"/>
          <w:szCs w:val="24"/>
        </w:rPr>
      </w:pPr>
      <w:r w:rsidRPr="00894EBA">
        <w:rPr>
          <w:rFonts w:ascii="Helvetica" w:hAnsi="Helvetica" w:cs="Helvetica"/>
          <w:szCs w:val="24"/>
        </w:rPr>
        <w:t>Dobrą praktyką było przekazywanie pracownikom informacji zwrotnej dot. zamknięcia incydentu. Kwestia ta ma zostać uwzględniona przy aktualizacji PBI IT</w:t>
      </w:r>
      <w:r w:rsidRPr="00894EBA">
        <w:rPr>
          <w:rFonts w:ascii="Helvetica" w:hAnsi="Helvetica" w:cs="Helvetica"/>
          <w:b/>
          <w:color w:val="FF0000"/>
          <w:sz w:val="18"/>
          <w:szCs w:val="24"/>
          <w:vertAlign w:val="superscript"/>
        </w:rPr>
        <w:footnoteReference w:id="72"/>
      </w:r>
      <w:r w:rsidRPr="00894EBA">
        <w:rPr>
          <w:rFonts w:ascii="Helvetica" w:hAnsi="Helvetica" w:cs="Helvetica"/>
          <w:szCs w:val="24"/>
        </w:rPr>
        <w:t>.</w:t>
      </w:r>
    </w:p>
    <w:p w14:paraId="7020E53F" w14:textId="77777777" w:rsidR="004D1514" w:rsidRPr="00894EBA" w:rsidRDefault="004D1514" w:rsidP="000F6EB1">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Przyjęcie 3 odmiennych definicji incydentu w PBI IT nie zapewniało przejrzystości. Mogło również budzić wątpliwości interpretacyjne, jakie zdarzenia należy uznać za incydent. Jak wyjaśniono</w:t>
      </w:r>
      <w:r w:rsidRPr="00894EBA">
        <w:rPr>
          <w:rFonts w:ascii="Helvetica" w:hAnsi="Helvetica" w:cs="Helvetica"/>
          <w:b/>
          <w:color w:val="FF0000"/>
          <w:sz w:val="18"/>
          <w:vertAlign w:val="superscript"/>
        </w:rPr>
        <w:footnoteReference w:id="73"/>
      </w:r>
      <w:r w:rsidRPr="00894EBA">
        <w:rPr>
          <w:rFonts w:ascii="Helvetica" w:hAnsi="Helvetica" w:cs="Helvetica"/>
          <w:sz w:val="21"/>
          <w:szCs w:val="21"/>
        </w:rPr>
        <w:t>, zróżnicowanie to wynikało ze skierowania regulacji do różnych grup adresatów, o różnym poziomie kompetencji informatycznych. Zadeklarowano jednak, że dokument zostanie ujednolicony przy jego najbliższej aktualizacji</w:t>
      </w:r>
      <w:r w:rsidRPr="00894EBA">
        <w:rPr>
          <w:rFonts w:ascii="Helvetica" w:hAnsi="Helvetica" w:cs="Helvetica"/>
          <w:i/>
          <w:sz w:val="21"/>
          <w:szCs w:val="21"/>
        </w:rPr>
        <w:t>.</w:t>
      </w:r>
    </w:p>
    <w:p w14:paraId="39079726" w14:textId="77777777" w:rsidR="004D1514" w:rsidRPr="00894EBA" w:rsidRDefault="004D1514" w:rsidP="000F6EB1">
      <w:pPr>
        <w:tabs>
          <w:tab w:val="left" w:pos="709"/>
        </w:tabs>
        <w:spacing w:before="60"/>
        <w:ind w:left="567" w:right="538"/>
        <w:jc w:val="both"/>
        <w:rPr>
          <w:rFonts w:ascii="Helvetica" w:hAnsi="Helvetica" w:cs="Helvetica"/>
          <w:b/>
          <w:sz w:val="21"/>
          <w:szCs w:val="21"/>
        </w:rPr>
      </w:pPr>
      <w:r w:rsidRPr="00894EBA">
        <w:rPr>
          <w:rFonts w:ascii="Helvetica" w:hAnsi="Helvetica" w:cs="Helvetica"/>
          <w:sz w:val="21"/>
          <w:szCs w:val="21"/>
        </w:rPr>
        <w:t>PBI IT wskazuje użytkownikom tylko jeden aktualny kanał zgłaszania incydentów, tj. wewnętrzny nr telefonu. Podany w niej samoobsługowy system zgłoszeń (http://serwis/maximo/ui/login) wykorzystywany był do 9 marca 2021 r. i został zastąpiony nowym rozwiązaniem pn. </w:t>
      </w:r>
      <w:proofErr w:type="spellStart"/>
      <w:r w:rsidRPr="00894EBA">
        <w:rPr>
          <w:rFonts w:ascii="Helvetica" w:hAnsi="Helvetica" w:cs="Helvetica"/>
          <w:sz w:val="21"/>
          <w:szCs w:val="21"/>
        </w:rPr>
        <w:t>ServiceDesk</w:t>
      </w:r>
      <w:proofErr w:type="spellEnd"/>
      <w:r w:rsidRPr="00894EBA">
        <w:rPr>
          <w:rFonts w:ascii="Helvetica" w:hAnsi="Helvetica" w:cs="Helvetica"/>
          <w:sz w:val="21"/>
          <w:szCs w:val="21"/>
        </w:rPr>
        <w:t xml:space="preserve"> Plus. Natomiast na skutek zmiany struktury Ministerstwa</w:t>
      </w:r>
      <w:r w:rsidRPr="00894EBA">
        <w:rPr>
          <w:rFonts w:ascii="Helvetica" w:hAnsi="Helvetica" w:cs="Helvetica"/>
          <w:b/>
          <w:color w:val="FF0000"/>
          <w:sz w:val="18"/>
          <w:vertAlign w:val="superscript"/>
        </w:rPr>
        <w:footnoteReference w:id="74"/>
      </w:r>
      <w:r w:rsidRPr="00894EBA">
        <w:rPr>
          <w:rFonts w:ascii="Helvetica" w:hAnsi="Helvetica" w:cs="Helvetica"/>
          <w:sz w:val="21"/>
          <w:szCs w:val="21"/>
        </w:rPr>
        <w:t xml:space="preserve"> nastąpiła także zmiana adresu mejlowego (wskazano incydent@mrpips.gov.pl, podczas gdy aktualny to incydent@mrips.gov.pl). Wyjaśniono</w:t>
      </w:r>
      <w:r w:rsidRPr="00894EBA">
        <w:rPr>
          <w:rFonts w:ascii="Helvetica" w:hAnsi="Helvetica" w:cs="Helvetica"/>
          <w:b/>
          <w:color w:val="FF0000"/>
          <w:sz w:val="18"/>
          <w:vertAlign w:val="superscript"/>
        </w:rPr>
        <w:footnoteReference w:id="75"/>
      </w:r>
      <w:r w:rsidRPr="00894EBA">
        <w:rPr>
          <w:rFonts w:ascii="Helvetica" w:hAnsi="Helvetica" w:cs="Helvetica"/>
          <w:sz w:val="21"/>
          <w:szCs w:val="21"/>
        </w:rPr>
        <w:t>, że stosowne postanowienia PBI IT zostaną zmienione przy jej najbliższej aktualizacji.</w:t>
      </w:r>
    </w:p>
    <w:p w14:paraId="733E70FB" w14:textId="77777777" w:rsidR="004D1514" w:rsidRPr="00894EBA" w:rsidRDefault="004D1514" w:rsidP="000F6EB1">
      <w:pPr>
        <w:tabs>
          <w:tab w:val="left" w:pos="709"/>
        </w:tabs>
        <w:spacing w:before="60"/>
        <w:ind w:left="567" w:right="538"/>
        <w:jc w:val="both"/>
        <w:rPr>
          <w:rFonts w:ascii="Helvetica" w:hAnsi="Helvetica" w:cs="Helvetica"/>
          <w:b/>
          <w:i/>
          <w:sz w:val="21"/>
          <w:szCs w:val="21"/>
        </w:rPr>
      </w:pPr>
      <w:r w:rsidRPr="00894EBA">
        <w:rPr>
          <w:rFonts w:ascii="Helvetica" w:hAnsi="Helvetica" w:cs="Helvetica"/>
          <w:sz w:val="21"/>
          <w:szCs w:val="21"/>
        </w:rPr>
        <w:t>PBI IT zawierała także procedurę gromadzenia materiału dowodowego w sytuacji zgłoszenia zdarzeń w zakresie bezpieczeństwa IT, jednak bez wskazania dla jakiego poziomu incydentów ma być ona uruchamiana. Wyjaśniono</w:t>
      </w:r>
      <w:r w:rsidRPr="00894EBA">
        <w:rPr>
          <w:rFonts w:ascii="Helvetica" w:hAnsi="Helvetica" w:cs="Helvetica"/>
          <w:b/>
          <w:color w:val="FF0000"/>
          <w:sz w:val="18"/>
          <w:vertAlign w:val="superscript"/>
        </w:rPr>
        <w:footnoteReference w:id="76"/>
      </w:r>
      <w:r w:rsidRPr="00894EBA">
        <w:rPr>
          <w:rFonts w:ascii="Helvetica" w:hAnsi="Helvetica" w:cs="Helvetica"/>
          <w:sz w:val="21"/>
          <w:szCs w:val="21"/>
        </w:rPr>
        <w:t>, że dot. ona incydentów i ataków wysokiego poziomu. Wynika z tego, że do pozostałych poziomów (niski, średni) zasady nie zostały opracowane. Wskazano, że doprecyzowanie tej kwestii nastąpi przy najbliższej aktualizacji PBI IT.</w:t>
      </w:r>
    </w:p>
    <w:p w14:paraId="3D8147C4" w14:textId="77777777" w:rsidR="004D1514" w:rsidRPr="00894EBA" w:rsidRDefault="004D1514" w:rsidP="000F6EB1">
      <w:pPr>
        <w:tabs>
          <w:tab w:val="left" w:pos="709"/>
        </w:tabs>
        <w:spacing w:before="60"/>
        <w:ind w:left="567" w:right="538"/>
        <w:jc w:val="both"/>
        <w:rPr>
          <w:rFonts w:ascii="Helvetica" w:hAnsi="Helvetica" w:cs="Helvetica"/>
          <w:b/>
          <w:i/>
          <w:sz w:val="21"/>
          <w:szCs w:val="21"/>
        </w:rPr>
      </w:pPr>
      <w:r w:rsidRPr="00894EBA">
        <w:rPr>
          <w:rFonts w:ascii="Helvetica" w:hAnsi="Helvetica" w:cs="Helvetica"/>
          <w:sz w:val="21"/>
          <w:szCs w:val="21"/>
        </w:rPr>
        <w:t>Natomiast pozostałe elementy wskazane powyżej, o które należałoby rozszerzyć PBI IT, zdaniem Ministerstwa</w:t>
      </w:r>
      <w:r w:rsidRPr="00894EBA">
        <w:rPr>
          <w:rFonts w:ascii="Helvetica" w:hAnsi="Helvetica" w:cs="Helvetica"/>
          <w:b/>
          <w:color w:val="FF0000"/>
          <w:sz w:val="18"/>
          <w:vertAlign w:val="superscript"/>
        </w:rPr>
        <w:footnoteReference w:id="77"/>
      </w:r>
      <w:r w:rsidRPr="00894EBA">
        <w:rPr>
          <w:rFonts w:ascii="Helvetica" w:hAnsi="Helvetica" w:cs="Helvetica"/>
          <w:sz w:val="21"/>
          <w:szCs w:val="21"/>
        </w:rPr>
        <w:t xml:space="preserve"> </w:t>
      </w:r>
      <w:r w:rsidRPr="00894EBA">
        <w:rPr>
          <w:rFonts w:ascii="Helvetica" w:hAnsi="Helvetica" w:cs="Helvetica"/>
          <w:i/>
          <w:sz w:val="21"/>
          <w:szCs w:val="21"/>
        </w:rPr>
        <w:t xml:space="preserve">nie mogą być skodyfikowane w sposób szczegółowy dla każdego incydentu dotyczącego bezpieczeństwa, jaki może w przyszłości nastąpić. </w:t>
      </w:r>
      <w:r w:rsidRPr="00894EBA">
        <w:rPr>
          <w:rFonts w:ascii="Helvetica" w:hAnsi="Helvetica" w:cs="Helvetica"/>
          <w:sz w:val="21"/>
          <w:szCs w:val="21"/>
        </w:rPr>
        <w:t>Dodano również, że</w:t>
      </w:r>
      <w:r w:rsidRPr="00894EBA">
        <w:rPr>
          <w:rFonts w:ascii="Helvetica" w:hAnsi="Helvetica" w:cs="Helvetica"/>
          <w:i/>
          <w:sz w:val="21"/>
          <w:szCs w:val="21"/>
        </w:rPr>
        <w:t> kategoryczne wskazanie czasów obsługi incydentów, groziłoby raczej sparaliżowaniem działań osób rozwiązujących problem ze względu na groźbę przekroczenia terminów, niż motywował</w:t>
      </w:r>
      <w:r w:rsidR="000F6EB1" w:rsidRPr="00894EBA">
        <w:rPr>
          <w:rFonts w:ascii="Helvetica" w:hAnsi="Helvetica" w:cs="Helvetica"/>
          <w:i/>
          <w:sz w:val="21"/>
          <w:szCs w:val="21"/>
        </w:rPr>
        <w:t>a ich do skutecznego działania.</w:t>
      </w:r>
    </w:p>
    <w:p w14:paraId="23AB0A57" w14:textId="77777777" w:rsidR="004D1514" w:rsidRPr="00894EBA" w:rsidRDefault="004D1514" w:rsidP="00983826">
      <w:pPr>
        <w:tabs>
          <w:tab w:val="left" w:pos="709"/>
        </w:tabs>
        <w:spacing w:before="60" w:line="300" w:lineRule="atLeast"/>
        <w:jc w:val="both"/>
        <w:rPr>
          <w:rFonts w:ascii="Helvetica" w:hAnsi="Helvetica" w:cs="Helvetica"/>
          <w:b/>
          <w:szCs w:val="24"/>
        </w:rPr>
      </w:pPr>
      <w:r w:rsidRPr="00894EBA">
        <w:rPr>
          <w:rFonts w:ascii="Helvetica" w:hAnsi="Helvetica" w:cs="Helvetica"/>
          <w:szCs w:val="24"/>
        </w:rPr>
        <w:t>Zgodzić należy się, że tworzenie złożonych regulacji dla każdego z potencjalnych zagrożeń jest niecelowe.</w:t>
      </w:r>
      <w:r w:rsidRPr="00894EBA">
        <w:rPr>
          <w:rFonts w:ascii="Helvetica" w:hAnsi="Helvetica" w:cs="Helvetica"/>
          <w:i/>
          <w:szCs w:val="24"/>
        </w:rPr>
        <w:t xml:space="preserve"> </w:t>
      </w:r>
      <w:r w:rsidRPr="00894EBA">
        <w:rPr>
          <w:rFonts w:ascii="Helvetica" w:hAnsi="Helvetica" w:cs="Helvetica"/>
          <w:szCs w:val="24"/>
        </w:rPr>
        <w:t xml:space="preserve">Natomiast ramowe uregulowanie poszczególnych kwestii ma na celu wskazanie właściwych norm postępowania i wsparcie w efektywnej realizacji zadań. Wyznaczenie maksymalnego czasu na obsługę poszczególnych kategorii incydentów nie jest działaniem mającym </w:t>
      </w:r>
      <w:r w:rsidRPr="00894EBA">
        <w:rPr>
          <w:rFonts w:ascii="Helvetica" w:hAnsi="Helvetica" w:cs="Helvetica"/>
          <w:i/>
          <w:szCs w:val="24"/>
        </w:rPr>
        <w:t>paraliżować</w:t>
      </w:r>
      <w:r w:rsidRPr="00894EBA">
        <w:rPr>
          <w:rFonts w:ascii="Helvetica" w:hAnsi="Helvetica" w:cs="Helvetica"/>
          <w:szCs w:val="24"/>
        </w:rPr>
        <w:t xml:space="preserve"> czynności osób do tego wyznaczonych, a zapewniającym bezpieczeństwo informacji. Niezwłoczne usunięcie danego incydentu może bowiem znacząco wpłynąć na ograniczenie jego skutków.</w:t>
      </w:r>
    </w:p>
    <w:p w14:paraId="73B860CD"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b/>
          <w:szCs w:val="24"/>
        </w:rPr>
      </w:pPr>
      <w:r w:rsidRPr="00894EBA">
        <w:rPr>
          <w:rFonts w:ascii="Helvetica" w:hAnsi="Helvetica" w:cs="Helvetica"/>
          <w:szCs w:val="24"/>
        </w:rPr>
        <w:t>Realizowano obowiązek rejestracji incydentów, zarówno tych pochodzących od pracowników, jak i z CSIRT.GOV.PL. Katalog gromadzonych informacji</w:t>
      </w:r>
      <w:r w:rsidRPr="00894EBA" w:rsidDel="00907DF6">
        <w:rPr>
          <w:rFonts w:ascii="Helvetica" w:hAnsi="Helvetica" w:cs="Helvetica"/>
          <w:szCs w:val="24"/>
        </w:rPr>
        <w:t xml:space="preserve"> </w:t>
      </w:r>
      <w:r w:rsidRPr="00894EBA">
        <w:rPr>
          <w:rFonts w:ascii="Helvetica" w:hAnsi="Helvetica" w:cs="Helvetica"/>
          <w:szCs w:val="24"/>
        </w:rPr>
        <w:t>w rejestrach</w:t>
      </w:r>
      <w:r w:rsidRPr="00894EBA" w:rsidDel="00907DF6">
        <w:rPr>
          <w:rFonts w:ascii="Helvetica" w:hAnsi="Helvetica" w:cs="Helvetica"/>
          <w:szCs w:val="24"/>
        </w:rPr>
        <w:t xml:space="preserve"> </w:t>
      </w:r>
      <w:r w:rsidRPr="00894EBA">
        <w:rPr>
          <w:rFonts w:ascii="Helvetica" w:hAnsi="Helvetica" w:cs="Helvetica"/>
          <w:szCs w:val="24"/>
        </w:rPr>
        <w:t>wymaga rozszerzenia w szczególności o dane osób zgłaszających, przyjmujących i obsługujących incydent/atak, wskazanie do jakiego poziomu został on zakwalifikowany oraz daty i godziny zamknięcia jego obsługi. Zamieszczenie danych osób uczestniczących w procesie zarządzania incydentem zapewniłoby rozliczalność działań, natomiast wskazanie jego poziomu i czasu zamknięcia pozwoliłoby na ocenę skuteczności zastosowanych rozwiązań. Niewątpliwie ocena ta ma wpływ na dobór właściwych zabezpieczeń, dlatego działania w tym zakresie powinny być dokumentowane.</w:t>
      </w:r>
    </w:p>
    <w:p w14:paraId="03669755" w14:textId="77777777" w:rsidR="004D1514" w:rsidRPr="00894EBA" w:rsidRDefault="004D1514" w:rsidP="000F6EB1">
      <w:pPr>
        <w:tabs>
          <w:tab w:val="left" w:pos="709"/>
        </w:tabs>
        <w:spacing w:before="60"/>
        <w:ind w:left="567" w:right="538"/>
        <w:jc w:val="both"/>
        <w:rPr>
          <w:rFonts w:ascii="Helvetica" w:hAnsi="Helvetica" w:cs="Helvetica"/>
          <w:b/>
          <w:sz w:val="21"/>
          <w:szCs w:val="21"/>
        </w:rPr>
      </w:pPr>
      <w:r w:rsidRPr="00894EBA">
        <w:rPr>
          <w:rFonts w:ascii="Helvetica" w:hAnsi="Helvetica" w:cs="Helvetica"/>
          <w:sz w:val="21"/>
          <w:szCs w:val="21"/>
        </w:rPr>
        <w:t>Ministerstwo prowadziło dwa rejestry incydentów. W jednym rejestrowane były incydenty zgłaszane przez pracowników – w badanym okresie odnotowano ich 289. Natomiast w drugim ewidencjonowano incydenty pochodzące z CSIRT.GOV.PL i zarejestrowano ich 27. Zgodnie z wyjaśnieniami</w:t>
      </w:r>
      <w:r w:rsidRPr="00894EBA">
        <w:rPr>
          <w:rFonts w:ascii="Helvetica" w:hAnsi="Helvetica" w:cs="Helvetica"/>
          <w:b/>
          <w:color w:val="FF0000"/>
          <w:sz w:val="18"/>
          <w:vertAlign w:val="superscript"/>
        </w:rPr>
        <w:footnoteReference w:id="78"/>
      </w:r>
      <w:r w:rsidRPr="00894EBA">
        <w:rPr>
          <w:rFonts w:ascii="Helvetica" w:hAnsi="Helvetica" w:cs="Helvetica"/>
          <w:sz w:val="21"/>
          <w:szCs w:val="21"/>
        </w:rPr>
        <w:t>, w okresie kontrolowanym nie odnotowano zdarzeń, które zakwalifikowano jako incydenty wysokiego poziomu, poza jednym, w którym stwierdzono naruszenie danych osobowych. Przypadek ten został udokumentowany.</w:t>
      </w:r>
    </w:p>
    <w:p w14:paraId="11C838ED" w14:textId="77777777" w:rsidR="004D1514" w:rsidRPr="00894EBA" w:rsidRDefault="004D1514" w:rsidP="000F6EB1">
      <w:pPr>
        <w:tabs>
          <w:tab w:val="left" w:pos="709"/>
        </w:tabs>
        <w:spacing w:before="60"/>
        <w:ind w:left="567" w:right="538"/>
        <w:jc w:val="both"/>
        <w:rPr>
          <w:rFonts w:ascii="Helvetica" w:hAnsi="Helvetica" w:cs="Helvetica"/>
          <w:szCs w:val="24"/>
        </w:rPr>
      </w:pPr>
      <w:r w:rsidRPr="00894EBA">
        <w:rPr>
          <w:rFonts w:ascii="Helvetica" w:hAnsi="Helvetica" w:cs="Helvetica"/>
          <w:sz w:val="21"/>
          <w:szCs w:val="21"/>
        </w:rPr>
        <w:t xml:space="preserve">Rejestr incydentów zgłaszanych </w:t>
      </w:r>
      <w:hyperlink r:id="rId9" w:history="1">
        <w:r w:rsidRPr="00894EBA">
          <w:rPr>
            <w:rStyle w:val="Hipercze"/>
            <w:rFonts w:ascii="Helvetica" w:hAnsi="Helvetica" w:cs="Helvetica"/>
            <w:color w:val="auto"/>
            <w:sz w:val="21"/>
            <w:szCs w:val="21"/>
            <w:u w:val="none"/>
          </w:rPr>
          <w:t>przez</w:t>
        </w:r>
      </w:hyperlink>
      <w:r w:rsidRPr="00894EBA">
        <w:rPr>
          <w:rFonts w:ascii="Helvetica" w:hAnsi="Helvetica" w:cs="Helvetica"/>
          <w:sz w:val="21"/>
          <w:szCs w:val="21"/>
        </w:rPr>
        <w:t xml:space="preserve"> pracowników zawierał informacje skąd wpłynęło zgłoszenie, temat, datę i godzinę zgłoszenia oraz sposób rozwiązania incydentu. Z kolei rejestr incydentów pochodzących z CSIRT.GOV.PL. wskazywał nazwę, datę i opis incydentu oraz podjęte działania i wnioski. Zakres informacji, jakie powinny zostać odnotowane w rejestrze nie został uregulowany w PBI IT. W ocenie </w:t>
      </w:r>
      <w:proofErr w:type="spellStart"/>
      <w:r w:rsidRPr="00894EBA">
        <w:rPr>
          <w:rFonts w:ascii="Helvetica" w:hAnsi="Helvetica" w:cs="Helvetica"/>
          <w:sz w:val="21"/>
          <w:szCs w:val="21"/>
        </w:rPr>
        <w:t>MRiPS</w:t>
      </w:r>
      <w:proofErr w:type="spellEnd"/>
      <w:r w:rsidRPr="00894EBA">
        <w:rPr>
          <w:rFonts w:ascii="Helvetica" w:hAnsi="Helvetica" w:cs="Helvetica"/>
          <w:sz w:val="21"/>
          <w:szCs w:val="21"/>
        </w:rPr>
        <w:t xml:space="preserve"> nieokreślenie tej kwestii nie wpływa na rzetelność rejestrów oraz gromadzenia w nich istotnych informacji.</w:t>
      </w:r>
      <w:r w:rsidRPr="00894EBA">
        <w:rPr>
          <w:rFonts w:ascii="Helvetica" w:hAnsi="Helvetica" w:cs="Helvetica"/>
          <w:i/>
          <w:sz w:val="21"/>
          <w:szCs w:val="21"/>
        </w:rPr>
        <w:t xml:space="preserve"> </w:t>
      </w:r>
      <w:r w:rsidRPr="00894EBA">
        <w:rPr>
          <w:rFonts w:ascii="Helvetica" w:hAnsi="Helvetica" w:cs="Helvetica"/>
          <w:sz w:val="21"/>
          <w:szCs w:val="21"/>
        </w:rPr>
        <w:t>Dodano również</w:t>
      </w:r>
      <w:r w:rsidRPr="00894EBA">
        <w:rPr>
          <w:rFonts w:ascii="Helvetica" w:hAnsi="Helvetica" w:cs="Helvetica"/>
          <w:b/>
          <w:color w:val="FF0000"/>
          <w:sz w:val="18"/>
          <w:vertAlign w:val="superscript"/>
        </w:rPr>
        <w:footnoteReference w:id="79"/>
      </w:r>
      <w:r w:rsidRPr="00894EBA">
        <w:rPr>
          <w:rFonts w:ascii="Helvetica" w:hAnsi="Helvetica" w:cs="Helvetica"/>
          <w:sz w:val="21"/>
          <w:szCs w:val="21"/>
        </w:rPr>
        <w:t>, że przyjęty zakres danych związanych ze zgłoszonymi zdarzeniami, które zawiera obecnie rejestr, jest wystarczający dla dokumentowania działań pracowników DI w tym zakresie.</w:t>
      </w:r>
      <w:r w:rsidRPr="00894EBA">
        <w:rPr>
          <w:rFonts w:ascii="Helvetica" w:hAnsi="Helvetica" w:cs="Helvetica"/>
          <w:i/>
          <w:sz w:val="21"/>
          <w:szCs w:val="21"/>
        </w:rPr>
        <w:t xml:space="preserve"> </w:t>
      </w:r>
      <w:r w:rsidRPr="00894EBA">
        <w:rPr>
          <w:rFonts w:ascii="Helvetica" w:hAnsi="Helvetica" w:cs="Helvetica"/>
          <w:sz w:val="21"/>
          <w:szCs w:val="21"/>
        </w:rPr>
        <w:t>Zadeklarowano, że działania związane z analizą rejestrów w celu doskonalenia stosowanych zabezpieczeń były realizowane, choć działań tych nie dokumentowano</w:t>
      </w:r>
      <w:r w:rsidRPr="00894EBA">
        <w:rPr>
          <w:rFonts w:ascii="Helvetica" w:hAnsi="Helvetica" w:cs="Helvetica"/>
          <w:b/>
          <w:color w:val="FF0000"/>
          <w:sz w:val="18"/>
          <w:vertAlign w:val="superscript"/>
        </w:rPr>
        <w:footnoteReference w:id="80"/>
      </w:r>
      <w:r w:rsidRPr="00894EBA">
        <w:rPr>
          <w:rFonts w:ascii="Helvetica" w:hAnsi="Helvetica" w:cs="Helvetica"/>
          <w:sz w:val="21"/>
          <w:szCs w:val="21"/>
        </w:rPr>
        <w:t>.</w:t>
      </w:r>
    </w:p>
    <w:p w14:paraId="493C938B" w14:textId="77777777" w:rsidR="004D1514" w:rsidRPr="00894EBA" w:rsidRDefault="004D1514" w:rsidP="00983826">
      <w:pPr>
        <w:tabs>
          <w:tab w:val="left" w:pos="709"/>
        </w:tabs>
        <w:spacing w:before="60" w:line="300" w:lineRule="atLeast"/>
        <w:jc w:val="both"/>
        <w:rPr>
          <w:rFonts w:ascii="Helvetica" w:hAnsi="Helvetica" w:cs="Helvetica"/>
          <w:szCs w:val="24"/>
        </w:rPr>
      </w:pPr>
      <w:r w:rsidRPr="00894EBA">
        <w:rPr>
          <w:rFonts w:ascii="Helvetica" w:hAnsi="Helvetica" w:cs="Helvetica"/>
          <w:szCs w:val="24"/>
        </w:rPr>
        <w:t>Brak dokumentowania analiz re</w:t>
      </w:r>
      <w:r w:rsidR="00B66120">
        <w:rPr>
          <w:rFonts w:ascii="Helvetica" w:hAnsi="Helvetica" w:cs="Helvetica"/>
          <w:szCs w:val="24"/>
        </w:rPr>
        <w:t xml:space="preserve">jestru incydentów uniemożliwia </w:t>
      </w:r>
      <w:r w:rsidRPr="00894EBA">
        <w:rPr>
          <w:rFonts w:ascii="Helvetica" w:hAnsi="Helvetica" w:cs="Helvetica"/>
          <w:szCs w:val="24"/>
        </w:rPr>
        <w:t xml:space="preserve">ocenę skuteczności podjętych działań, które są istotne w procesie doskonalenia </w:t>
      </w:r>
      <w:r w:rsidRPr="00894EBA">
        <w:rPr>
          <w:rFonts w:ascii="Helvetica" w:hAnsi="Helvetica" w:cs="Helvetica"/>
          <w:i/>
          <w:szCs w:val="24"/>
        </w:rPr>
        <w:t>SZBI</w:t>
      </w:r>
      <w:r w:rsidRPr="00894EBA">
        <w:rPr>
          <w:rFonts w:ascii="Helvetica" w:hAnsi="Helvetica" w:cs="Helvetica"/>
          <w:szCs w:val="24"/>
        </w:rPr>
        <w:t>. Brak czasu zamknięcia incydentu nie pozwala na uzyskanie informacji, w przypadku których incydentów wystąpiły największe problemy z ich usunięciem i w stosunku do których należy wzmocnić zabezpieczenia. A niewskazanie poziomu incydentu ma wpływ na ocenę adekwatności podjętych działań.</w:t>
      </w:r>
    </w:p>
    <w:p w14:paraId="33F52539"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szCs w:val="24"/>
        </w:rPr>
      </w:pPr>
      <w:r w:rsidRPr="00894EBA">
        <w:rPr>
          <w:rFonts w:ascii="Helvetica" w:hAnsi="Helvetica" w:cs="Helvetica"/>
          <w:b/>
          <w:szCs w:val="24"/>
        </w:rPr>
        <w:t>[szkolenia]</w:t>
      </w:r>
      <w:r w:rsidRPr="00894EBA">
        <w:rPr>
          <w:rFonts w:ascii="Helvetica" w:hAnsi="Helvetica" w:cs="Helvetica"/>
          <w:szCs w:val="24"/>
        </w:rPr>
        <w:t xml:space="preserve"> Wynikający z regulacji wewnętrznych obowiązek organizacji szkoleń w zakresie bezpieczeństwa informacji dla pracowników nie rzadziej niż raz na 2 lata, nie został spełniony. Od cyklu szkoleń e-learningowych zrealiz</w:t>
      </w:r>
      <w:r w:rsidR="00894EBA">
        <w:rPr>
          <w:rFonts w:ascii="Helvetica" w:hAnsi="Helvetica" w:cs="Helvetica"/>
          <w:szCs w:val="24"/>
        </w:rPr>
        <w:t>owanych w marcu i kwietniu 2019 </w:t>
      </w:r>
      <w:r w:rsidRPr="00894EBA">
        <w:rPr>
          <w:rFonts w:ascii="Helvetica" w:hAnsi="Helvetica" w:cs="Helvetica"/>
          <w:szCs w:val="24"/>
        </w:rPr>
        <w:t>r., w wyniku których przeszkolono znacz</w:t>
      </w:r>
      <w:r w:rsidR="003E1E04">
        <w:rPr>
          <w:rFonts w:ascii="Helvetica" w:hAnsi="Helvetica" w:cs="Helvetica"/>
          <w:szCs w:val="24"/>
        </w:rPr>
        <w:t>n</w:t>
      </w:r>
      <w:r w:rsidRPr="00894EBA">
        <w:rPr>
          <w:rFonts w:ascii="Helvetica" w:hAnsi="Helvetica" w:cs="Helvetica"/>
          <w:szCs w:val="24"/>
        </w:rPr>
        <w:t>ą część pracowników (438), ten okres minął. Na dzień 27 maja 2021 r. powyższy wymóg został spełnio</w:t>
      </w:r>
      <w:r w:rsidR="00894EBA">
        <w:rPr>
          <w:rFonts w:ascii="Helvetica" w:hAnsi="Helvetica" w:cs="Helvetica"/>
          <w:szCs w:val="24"/>
        </w:rPr>
        <w:t>ny jedynie w odniesieniu do 4 z </w:t>
      </w:r>
      <w:r w:rsidRPr="00894EBA">
        <w:rPr>
          <w:rFonts w:ascii="Helvetica" w:hAnsi="Helvetica" w:cs="Helvetica"/>
          <w:szCs w:val="24"/>
        </w:rPr>
        <w:t xml:space="preserve">463 pracowników </w:t>
      </w:r>
      <w:proofErr w:type="spellStart"/>
      <w:r w:rsidRPr="00894EBA">
        <w:rPr>
          <w:rFonts w:ascii="Helvetica" w:hAnsi="Helvetica" w:cs="Helvetica"/>
          <w:szCs w:val="24"/>
        </w:rPr>
        <w:t>MRiPS</w:t>
      </w:r>
      <w:proofErr w:type="spellEnd"/>
      <w:r w:rsidRPr="00894EBA">
        <w:rPr>
          <w:rFonts w:ascii="Helvetica" w:hAnsi="Helvetica" w:cs="Helvetica"/>
          <w:szCs w:val="24"/>
        </w:rPr>
        <w:t>. Wpływ na to miała sytuacja epidemiologiczna.</w:t>
      </w:r>
    </w:p>
    <w:p w14:paraId="5EA1BA7F" w14:textId="77777777" w:rsidR="004D1514" w:rsidRPr="00894EBA" w:rsidRDefault="004D1514" w:rsidP="000F6EB1">
      <w:pPr>
        <w:tabs>
          <w:tab w:val="left" w:pos="709"/>
        </w:tabs>
        <w:suppressAutoHyphens/>
        <w:spacing w:before="60"/>
        <w:ind w:left="567" w:right="538"/>
        <w:jc w:val="both"/>
        <w:outlineLvl w:val="1"/>
        <w:rPr>
          <w:rFonts w:ascii="Helvetica" w:hAnsi="Helvetica" w:cs="Helvetica"/>
          <w:sz w:val="21"/>
          <w:szCs w:val="21"/>
        </w:rPr>
      </w:pPr>
      <w:r w:rsidRPr="00894EBA">
        <w:rPr>
          <w:rFonts w:ascii="Helvetica" w:hAnsi="Helvetica" w:cs="Helvetica"/>
          <w:sz w:val="21"/>
          <w:szCs w:val="21"/>
        </w:rPr>
        <w:t xml:space="preserve">W 2019 r. </w:t>
      </w:r>
      <w:proofErr w:type="spellStart"/>
      <w:r w:rsidRPr="00894EBA">
        <w:rPr>
          <w:rFonts w:ascii="Helvetica" w:hAnsi="Helvetica" w:cs="Helvetica"/>
          <w:sz w:val="21"/>
          <w:szCs w:val="21"/>
        </w:rPr>
        <w:t>MRPiPS</w:t>
      </w:r>
      <w:proofErr w:type="spellEnd"/>
      <w:r w:rsidRPr="00894EBA">
        <w:rPr>
          <w:rFonts w:ascii="Helvetica" w:hAnsi="Helvetica" w:cs="Helvetica"/>
          <w:sz w:val="21"/>
          <w:szCs w:val="21"/>
        </w:rPr>
        <w:t xml:space="preserve"> przeprowadziło następujące szkolenia:</w:t>
      </w:r>
    </w:p>
    <w:p w14:paraId="7D7C7C37" w14:textId="77777777" w:rsidR="004D1514" w:rsidRPr="00894EBA" w:rsidRDefault="004D1514" w:rsidP="00894EBA">
      <w:pPr>
        <w:numPr>
          <w:ilvl w:val="0"/>
          <w:numId w:val="24"/>
        </w:numPr>
        <w:tabs>
          <w:tab w:val="left" w:pos="709"/>
        </w:tabs>
        <w:spacing w:before="40"/>
        <w:ind w:left="1134" w:hanging="283"/>
        <w:jc w:val="both"/>
        <w:rPr>
          <w:rFonts w:ascii="Helvetica" w:hAnsi="Helvetica" w:cs="Helvetica"/>
        </w:rPr>
      </w:pPr>
      <w:r w:rsidRPr="00894EBA">
        <w:rPr>
          <w:rFonts w:ascii="Helvetica" w:hAnsi="Helvetica" w:cs="Helvetica"/>
          <w:sz w:val="21"/>
          <w:szCs w:val="21"/>
        </w:rPr>
        <w:t xml:space="preserve">cykl szkoleń e-learningowych pn. </w:t>
      </w:r>
      <w:r w:rsidRPr="00894EBA">
        <w:rPr>
          <w:rFonts w:ascii="Helvetica" w:hAnsi="Helvetica" w:cs="Helvetica"/>
          <w:i/>
          <w:sz w:val="21"/>
          <w:szCs w:val="21"/>
        </w:rPr>
        <w:t xml:space="preserve">Bezpieczny pracownik w cyberprzestrzeni </w:t>
      </w:r>
      <w:r w:rsidRPr="00894EBA">
        <w:rPr>
          <w:rFonts w:ascii="Helvetica" w:hAnsi="Helvetica" w:cs="Helvetica"/>
          <w:sz w:val="21"/>
          <w:szCs w:val="21"/>
        </w:rPr>
        <w:t>dla 438 pracowników (marzec-kwiecień);</w:t>
      </w:r>
    </w:p>
    <w:p w14:paraId="2BB64145" w14:textId="77777777" w:rsidR="004D1514" w:rsidRPr="00894EBA" w:rsidRDefault="004D1514" w:rsidP="00894EBA">
      <w:pPr>
        <w:numPr>
          <w:ilvl w:val="0"/>
          <w:numId w:val="24"/>
        </w:numPr>
        <w:tabs>
          <w:tab w:val="left" w:pos="709"/>
        </w:tabs>
        <w:spacing w:before="40"/>
        <w:ind w:left="1134" w:hanging="283"/>
        <w:jc w:val="both"/>
        <w:rPr>
          <w:rFonts w:ascii="Helvetica" w:hAnsi="Helvetica" w:cs="Helvetica"/>
        </w:rPr>
      </w:pPr>
      <w:r w:rsidRPr="00894EBA">
        <w:rPr>
          <w:rFonts w:ascii="Helvetica" w:hAnsi="Helvetica" w:cs="Helvetica"/>
          <w:i/>
          <w:sz w:val="21"/>
          <w:szCs w:val="21"/>
        </w:rPr>
        <w:t xml:space="preserve">Bezpieczeństwo aplikacji mobilnych </w:t>
      </w:r>
      <w:r w:rsidRPr="00894EBA">
        <w:rPr>
          <w:rFonts w:ascii="Helvetica" w:hAnsi="Helvetica" w:cs="Helvetica"/>
          <w:sz w:val="21"/>
          <w:szCs w:val="21"/>
        </w:rPr>
        <w:t>dla 1 pracownika (październik);</w:t>
      </w:r>
    </w:p>
    <w:p w14:paraId="09F2AE24" w14:textId="77777777" w:rsidR="004D1514" w:rsidRPr="00894EBA" w:rsidRDefault="004D1514" w:rsidP="00894EBA">
      <w:pPr>
        <w:numPr>
          <w:ilvl w:val="0"/>
          <w:numId w:val="24"/>
        </w:numPr>
        <w:tabs>
          <w:tab w:val="left" w:pos="709"/>
        </w:tabs>
        <w:spacing w:before="40"/>
        <w:ind w:left="1134" w:hanging="283"/>
        <w:jc w:val="both"/>
        <w:rPr>
          <w:rFonts w:ascii="Helvetica" w:hAnsi="Helvetica" w:cs="Helvetica"/>
        </w:rPr>
      </w:pPr>
      <w:r w:rsidRPr="00894EBA">
        <w:rPr>
          <w:rFonts w:ascii="Helvetica" w:hAnsi="Helvetica" w:cs="Helvetica"/>
          <w:i/>
          <w:sz w:val="21"/>
          <w:szCs w:val="21"/>
        </w:rPr>
        <w:t>Audyt systemów bezpieczeństwa informacji</w:t>
      </w:r>
      <w:r w:rsidRPr="00894EBA">
        <w:rPr>
          <w:rFonts w:ascii="Helvetica" w:hAnsi="Helvetica" w:cs="Helvetica"/>
          <w:sz w:val="21"/>
          <w:szCs w:val="21"/>
        </w:rPr>
        <w:t xml:space="preserve"> dla 1</w:t>
      </w:r>
      <w:r w:rsidRPr="00894EBA">
        <w:rPr>
          <w:rFonts w:ascii="Helvetica" w:hAnsi="Helvetica" w:cs="Helvetica"/>
          <w:b/>
          <w:color w:val="FF0000"/>
          <w:sz w:val="18"/>
          <w:szCs w:val="18"/>
          <w:vertAlign w:val="superscript"/>
        </w:rPr>
        <w:footnoteReference w:id="81"/>
      </w:r>
      <w:r w:rsidRPr="00894EBA">
        <w:rPr>
          <w:rFonts w:ascii="Helvetica" w:hAnsi="Helvetica" w:cs="Helvetica"/>
          <w:sz w:val="21"/>
          <w:szCs w:val="21"/>
        </w:rPr>
        <w:t xml:space="preserve"> pracownika (listopad);</w:t>
      </w:r>
    </w:p>
    <w:p w14:paraId="3E0F45CA" w14:textId="77777777" w:rsidR="004D1514" w:rsidRPr="00894EBA" w:rsidRDefault="004D1514" w:rsidP="00894EBA">
      <w:pPr>
        <w:numPr>
          <w:ilvl w:val="0"/>
          <w:numId w:val="24"/>
        </w:numPr>
        <w:tabs>
          <w:tab w:val="left" w:pos="709"/>
        </w:tabs>
        <w:spacing w:before="40"/>
        <w:ind w:left="1134" w:hanging="283"/>
        <w:jc w:val="both"/>
        <w:rPr>
          <w:rFonts w:ascii="Helvetica" w:hAnsi="Helvetica" w:cs="Helvetica"/>
        </w:rPr>
      </w:pPr>
      <w:r w:rsidRPr="00894EBA">
        <w:rPr>
          <w:rFonts w:ascii="Helvetica" w:hAnsi="Helvetica" w:cs="Helvetica"/>
          <w:i/>
          <w:sz w:val="21"/>
          <w:szCs w:val="21"/>
        </w:rPr>
        <w:t xml:space="preserve">Informatyka śledcza – </w:t>
      </w:r>
      <w:proofErr w:type="spellStart"/>
      <w:r w:rsidRPr="00894EBA">
        <w:rPr>
          <w:rFonts w:ascii="Helvetica" w:hAnsi="Helvetica" w:cs="Helvetica"/>
          <w:i/>
          <w:sz w:val="21"/>
          <w:szCs w:val="21"/>
        </w:rPr>
        <w:t>computer</w:t>
      </w:r>
      <w:proofErr w:type="spellEnd"/>
      <w:r w:rsidRPr="00894EBA">
        <w:rPr>
          <w:rFonts w:ascii="Helvetica" w:hAnsi="Helvetica" w:cs="Helvetica"/>
          <w:i/>
          <w:sz w:val="21"/>
          <w:szCs w:val="21"/>
        </w:rPr>
        <w:t xml:space="preserve"> </w:t>
      </w:r>
      <w:proofErr w:type="spellStart"/>
      <w:r w:rsidRPr="00894EBA">
        <w:rPr>
          <w:rFonts w:ascii="Helvetica" w:hAnsi="Helvetica" w:cs="Helvetica"/>
          <w:i/>
          <w:sz w:val="21"/>
          <w:szCs w:val="21"/>
        </w:rPr>
        <w:t>forensics</w:t>
      </w:r>
      <w:proofErr w:type="spellEnd"/>
      <w:r w:rsidRPr="00894EBA">
        <w:rPr>
          <w:rFonts w:ascii="Helvetica" w:hAnsi="Helvetica" w:cs="Helvetica"/>
          <w:i/>
          <w:sz w:val="21"/>
          <w:szCs w:val="21"/>
        </w:rPr>
        <w:t xml:space="preserve"> </w:t>
      </w:r>
      <w:r w:rsidRPr="00894EBA">
        <w:rPr>
          <w:rFonts w:ascii="Helvetica" w:hAnsi="Helvetica" w:cs="Helvetica"/>
          <w:sz w:val="21"/>
          <w:szCs w:val="21"/>
        </w:rPr>
        <w:t>dla 3 pracowników (listopad).</w:t>
      </w:r>
    </w:p>
    <w:p w14:paraId="6AF51E63" w14:textId="77777777" w:rsidR="004D1514" w:rsidRPr="00894EBA" w:rsidRDefault="004D1514" w:rsidP="000F6EB1">
      <w:pPr>
        <w:tabs>
          <w:tab w:val="left" w:pos="709"/>
        </w:tabs>
        <w:suppressAutoHyphens/>
        <w:spacing w:before="60"/>
        <w:ind w:left="567" w:right="538"/>
        <w:jc w:val="both"/>
        <w:outlineLvl w:val="1"/>
        <w:rPr>
          <w:rFonts w:ascii="Helvetica" w:hAnsi="Helvetica" w:cs="Helvetica"/>
          <w:i/>
          <w:sz w:val="16"/>
          <w:szCs w:val="16"/>
        </w:rPr>
      </w:pPr>
      <w:r w:rsidRPr="00894EBA">
        <w:rPr>
          <w:rFonts w:ascii="Helvetica" w:hAnsi="Helvetica" w:cs="Helvetica"/>
          <w:sz w:val="21"/>
          <w:szCs w:val="21"/>
        </w:rPr>
        <w:t xml:space="preserve">W badanym okresie (tj. w grudniu 2020 r.) zrealizowano natomiast szkolenie pn. </w:t>
      </w:r>
      <w:r w:rsidRPr="00894EBA">
        <w:rPr>
          <w:rFonts w:ascii="Helvetica" w:hAnsi="Helvetica" w:cs="Helvetica"/>
          <w:i/>
          <w:sz w:val="21"/>
          <w:szCs w:val="21"/>
        </w:rPr>
        <w:t xml:space="preserve">Audytor Wewnętrzny Systemu Zarządzania Bezpieczeństwem Informacji ISO 27001 </w:t>
      </w:r>
      <w:r w:rsidRPr="00894EBA">
        <w:rPr>
          <w:rFonts w:ascii="Helvetica" w:hAnsi="Helvetica" w:cs="Helvetica"/>
          <w:sz w:val="21"/>
          <w:szCs w:val="21"/>
        </w:rPr>
        <w:t>dla 2</w:t>
      </w:r>
      <w:r w:rsidRPr="00894EBA">
        <w:rPr>
          <w:rFonts w:ascii="Helvetica" w:hAnsi="Helvetica" w:cs="Helvetica"/>
          <w:b/>
          <w:color w:val="FF0000"/>
          <w:sz w:val="18"/>
          <w:szCs w:val="18"/>
          <w:vertAlign w:val="superscript"/>
        </w:rPr>
        <w:footnoteReference w:id="82"/>
      </w:r>
      <w:r w:rsidRPr="00894EBA">
        <w:rPr>
          <w:rFonts w:ascii="Helvetica" w:hAnsi="Helvetica" w:cs="Helvetica"/>
          <w:sz w:val="21"/>
          <w:szCs w:val="21"/>
        </w:rPr>
        <w:t xml:space="preserve"> osób</w:t>
      </w:r>
      <w:r w:rsidRPr="00894EBA">
        <w:rPr>
          <w:rFonts w:ascii="Helvetica" w:hAnsi="Helvetica" w:cs="Helvetica"/>
          <w:i/>
          <w:sz w:val="21"/>
          <w:szCs w:val="21"/>
        </w:rPr>
        <w:t xml:space="preserve">. </w:t>
      </w:r>
      <w:r w:rsidRPr="00894EBA">
        <w:rPr>
          <w:rFonts w:ascii="Helvetica" w:hAnsi="Helvetica" w:cs="Helvetica"/>
          <w:sz w:val="21"/>
          <w:szCs w:val="21"/>
        </w:rPr>
        <w:t>Wymóg odbycia szkolenia nie rzadziej niż raz na 2 lata spełniało 4 pracowników, tj.</w:t>
      </w:r>
      <w:r w:rsidRPr="00894EBA">
        <w:rPr>
          <w:rFonts w:ascii="Helvetica" w:hAnsi="Helvetica" w:cs="Helvetica"/>
          <w:i/>
          <w:sz w:val="21"/>
          <w:szCs w:val="21"/>
        </w:rPr>
        <w:t xml:space="preserve"> </w:t>
      </w:r>
      <w:r w:rsidRPr="00894EBA">
        <w:rPr>
          <w:rFonts w:ascii="Helvetica" w:hAnsi="Helvetica" w:cs="Helvetica"/>
          <w:sz w:val="21"/>
          <w:szCs w:val="21"/>
        </w:rPr>
        <w:t xml:space="preserve">3 osoby uczestniczące w szkoleniu </w:t>
      </w:r>
      <w:r w:rsidRPr="00894EBA">
        <w:rPr>
          <w:rFonts w:ascii="Helvetica" w:hAnsi="Helvetica" w:cs="Helvetica"/>
          <w:i/>
          <w:sz w:val="21"/>
          <w:szCs w:val="21"/>
        </w:rPr>
        <w:t>Informatyka śledcza</w:t>
      </w:r>
      <w:r w:rsidRPr="00894EBA">
        <w:rPr>
          <w:rFonts w:ascii="Helvetica" w:hAnsi="Helvetica" w:cs="Helvetica"/>
          <w:sz w:val="21"/>
          <w:szCs w:val="21"/>
        </w:rPr>
        <w:t xml:space="preserve"> oraz 1 pracownik biorący udział w szkoleniu </w:t>
      </w:r>
      <w:r w:rsidRPr="00894EBA">
        <w:rPr>
          <w:rFonts w:ascii="Helvetica" w:hAnsi="Helvetica" w:cs="Helvetica"/>
          <w:i/>
          <w:sz w:val="21"/>
          <w:szCs w:val="21"/>
        </w:rPr>
        <w:t>Bezpieczeństwo aplikacji mobilnych</w:t>
      </w:r>
      <w:r w:rsidRPr="00894EBA">
        <w:rPr>
          <w:rFonts w:ascii="Helvetica" w:hAnsi="Helvetica" w:cs="Helvetica"/>
          <w:sz w:val="21"/>
          <w:szCs w:val="21"/>
        </w:rPr>
        <w:t>.</w:t>
      </w:r>
      <w:r w:rsidRPr="00894EBA">
        <w:rPr>
          <w:rFonts w:ascii="Helvetica" w:hAnsi="Helvetica" w:cs="Helvetica"/>
          <w:i/>
          <w:sz w:val="21"/>
          <w:szCs w:val="21"/>
        </w:rPr>
        <w:t xml:space="preserve"> </w:t>
      </w:r>
      <w:r w:rsidRPr="00894EBA">
        <w:rPr>
          <w:rFonts w:ascii="Helvetica" w:hAnsi="Helvetica" w:cs="Helvetica"/>
          <w:sz w:val="21"/>
          <w:szCs w:val="21"/>
        </w:rPr>
        <w:t>Wyjaśniono</w:t>
      </w:r>
      <w:r w:rsidRPr="00894EBA">
        <w:rPr>
          <w:rFonts w:ascii="Helvetica" w:hAnsi="Helvetica" w:cs="Helvetica"/>
          <w:b/>
          <w:color w:val="FF0000"/>
          <w:sz w:val="18"/>
          <w:szCs w:val="24"/>
          <w:vertAlign w:val="superscript"/>
        </w:rPr>
        <w:footnoteReference w:id="83"/>
      </w:r>
      <w:r w:rsidRPr="00894EBA">
        <w:rPr>
          <w:rFonts w:ascii="Helvetica" w:hAnsi="Helvetica" w:cs="Helvetica"/>
          <w:sz w:val="21"/>
          <w:szCs w:val="21"/>
        </w:rPr>
        <w:t>, że ze względu na sytuację epidemiologiczną</w:t>
      </w:r>
      <w:r w:rsidRPr="00894EBA">
        <w:rPr>
          <w:rFonts w:ascii="Helvetica" w:hAnsi="Helvetica" w:cs="Helvetica"/>
          <w:i/>
          <w:sz w:val="21"/>
          <w:szCs w:val="21"/>
        </w:rPr>
        <w:t xml:space="preserve"> </w:t>
      </w:r>
      <w:r w:rsidRPr="00894EBA">
        <w:rPr>
          <w:rFonts w:ascii="Helvetica" w:hAnsi="Helvetica" w:cs="Helvetica"/>
          <w:sz w:val="21"/>
          <w:szCs w:val="21"/>
        </w:rPr>
        <w:t>przygotowania do orga</w:t>
      </w:r>
      <w:r w:rsidR="000F6EB1" w:rsidRPr="00894EBA">
        <w:rPr>
          <w:rFonts w:ascii="Helvetica" w:hAnsi="Helvetica" w:cs="Helvetica"/>
          <w:sz w:val="21"/>
          <w:szCs w:val="21"/>
        </w:rPr>
        <w:t>nizacji szkoleń były opóźnione.</w:t>
      </w:r>
    </w:p>
    <w:p w14:paraId="589BAB28" w14:textId="77777777" w:rsidR="004D1514" w:rsidRPr="00894EBA" w:rsidRDefault="004D1514" w:rsidP="00983826">
      <w:pPr>
        <w:tabs>
          <w:tab w:val="left" w:pos="709"/>
        </w:tabs>
        <w:suppressAutoHyphens/>
        <w:spacing w:before="60" w:line="300" w:lineRule="atLeast"/>
        <w:jc w:val="both"/>
        <w:outlineLvl w:val="1"/>
        <w:rPr>
          <w:rFonts w:ascii="Helvetica" w:hAnsi="Helvetica" w:cs="Helvetica"/>
          <w:sz w:val="21"/>
          <w:szCs w:val="21"/>
        </w:rPr>
      </w:pPr>
      <w:r w:rsidRPr="00894EBA">
        <w:rPr>
          <w:rFonts w:ascii="Helvetica" w:hAnsi="Helvetica" w:cs="Helvetica"/>
          <w:szCs w:val="24"/>
        </w:rPr>
        <w:t>Forma szkoleń powinna być dostosowana do sytuacji epidemiologicznej, ponieważ szkolenia w zakresie BI mają istotne znaczenie, zwłaszcza w pracy zdalnej, która zwiększa ryzyko zagrożeń.</w:t>
      </w:r>
    </w:p>
    <w:p w14:paraId="67020CA6"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szCs w:val="24"/>
        </w:rPr>
      </w:pPr>
      <w:r w:rsidRPr="00894EBA">
        <w:rPr>
          <w:rFonts w:ascii="Helvetica" w:hAnsi="Helvetica" w:cs="Helvetica"/>
          <w:szCs w:val="24"/>
        </w:rPr>
        <w:t>W Ministerstwie wprowadzono wymóg zapoznania się przez każdego pracownika, stażystę, praktykanta, wolontariusza lub podmiot zewnętrzny z Wyciągiem z PBI IT</w:t>
      </w:r>
      <w:r w:rsidRPr="00894EBA">
        <w:rPr>
          <w:rFonts w:ascii="Helvetica" w:hAnsi="Helvetica" w:cs="Helvetica"/>
          <w:b/>
          <w:color w:val="FF0000"/>
          <w:sz w:val="18"/>
          <w:szCs w:val="24"/>
          <w:vertAlign w:val="superscript"/>
        </w:rPr>
        <w:footnoteReference w:id="84"/>
      </w:r>
      <w:r w:rsidRPr="00894EBA">
        <w:rPr>
          <w:rFonts w:ascii="Helvetica" w:hAnsi="Helvetica" w:cs="Helvetica"/>
          <w:szCs w:val="24"/>
        </w:rPr>
        <w:t>, z wyłączeniem dyrektorów komórek organizacyjnych i pracowników DI, którzy zobowiązani byli do zapoznania się z całym dokumentem. Czynności te były dokumentowane poprzez złożenie przez te osoby oświadczenia o zapoznaniu się z treścią regulacji i zobowiązaniu się do przestrzegania zasad, reguł i postanowień w niej zawartych. Zasadnym byłoby wdrożenie wymogu zapoznania się z całą Polityką IT. Jest to uzasadnione wskazaniem w części załączników</w:t>
      </w:r>
      <w:r w:rsidRPr="00894EBA">
        <w:rPr>
          <w:rFonts w:ascii="Helvetica" w:hAnsi="Helvetica" w:cs="Helvetica"/>
          <w:b/>
          <w:color w:val="FF0000"/>
          <w:sz w:val="18"/>
          <w:szCs w:val="24"/>
          <w:vertAlign w:val="superscript"/>
        </w:rPr>
        <w:footnoteReference w:id="85"/>
      </w:r>
      <w:r w:rsidRPr="00894EBA">
        <w:rPr>
          <w:rFonts w:ascii="Helvetica" w:hAnsi="Helvetica" w:cs="Helvetica"/>
          <w:szCs w:val="24"/>
        </w:rPr>
        <w:t xml:space="preserve"> obowiązków i </w:t>
      </w:r>
      <w:r w:rsidR="0079667D" w:rsidRPr="00894EBA">
        <w:rPr>
          <w:rFonts w:ascii="Helvetica" w:hAnsi="Helvetica" w:cs="Helvetica"/>
          <w:szCs w:val="24"/>
        </w:rPr>
        <w:t>odpowiedzialnoś</w:t>
      </w:r>
      <w:r w:rsidR="0079667D">
        <w:rPr>
          <w:rFonts w:ascii="Helvetica" w:hAnsi="Helvetica" w:cs="Helvetica"/>
          <w:szCs w:val="24"/>
        </w:rPr>
        <w:t>ci</w:t>
      </w:r>
      <w:r w:rsidR="0079667D" w:rsidRPr="00894EBA">
        <w:rPr>
          <w:rFonts w:ascii="Helvetica" w:hAnsi="Helvetica" w:cs="Helvetica"/>
          <w:szCs w:val="24"/>
        </w:rPr>
        <w:t xml:space="preserve"> </w:t>
      </w:r>
      <w:r w:rsidRPr="00894EBA">
        <w:rPr>
          <w:rFonts w:ascii="Helvetica" w:hAnsi="Helvetica" w:cs="Helvetica"/>
          <w:szCs w:val="24"/>
        </w:rPr>
        <w:t>pracowników, z którymi powinni się oni zapoznać.</w:t>
      </w:r>
    </w:p>
    <w:p w14:paraId="54AC2474" w14:textId="77777777" w:rsidR="004D1514" w:rsidRPr="00894EBA" w:rsidRDefault="004D1514" w:rsidP="000F6EB1">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Wszystkie osoby poddane kontroli (46</w:t>
      </w:r>
      <w:r w:rsidRPr="00894EBA">
        <w:rPr>
          <w:rFonts w:ascii="Helvetica" w:hAnsi="Helvetica" w:cs="Helvetica"/>
          <w:b/>
          <w:color w:val="FF0000"/>
          <w:sz w:val="18"/>
          <w:vertAlign w:val="superscript"/>
        </w:rPr>
        <w:footnoteReference w:id="86"/>
      </w:r>
      <w:r w:rsidRPr="00894EBA">
        <w:rPr>
          <w:rFonts w:ascii="Helvetica" w:hAnsi="Helvetica" w:cs="Helvetica"/>
          <w:sz w:val="21"/>
          <w:szCs w:val="21"/>
        </w:rPr>
        <w:t xml:space="preserve"> z 463 (10%) pracowników</w:t>
      </w:r>
      <w:r w:rsidRPr="00894EBA">
        <w:rPr>
          <w:rFonts w:ascii="Helvetica" w:hAnsi="Helvetica" w:cs="Helvetica"/>
          <w:b/>
          <w:color w:val="FF0000"/>
          <w:sz w:val="18"/>
          <w:szCs w:val="18"/>
          <w:vertAlign w:val="superscript"/>
        </w:rPr>
        <w:footnoteReference w:id="87"/>
      </w:r>
      <w:r w:rsidRPr="00894EBA">
        <w:rPr>
          <w:rFonts w:ascii="Helvetica" w:hAnsi="Helvetica" w:cs="Helvetica"/>
          <w:sz w:val="21"/>
          <w:szCs w:val="21"/>
        </w:rPr>
        <w:t>, 2 stażystów oraz 1 wolontariusz (100%)</w:t>
      </w:r>
      <w:r w:rsidRPr="00894EBA">
        <w:rPr>
          <w:rFonts w:ascii="Helvetica" w:hAnsi="Helvetica" w:cs="Helvetica"/>
          <w:b/>
          <w:color w:val="FF0000"/>
          <w:sz w:val="18"/>
          <w:vertAlign w:val="superscript"/>
        </w:rPr>
        <w:footnoteReference w:id="88"/>
      </w:r>
      <w:r w:rsidRPr="00894EBA">
        <w:rPr>
          <w:rFonts w:ascii="Helvetica" w:hAnsi="Helvetica" w:cs="Helvetica"/>
          <w:sz w:val="21"/>
          <w:szCs w:val="21"/>
        </w:rPr>
        <w:t>) złożyły oświadczenia o zapoznaniu się z PBI IT / Wyciągiem z PBI IT.</w:t>
      </w:r>
    </w:p>
    <w:p w14:paraId="6AFF6269" w14:textId="77777777" w:rsidR="004D1514" w:rsidRPr="00894EBA" w:rsidRDefault="004D1514" w:rsidP="000F6EB1">
      <w:pPr>
        <w:tabs>
          <w:tab w:val="left" w:pos="709"/>
        </w:tabs>
        <w:autoSpaceDE w:val="0"/>
        <w:autoSpaceDN w:val="0"/>
        <w:adjustRightInd w:val="0"/>
        <w:spacing w:before="60"/>
        <w:ind w:left="567" w:right="538"/>
        <w:jc w:val="both"/>
        <w:rPr>
          <w:rFonts w:ascii="Helvetica" w:eastAsia="Calibri" w:hAnsi="Helvetica" w:cs="Helvetica"/>
          <w:color w:val="000000"/>
          <w:sz w:val="21"/>
          <w:szCs w:val="21"/>
          <w:lang w:eastAsia="en-US"/>
        </w:rPr>
      </w:pPr>
      <w:r w:rsidRPr="00894EBA">
        <w:rPr>
          <w:rFonts w:ascii="Helvetica" w:eastAsia="Calibri" w:hAnsi="Helvetica" w:cs="Helvetica"/>
          <w:color w:val="000000"/>
          <w:sz w:val="21"/>
          <w:szCs w:val="21"/>
          <w:lang w:eastAsia="en-US"/>
        </w:rPr>
        <w:t>Przyjęcie dwóch rodzajów dokumentów (Wyciąg z PBI IT i PBI IT), jak wyjaśniono</w:t>
      </w:r>
      <w:r w:rsidRPr="00894EBA">
        <w:rPr>
          <w:rFonts w:ascii="Helvetica" w:eastAsia="Calibri" w:hAnsi="Helvetica" w:cs="Helvetica"/>
          <w:b/>
          <w:color w:val="FF0000"/>
          <w:sz w:val="18"/>
          <w:szCs w:val="24"/>
          <w:vertAlign w:val="superscript"/>
        </w:rPr>
        <w:footnoteReference w:id="89"/>
      </w:r>
      <w:r w:rsidRPr="00894EBA">
        <w:rPr>
          <w:rFonts w:ascii="Helvetica" w:eastAsia="Calibri" w:hAnsi="Helvetica" w:cs="Helvetica"/>
          <w:color w:val="000000"/>
          <w:sz w:val="21"/>
          <w:szCs w:val="21"/>
          <w:lang w:eastAsia="en-US"/>
        </w:rPr>
        <w:t xml:space="preserve">, wynikało z różnego zakresu odpowiedzialności poszczególnych grup pracowniczych. Przyjęto zasadę, że od dyrektorów oraz pracowników DI wymaga się wyższego poziomu odpowiedzialności, a zatem również większego poziomu znajomości regulacji. Dla pozostałych pracowników przygotowany został Wyciąg z PBI IT, który zawiera najistotniejsze jej elementy. Niezależnie od postanowień PBI IT, każdy pracownik </w:t>
      </w:r>
      <w:proofErr w:type="spellStart"/>
      <w:r w:rsidRPr="00894EBA">
        <w:rPr>
          <w:rFonts w:ascii="Helvetica" w:eastAsia="Calibri" w:hAnsi="Helvetica" w:cs="Helvetica"/>
          <w:color w:val="000000"/>
          <w:sz w:val="21"/>
          <w:szCs w:val="21"/>
          <w:lang w:eastAsia="en-US"/>
        </w:rPr>
        <w:t>MRiPS</w:t>
      </w:r>
      <w:proofErr w:type="spellEnd"/>
      <w:r w:rsidRPr="00894EBA">
        <w:rPr>
          <w:rFonts w:ascii="Helvetica" w:eastAsia="Calibri" w:hAnsi="Helvetica" w:cs="Helvetica"/>
          <w:color w:val="000000"/>
          <w:sz w:val="21"/>
          <w:szCs w:val="21"/>
          <w:lang w:eastAsia="en-US"/>
        </w:rPr>
        <w:t xml:space="preserve"> miał dostęp do bazy regulacji wewnętrznych i mógł zapoznać się z przepisami całego zarządzenia wprowadzającego PBI IT. Ponadto pracownicy Ministerstwa byli informowani drogą </w:t>
      </w:r>
      <w:proofErr w:type="spellStart"/>
      <w:r w:rsidRPr="00894EBA">
        <w:rPr>
          <w:rFonts w:ascii="Helvetica" w:eastAsia="Calibri" w:hAnsi="Helvetica" w:cs="Helvetica"/>
          <w:color w:val="000000"/>
          <w:sz w:val="21"/>
          <w:szCs w:val="21"/>
          <w:lang w:eastAsia="en-US"/>
        </w:rPr>
        <w:t>mejlową</w:t>
      </w:r>
      <w:proofErr w:type="spellEnd"/>
      <w:r w:rsidRPr="00894EBA">
        <w:rPr>
          <w:rFonts w:ascii="Helvetica" w:eastAsia="Calibri" w:hAnsi="Helvetica" w:cs="Helvetica"/>
          <w:color w:val="000000"/>
          <w:sz w:val="21"/>
          <w:szCs w:val="21"/>
          <w:lang w:eastAsia="en-US"/>
        </w:rPr>
        <w:t xml:space="preserve"> o procedurze zgłaszania incydentów.</w:t>
      </w:r>
    </w:p>
    <w:p w14:paraId="626F420A" w14:textId="77777777" w:rsidR="004D1514" w:rsidRPr="00894EBA" w:rsidRDefault="004D1514" w:rsidP="00983826">
      <w:pPr>
        <w:tabs>
          <w:tab w:val="left" w:pos="709"/>
        </w:tabs>
        <w:spacing w:before="60" w:line="300" w:lineRule="atLeast"/>
        <w:jc w:val="both"/>
        <w:rPr>
          <w:rFonts w:ascii="Helvetica" w:hAnsi="Helvetica" w:cs="Helvetica"/>
          <w:szCs w:val="24"/>
        </w:rPr>
      </w:pPr>
      <w:r w:rsidRPr="00894EBA">
        <w:rPr>
          <w:rFonts w:ascii="Helvetica" w:hAnsi="Helvetica" w:cs="Helvetica"/>
        </w:rPr>
        <w:t>Zamieszczenie PBI IT w bazie regulacji wewnętrznych było słusznym działaniem, jednak rodzi ryzyko, że nie każdy pracownik zapozna się z jej treścią z własnej inicjatywy. Dodatkowo w treści oświadczenia o zapoznaniu się z Wyciągiem z PBI IT pracownik potwierdzał, że zobowiązuje się do przestrzegania zasad, reguł i postanowień w nim zawartych. Jeśli sam dodatkowo zapozna się z całą regulacją, to i tak złożone zobowiązanie nie będzie dotyczyło wszystkich zasad.</w:t>
      </w:r>
    </w:p>
    <w:p w14:paraId="6145690D"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szCs w:val="24"/>
        </w:rPr>
      </w:pPr>
      <w:r w:rsidRPr="00894EBA">
        <w:rPr>
          <w:rFonts w:ascii="Helvetica" w:hAnsi="Helvetica" w:cs="Helvetica"/>
          <w:b/>
          <w:szCs w:val="24"/>
        </w:rPr>
        <w:t>[umowy]</w:t>
      </w:r>
      <w:r w:rsidRPr="00894EBA">
        <w:rPr>
          <w:rFonts w:ascii="Helvetica" w:hAnsi="Helvetica" w:cs="Helvetica"/>
          <w:szCs w:val="24"/>
        </w:rPr>
        <w:t xml:space="preserve"> </w:t>
      </w:r>
      <w:r w:rsidRPr="00894EBA">
        <w:rPr>
          <w:rFonts w:ascii="Helvetica" w:eastAsia="Calibri" w:hAnsi="Helvetica" w:cs="Helvetica"/>
          <w:szCs w:val="24"/>
          <w:lang w:eastAsia="en-US"/>
        </w:rPr>
        <w:t xml:space="preserve">Umowy zawierały postanowienia gwarantujące odpowiedni poziom bezpieczeństwa informacji i należyte zabezpieczenie interesów Ministerstwa. Najważniejsze z nich dot.: parametrów świadczonych usług (parametrów SLA), obowiązku przeniesienia na rzecz </w:t>
      </w:r>
      <w:proofErr w:type="spellStart"/>
      <w:r w:rsidRPr="00894EBA">
        <w:rPr>
          <w:rFonts w:ascii="Helvetica" w:eastAsia="Calibri" w:hAnsi="Helvetica" w:cs="Helvetica"/>
          <w:szCs w:val="24"/>
          <w:lang w:eastAsia="en-US"/>
        </w:rPr>
        <w:t>MRiPS</w:t>
      </w:r>
      <w:proofErr w:type="spellEnd"/>
      <w:r w:rsidRPr="00894EBA">
        <w:rPr>
          <w:rFonts w:ascii="Helvetica" w:eastAsia="Calibri" w:hAnsi="Helvetica" w:cs="Helvetica"/>
          <w:szCs w:val="24"/>
          <w:lang w:eastAsia="en-US"/>
        </w:rPr>
        <w:t xml:space="preserve"> autorskich pra</w:t>
      </w:r>
      <w:r w:rsidR="00B66120">
        <w:rPr>
          <w:rFonts w:ascii="Helvetica" w:eastAsia="Calibri" w:hAnsi="Helvetica" w:cs="Helvetica"/>
          <w:szCs w:val="24"/>
          <w:lang w:eastAsia="en-US"/>
        </w:rPr>
        <w:t>w majątkowych do wytworzonych w</w:t>
      </w:r>
      <w:r w:rsidRPr="00894EBA">
        <w:rPr>
          <w:rFonts w:ascii="Helvetica" w:eastAsia="Calibri" w:hAnsi="Helvetica" w:cs="Helvetica"/>
          <w:szCs w:val="24"/>
          <w:lang w:eastAsia="en-US"/>
        </w:rPr>
        <w:t> ramach umowy dzieł,</w:t>
      </w:r>
      <w:r w:rsidRPr="00894EBA" w:rsidDel="0076361A">
        <w:rPr>
          <w:rFonts w:ascii="Helvetica" w:eastAsia="Calibri" w:hAnsi="Helvetica" w:cs="Helvetica"/>
          <w:szCs w:val="24"/>
          <w:lang w:eastAsia="en-US"/>
        </w:rPr>
        <w:t xml:space="preserve"> </w:t>
      </w:r>
      <w:r w:rsidRPr="00894EBA">
        <w:rPr>
          <w:rFonts w:ascii="Helvetica" w:eastAsia="Calibri" w:hAnsi="Helvetica" w:cs="Helvetica"/>
          <w:szCs w:val="24"/>
          <w:lang w:eastAsia="en-US"/>
        </w:rPr>
        <w:t>kar umownych na wypadek niewykonania lub nienależytego wykonania umowy oraz warunków rozwiązania umowy</w:t>
      </w:r>
      <w:r w:rsidRPr="00894EBA">
        <w:rPr>
          <w:rFonts w:ascii="Helvetica" w:eastAsia="Calibri" w:hAnsi="Helvetica" w:cs="Helvetica"/>
          <w:b/>
          <w:color w:val="FF0000"/>
          <w:sz w:val="18"/>
          <w:szCs w:val="18"/>
          <w:vertAlign w:val="superscript"/>
          <w:lang w:eastAsia="en-US"/>
        </w:rPr>
        <w:footnoteReference w:id="90"/>
      </w:r>
      <w:r w:rsidRPr="00894EBA">
        <w:rPr>
          <w:rFonts w:ascii="Helvetica" w:eastAsia="Calibri" w:hAnsi="Helvetica" w:cs="Helvetica"/>
          <w:szCs w:val="24"/>
          <w:lang w:eastAsia="en-US"/>
        </w:rPr>
        <w:t>.</w:t>
      </w:r>
      <w:r w:rsidRPr="00894EBA">
        <w:rPr>
          <w:rFonts w:ascii="Helvetica" w:hAnsi="Helvetica" w:cs="Helvetica"/>
          <w:szCs w:val="24"/>
        </w:rPr>
        <w:t xml:space="preserve"> Regulowały także procedury odbioru przedmiotu umowy poprzez obowiązek rozliczenia umów dopiero po zatwierdzeniu protokołu odbioru. Wskazywały osoby odpowiedzialne za sprawowanie bieżącego nadzoru i upoważnione do kontaktów. Zobowiązywały do zapoznawania się z Wyciągiem z PBI IT wszystkich wykonawców mających dostęp do zasobów informatycznych Ministerstwa.</w:t>
      </w:r>
    </w:p>
    <w:p w14:paraId="3EDBF562" w14:textId="77777777" w:rsidR="004D1514" w:rsidRPr="00894EBA" w:rsidRDefault="004D1514" w:rsidP="00983826">
      <w:pPr>
        <w:tabs>
          <w:tab w:val="left" w:pos="709"/>
        </w:tabs>
        <w:spacing w:before="120" w:line="300" w:lineRule="atLeast"/>
        <w:jc w:val="both"/>
        <w:rPr>
          <w:rFonts w:ascii="Helvetica" w:eastAsia="Calibri" w:hAnsi="Helvetica" w:cs="Helvetica"/>
          <w:szCs w:val="24"/>
        </w:rPr>
      </w:pPr>
      <w:r w:rsidRPr="00894EBA">
        <w:rPr>
          <w:rFonts w:ascii="Helvetica" w:eastAsia="Calibri" w:hAnsi="Helvetica" w:cs="Helvetica"/>
          <w:szCs w:val="24"/>
        </w:rPr>
        <w:t>Zasadnym byłoby rozszerzenie postanowień umów o kwestię odszkodowania ze strony wykonawcy w przypadku niezastosowania się do procedur lub świadomego działania wpływającego na osłabienie systemu bezpieczeństwa oraz dot. bezstronności wykonawców. Dodatkowo w przypadku 3 z 11 umów (27%) nie wskazano postanowień dot. poufności, a w 4 (36%) nie określono mechanizmów umożliwiających Ministerstwu kontrolę lub audyt wykonawcy w zakresie przestrzegania przez niego zasad BI.</w:t>
      </w:r>
    </w:p>
    <w:p w14:paraId="17618C64" w14:textId="77777777" w:rsidR="004D1514" w:rsidRPr="00894EBA" w:rsidRDefault="004D1514" w:rsidP="000F6EB1">
      <w:pPr>
        <w:tabs>
          <w:tab w:val="left" w:pos="567"/>
          <w:tab w:val="left" w:pos="709"/>
        </w:tabs>
        <w:spacing w:before="120"/>
        <w:ind w:left="567" w:right="538"/>
        <w:jc w:val="both"/>
        <w:rPr>
          <w:rFonts w:ascii="Helvetica" w:eastAsia="Calibri" w:hAnsi="Helvetica" w:cs="Helvetica"/>
          <w:b/>
          <w:sz w:val="21"/>
          <w:szCs w:val="21"/>
          <w:lang w:eastAsia="en-US"/>
        </w:rPr>
      </w:pPr>
      <w:r w:rsidRPr="00894EBA">
        <w:rPr>
          <w:rFonts w:ascii="Helvetica" w:eastAsia="Calibri" w:hAnsi="Helvetica" w:cs="Helvetica"/>
          <w:sz w:val="21"/>
          <w:szCs w:val="21"/>
          <w:lang w:eastAsia="en-US"/>
        </w:rPr>
        <w:t>W badanym okresie obowiązywało 57</w:t>
      </w:r>
      <w:r w:rsidRPr="00894EBA">
        <w:rPr>
          <w:rFonts w:ascii="Helvetica" w:eastAsia="Calibri" w:hAnsi="Helvetica" w:cs="Helvetica"/>
          <w:b/>
          <w:color w:val="FF0000"/>
          <w:sz w:val="18"/>
          <w:szCs w:val="18"/>
          <w:vertAlign w:val="superscript"/>
          <w:lang w:eastAsia="en-US"/>
        </w:rPr>
        <w:footnoteReference w:id="91"/>
      </w:r>
      <w:r w:rsidRPr="00894EBA">
        <w:rPr>
          <w:rFonts w:ascii="Helvetica" w:eastAsia="Calibri" w:hAnsi="Helvetica" w:cs="Helvetica"/>
          <w:sz w:val="21"/>
          <w:szCs w:val="21"/>
          <w:lang w:eastAsia="en-US"/>
        </w:rPr>
        <w:t xml:space="preserve"> umów w zakresie serwisu i rozwoju sprzętu oraz oprogramowania. Kontroli </w:t>
      </w:r>
      <w:r w:rsidRPr="00894EBA">
        <w:rPr>
          <w:rFonts w:ascii="Helvetica" w:hAnsi="Helvetica" w:cs="Helvetica"/>
          <w:sz w:val="21"/>
          <w:szCs w:val="21"/>
        </w:rPr>
        <w:t>poddano</w:t>
      </w:r>
      <w:r w:rsidRPr="00894EBA">
        <w:rPr>
          <w:rFonts w:ascii="Helvetica" w:eastAsia="Calibri" w:hAnsi="Helvetica" w:cs="Helvetica"/>
          <w:sz w:val="21"/>
          <w:szCs w:val="21"/>
          <w:lang w:eastAsia="en-US"/>
        </w:rPr>
        <w:t xml:space="preserve"> 11</w:t>
      </w:r>
      <w:r w:rsidRPr="00894EBA">
        <w:rPr>
          <w:rFonts w:ascii="Helvetica" w:eastAsia="Calibri" w:hAnsi="Helvetica" w:cs="Helvetica"/>
          <w:b/>
          <w:color w:val="FF0000"/>
          <w:sz w:val="18"/>
          <w:szCs w:val="18"/>
          <w:vertAlign w:val="superscript"/>
          <w:lang w:eastAsia="en-US"/>
        </w:rPr>
        <w:footnoteReference w:id="92"/>
      </w:r>
      <w:r w:rsidRPr="00894EBA">
        <w:rPr>
          <w:rFonts w:ascii="Helvetica" w:eastAsia="Calibri" w:hAnsi="Helvetica" w:cs="Helvetica"/>
          <w:sz w:val="21"/>
          <w:szCs w:val="21"/>
          <w:lang w:eastAsia="en-US"/>
        </w:rPr>
        <w:t xml:space="preserve"> z nich (19%)</w:t>
      </w:r>
      <w:r w:rsidRPr="00894EBA">
        <w:rPr>
          <w:rFonts w:ascii="Helvetica" w:hAnsi="Helvetica" w:cs="Helvetica"/>
          <w:b/>
          <w:color w:val="FF0000"/>
          <w:sz w:val="18"/>
          <w:szCs w:val="18"/>
          <w:vertAlign w:val="superscript"/>
        </w:rPr>
        <w:footnoteReference w:id="93"/>
      </w:r>
      <w:r w:rsidRPr="00894EBA">
        <w:rPr>
          <w:rFonts w:ascii="Helvetica" w:eastAsia="Calibri" w:hAnsi="Helvetica" w:cs="Helvetica"/>
          <w:sz w:val="21"/>
          <w:szCs w:val="21"/>
          <w:lang w:eastAsia="en-US"/>
        </w:rPr>
        <w:t>.</w:t>
      </w:r>
    </w:p>
    <w:p w14:paraId="14539F5D" w14:textId="77777777" w:rsidR="004D1514" w:rsidRPr="00894EBA" w:rsidRDefault="004D1514" w:rsidP="000F6EB1">
      <w:pPr>
        <w:tabs>
          <w:tab w:val="left" w:pos="567"/>
          <w:tab w:val="left" w:pos="709"/>
        </w:tabs>
        <w:spacing w:before="120"/>
        <w:ind w:left="567" w:right="538"/>
        <w:jc w:val="both"/>
        <w:rPr>
          <w:rFonts w:ascii="Helvetica" w:eastAsia="Calibri" w:hAnsi="Helvetica" w:cs="Helvetica"/>
          <w:sz w:val="16"/>
          <w:szCs w:val="16"/>
          <w:lang w:eastAsia="en-US"/>
        </w:rPr>
      </w:pPr>
      <w:r w:rsidRPr="00894EBA">
        <w:rPr>
          <w:rFonts w:ascii="Helvetica" w:eastAsia="Calibri" w:hAnsi="Helvetica" w:cs="Helvetica"/>
          <w:sz w:val="21"/>
          <w:szCs w:val="21"/>
          <w:lang w:eastAsia="en-US"/>
        </w:rPr>
        <w:t>W 10</w:t>
      </w:r>
      <w:r w:rsidRPr="00894EBA">
        <w:rPr>
          <w:rFonts w:ascii="Helvetica" w:eastAsia="Calibri" w:hAnsi="Helvetica" w:cs="Helvetica"/>
          <w:b/>
          <w:color w:val="FF0000"/>
          <w:sz w:val="18"/>
          <w:szCs w:val="18"/>
          <w:vertAlign w:val="superscript"/>
          <w:lang w:eastAsia="en-US"/>
        </w:rPr>
        <w:footnoteReference w:id="94"/>
      </w:r>
      <w:r w:rsidRPr="00894EBA">
        <w:rPr>
          <w:rFonts w:ascii="Helvetica" w:eastAsia="Calibri" w:hAnsi="Helvetica" w:cs="Helvetica"/>
          <w:sz w:val="21"/>
          <w:szCs w:val="21"/>
          <w:lang w:eastAsia="en-US"/>
        </w:rPr>
        <w:t xml:space="preserve"> z 11 badanych umów (91%) zasady odpowiedzialności odszkodowawczej nie odnosiły się wprost do szkód powstałych wskutek świadomego działania wpływającego na osłabienie systemu bezpieczeństwa lub </w:t>
      </w:r>
      <w:r w:rsidRPr="00894EBA">
        <w:rPr>
          <w:rFonts w:ascii="Helvetica" w:hAnsi="Helvetica" w:cs="Helvetica"/>
          <w:sz w:val="21"/>
          <w:szCs w:val="21"/>
        </w:rPr>
        <w:t>niezastosowania</w:t>
      </w:r>
      <w:r w:rsidRPr="00894EBA">
        <w:rPr>
          <w:rFonts w:ascii="Helvetica" w:eastAsia="Calibri" w:hAnsi="Helvetica" w:cs="Helvetica"/>
          <w:sz w:val="21"/>
          <w:szCs w:val="21"/>
          <w:lang w:eastAsia="en-US"/>
        </w:rPr>
        <w:t xml:space="preserve"> się przez wykonawcę do procedur obowiązujących w </w:t>
      </w:r>
      <w:proofErr w:type="spellStart"/>
      <w:r w:rsidRPr="00894EBA">
        <w:rPr>
          <w:rFonts w:ascii="Helvetica" w:eastAsia="Calibri" w:hAnsi="Helvetica" w:cs="Helvetica"/>
          <w:sz w:val="21"/>
          <w:szCs w:val="21"/>
          <w:lang w:eastAsia="en-US"/>
        </w:rPr>
        <w:t>MRiPS</w:t>
      </w:r>
      <w:proofErr w:type="spellEnd"/>
      <w:r w:rsidRPr="00894EBA">
        <w:rPr>
          <w:rFonts w:ascii="Helvetica" w:eastAsia="Calibri" w:hAnsi="Helvetica" w:cs="Helvetica"/>
          <w:sz w:val="21"/>
          <w:szCs w:val="21"/>
          <w:lang w:eastAsia="en-US"/>
        </w:rPr>
        <w:t>. W przypadku 1</w:t>
      </w:r>
      <w:r w:rsidRPr="00894EBA">
        <w:rPr>
          <w:rFonts w:ascii="Helvetica" w:eastAsia="Calibri" w:hAnsi="Helvetica" w:cs="Helvetica"/>
          <w:b/>
          <w:color w:val="FF0000"/>
          <w:sz w:val="18"/>
          <w:szCs w:val="18"/>
          <w:vertAlign w:val="superscript"/>
          <w:lang w:eastAsia="en-US"/>
        </w:rPr>
        <w:footnoteReference w:id="95"/>
      </w:r>
      <w:r w:rsidRPr="00894EBA">
        <w:rPr>
          <w:rFonts w:ascii="Helvetica" w:eastAsia="Calibri" w:hAnsi="Helvetica" w:cs="Helvetica"/>
          <w:sz w:val="21"/>
          <w:szCs w:val="21"/>
          <w:lang w:eastAsia="en-US"/>
        </w:rPr>
        <w:t xml:space="preserve"> umowy dot.</w:t>
      </w:r>
      <w:r w:rsidRPr="00894EBA">
        <w:rPr>
          <w:rFonts w:ascii="Helvetica" w:hAnsi="Helvetica" w:cs="Helvetica"/>
          <w:sz w:val="21"/>
          <w:szCs w:val="21"/>
        </w:rPr>
        <w:t xml:space="preserve"> kupna-sprzedaży komputerów przenośnych nie było konieczności wskazania takich postanowień. </w:t>
      </w:r>
      <w:r w:rsidRPr="00894EBA">
        <w:rPr>
          <w:rFonts w:ascii="Helvetica" w:eastAsia="Calibri" w:hAnsi="Helvetica" w:cs="Helvetica"/>
          <w:sz w:val="21"/>
          <w:szCs w:val="21"/>
          <w:lang w:eastAsia="en-US"/>
        </w:rPr>
        <w:t>Jak wyjaśniono</w:t>
      </w:r>
      <w:r w:rsidRPr="00894EBA">
        <w:rPr>
          <w:rFonts w:ascii="Helvetica" w:eastAsia="Calibri" w:hAnsi="Helvetica" w:cs="Helvetica"/>
          <w:b/>
          <w:color w:val="FF0000"/>
          <w:sz w:val="18"/>
          <w:szCs w:val="18"/>
          <w:vertAlign w:val="superscript"/>
          <w:lang w:eastAsia="en-US"/>
        </w:rPr>
        <w:footnoteReference w:id="96"/>
      </w:r>
      <w:r w:rsidRPr="00894EBA">
        <w:rPr>
          <w:rFonts w:ascii="Helvetica" w:eastAsia="Calibri" w:hAnsi="Helvetica" w:cs="Helvetica"/>
          <w:sz w:val="21"/>
          <w:szCs w:val="21"/>
          <w:lang w:eastAsia="en-US"/>
        </w:rPr>
        <w:t xml:space="preserve"> klauzule stosowane przez </w:t>
      </w:r>
      <w:proofErr w:type="spellStart"/>
      <w:r w:rsidRPr="00894EBA">
        <w:rPr>
          <w:rFonts w:ascii="Helvetica" w:eastAsia="Calibri" w:hAnsi="Helvetica" w:cs="Helvetica"/>
          <w:sz w:val="21"/>
          <w:szCs w:val="21"/>
          <w:lang w:eastAsia="en-US"/>
        </w:rPr>
        <w:t>MRiPS</w:t>
      </w:r>
      <w:proofErr w:type="spellEnd"/>
      <w:r w:rsidRPr="00894EBA">
        <w:rPr>
          <w:rFonts w:ascii="Helvetica" w:eastAsia="Calibri" w:hAnsi="Helvetica" w:cs="Helvetica"/>
          <w:sz w:val="21"/>
          <w:szCs w:val="21"/>
          <w:lang w:eastAsia="en-US"/>
        </w:rPr>
        <w:t xml:space="preserve"> w umowach obejmują wszelkie rodzaje szkód, a więc również te powstałe</w:t>
      </w:r>
      <w:r w:rsidR="000F6EB1" w:rsidRPr="00894EBA">
        <w:rPr>
          <w:rFonts w:ascii="Helvetica" w:eastAsia="Calibri" w:hAnsi="Helvetica" w:cs="Helvetica"/>
          <w:sz w:val="21"/>
          <w:szCs w:val="21"/>
          <w:lang w:eastAsia="en-US"/>
        </w:rPr>
        <w:t xml:space="preserve"> z wyżej wymienionych przyczyn.</w:t>
      </w:r>
    </w:p>
    <w:p w14:paraId="67156DC0" w14:textId="77777777" w:rsidR="004D1514" w:rsidRPr="00894EBA" w:rsidRDefault="004D1514" w:rsidP="00983826">
      <w:pPr>
        <w:tabs>
          <w:tab w:val="left" w:pos="709"/>
        </w:tabs>
        <w:spacing w:before="120"/>
        <w:jc w:val="both"/>
        <w:rPr>
          <w:rFonts w:ascii="Helvetica" w:eastAsia="Calibri" w:hAnsi="Helvetica" w:cs="Helvetica"/>
          <w:szCs w:val="24"/>
          <w:lang w:eastAsia="en-US"/>
        </w:rPr>
      </w:pPr>
      <w:r w:rsidRPr="00894EBA">
        <w:rPr>
          <w:rFonts w:ascii="Helvetica" w:eastAsia="Calibri" w:hAnsi="Helvetica" w:cs="Helvetica"/>
          <w:szCs w:val="24"/>
          <w:lang w:eastAsia="en-US"/>
        </w:rPr>
        <w:t>Uwzględnianie w zawieranych umowach postanowień, które precyzyjnie określą odpowiedzialność za szkody powstałe wskutek powyższych działań umożliwi Ministerstwu sprawne dochodzenie ewentualnych roszczeń.</w:t>
      </w:r>
    </w:p>
    <w:p w14:paraId="3C205D14" w14:textId="77777777" w:rsidR="004D1514" w:rsidRPr="00894EBA" w:rsidRDefault="004D1514" w:rsidP="000F6EB1">
      <w:pPr>
        <w:tabs>
          <w:tab w:val="left" w:pos="567"/>
          <w:tab w:val="left" w:pos="709"/>
        </w:tabs>
        <w:spacing w:before="120"/>
        <w:ind w:left="567" w:right="538"/>
        <w:jc w:val="both"/>
        <w:rPr>
          <w:rFonts w:ascii="Helvetica" w:eastAsia="Calibri" w:hAnsi="Helvetica" w:cs="Helvetica"/>
          <w:sz w:val="21"/>
          <w:szCs w:val="21"/>
          <w:lang w:eastAsia="en-US"/>
        </w:rPr>
      </w:pPr>
      <w:r w:rsidRPr="00894EBA">
        <w:rPr>
          <w:rFonts w:ascii="Helvetica" w:eastAsia="Calibri" w:hAnsi="Helvetica" w:cs="Helvetica"/>
          <w:sz w:val="21"/>
          <w:szCs w:val="21"/>
          <w:lang w:eastAsia="en-US"/>
        </w:rPr>
        <w:t xml:space="preserve">Żadna z 11 badanych umów nie uwzględniała postanowień dot. zachowania przez wykonawcę bezstronności przy realizacji </w:t>
      </w:r>
      <w:r w:rsidRPr="00894EBA">
        <w:rPr>
          <w:rFonts w:ascii="Helvetica" w:hAnsi="Helvetica" w:cs="Helvetica"/>
          <w:sz w:val="21"/>
          <w:szCs w:val="21"/>
        </w:rPr>
        <w:t>umowy</w:t>
      </w:r>
      <w:r w:rsidRPr="00894EBA">
        <w:rPr>
          <w:rFonts w:ascii="Helvetica" w:eastAsia="Calibri" w:hAnsi="Helvetica" w:cs="Helvetica"/>
          <w:sz w:val="21"/>
          <w:szCs w:val="21"/>
          <w:lang w:eastAsia="en-US"/>
        </w:rPr>
        <w:t>. Wyjaśniono</w:t>
      </w:r>
      <w:r w:rsidRPr="00894EBA">
        <w:rPr>
          <w:rFonts w:ascii="Helvetica" w:eastAsia="Calibri" w:hAnsi="Helvetica" w:cs="Helvetica"/>
          <w:b/>
          <w:color w:val="FF0000"/>
          <w:sz w:val="18"/>
          <w:szCs w:val="18"/>
          <w:vertAlign w:val="superscript"/>
          <w:lang w:eastAsia="en-US"/>
        </w:rPr>
        <w:footnoteReference w:id="97"/>
      </w:r>
      <w:r w:rsidRPr="00894EBA">
        <w:rPr>
          <w:rFonts w:ascii="Helvetica" w:eastAsia="Calibri" w:hAnsi="Helvetica" w:cs="Helvetica"/>
          <w:sz w:val="21"/>
          <w:szCs w:val="21"/>
          <w:lang w:eastAsia="en-US"/>
        </w:rPr>
        <w:t>, że w przypadku badanych umów nie zachodzi ryzyko wykonania p</w:t>
      </w:r>
      <w:r w:rsidR="000F6EB1" w:rsidRPr="00894EBA">
        <w:rPr>
          <w:rFonts w:ascii="Helvetica" w:eastAsia="Calibri" w:hAnsi="Helvetica" w:cs="Helvetica"/>
          <w:sz w:val="21"/>
          <w:szCs w:val="21"/>
          <w:lang w:eastAsia="en-US"/>
        </w:rPr>
        <w:t>rac w sposób stronniczy.</w:t>
      </w:r>
    </w:p>
    <w:p w14:paraId="409FAB8C" w14:textId="77777777" w:rsidR="004D1514" w:rsidRPr="00894EBA" w:rsidRDefault="004D1514" w:rsidP="00983826">
      <w:pPr>
        <w:tabs>
          <w:tab w:val="left" w:pos="709"/>
        </w:tabs>
        <w:spacing w:before="120"/>
        <w:jc w:val="both"/>
        <w:rPr>
          <w:rFonts w:ascii="Helvetica" w:hAnsi="Helvetica" w:cs="Helvetica"/>
          <w:szCs w:val="24"/>
        </w:rPr>
      </w:pPr>
      <w:r w:rsidRPr="00894EBA">
        <w:rPr>
          <w:rFonts w:ascii="Helvetica" w:hAnsi="Helvetica" w:cs="Helvetica"/>
          <w:szCs w:val="24"/>
        </w:rPr>
        <w:t>Nie można się z tym zgodzić, bowiem możliwość oddziaływania na bezstronność wykonawców istnieje w przypadku każdej umowy dot. serwisu i rozwoju sprzętu i oprogramowania informatycznego. Natomiast wprowadzenie mechanizmów zapewnienia bezstronności minimalizuje ryzyko braku obiektywizmu i wystąpienia konfliktu interesów.</w:t>
      </w:r>
    </w:p>
    <w:p w14:paraId="4884E72F" w14:textId="77777777" w:rsidR="004D1514" w:rsidRPr="00894EBA" w:rsidRDefault="004D1514" w:rsidP="00EF59AF">
      <w:pPr>
        <w:tabs>
          <w:tab w:val="left" w:pos="567"/>
          <w:tab w:val="left" w:pos="709"/>
        </w:tabs>
        <w:spacing w:before="120"/>
        <w:ind w:left="567" w:right="538"/>
        <w:jc w:val="both"/>
        <w:rPr>
          <w:rFonts w:ascii="Helvetica" w:hAnsi="Helvetica" w:cs="Helvetica"/>
          <w:sz w:val="16"/>
          <w:szCs w:val="16"/>
        </w:rPr>
      </w:pPr>
      <w:r w:rsidRPr="00894EBA">
        <w:rPr>
          <w:rFonts w:ascii="Helvetica" w:hAnsi="Helvetica" w:cs="Helvetica"/>
          <w:sz w:val="21"/>
          <w:szCs w:val="21"/>
        </w:rPr>
        <w:t>W 3</w:t>
      </w:r>
      <w:r w:rsidRPr="00894EBA">
        <w:rPr>
          <w:rFonts w:ascii="Helvetica" w:hAnsi="Helvetica" w:cs="Helvetica"/>
          <w:b/>
          <w:color w:val="FF0000"/>
          <w:sz w:val="18"/>
          <w:szCs w:val="18"/>
          <w:vertAlign w:val="superscript"/>
        </w:rPr>
        <w:footnoteReference w:id="98"/>
      </w:r>
      <w:r w:rsidRPr="00894EBA">
        <w:rPr>
          <w:rFonts w:ascii="Helvetica" w:hAnsi="Helvetica" w:cs="Helvetica"/>
          <w:sz w:val="21"/>
          <w:szCs w:val="21"/>
        </w:rPr>
        <w:t xml:space="preserve"> z 11 (27%) badanych umów nie zawarto postanowień zobowiązujących do zachowania w tajemnicy </w:t>
      </w:r>
      <w:r w:rsidRPr="00894EBA">
        <w:rPr>
          <w:rFonts w:ascii="Helvetica" w:eastAsia="Calibri" w:hAnsi="Helvetica" w:cs="Helvetica"/>
          <w:sz w:val="21"/>
          <w:szCs w:val="21"/>
          <w:lang w:eastAsia="en-US"/>
        </w:rPr>
        <w:t>informacji</w:t>
      </w:r>
      <w:r w:rsidRPr="00894EBA">
        <w:rPr>
          <w:rFonts w:ascii="Helvetica" w:hAnsi="Helvetica" w:cs="Helvetica"/>
          <w:sz w:val="21"/>
          <w:szCs w:val="21"/>
        </w:rPr>
        <w:t xml:space="preserve"> uzyskanych w związku z ich realizacją lub nie zobowiązano do złożenia oświadczenia o poufności. Jak wyjaśniono</w:t>
      </w:r>
      <w:r w:rsidRPr="00894EBA">
        <w:rPr>
          <w:rFonts w:ascii="Helvetica" w:hAnsi="Helvetica" w:cs="Helvetica"/>
          <w:b/>
          <w:color w:val="FF0000"/>
          <w:sz w:val="18"/>
          <w:szCs w:val="18"/>
          <w:vertAlign w:val="superscript"/>
        </w:rPr>
        <w:footnoteReference w:id="99"/>
      </w:r>
      <w:r w:rsidRPr="00894EBA">
        <w:rPr>
          <w:rFonts w:ascii="Helvetica" w:hAnsi="Helvetica" w:cs="Helvetica"/>
          <w:sz w:val="21"/>
          <w:szCs w:val="21"/>
        </w:rPr>
        <w:t xml:space="preserve">, takie zabezpieczenia wymagane </w:t>
      </w:r>
      <w:r w:rsidR="00427035" w:rsidRPr="00894EBA">
        <w:rPr>
          <w:rFonts w:ascii="Helvetica" w:hAnsi="Helvetica" w:cs="Helvetica"/>
          <w:sz w:val="21"/>
          <w:szCs w:val="21"/>
        </w:rPr>
        <w:t>są</w:t>
      </w:r>
      <w:r w:rsidR="00427035">
        <w:rPr>
          <w:rFonts w:ascii="Helvetica" w:hAnsi="Helvetica" w:cs="Helvetica"/>
          <w:sz w:val="21"/>
          <w:szCs w:val="21"/>
        </w:rPr>
        <w:t> </w:t>
      </w:r>
      <w:r w:rsidR="00427035" w:rsidRPr="00894EBA">
        <w:rPr>
          <w:rFonts w:ascii="Helvetica" w:hAnsi="Helvetica" w:cs="Helvetica"/>
          <w:sz w:val="21"/>
          <w:szCs w:val="21"/>
        </w:rPr>
        <w:t>od</w:t>
      </w:r>
      <w:r w:rsidR="00427035">
        <w:rPr>
          <w:rFonts w:ascii="Helvetica" w:hAnsi="Helvetica" w:cs="Helvetica"/>
          <w:sz w:val="21"/>
          <w:szCs w:val="21"/>
        </w:rPr>
        <w:t> </w:t>
      </w:r>
      <w:r w:rsidRPr="00894EBA">
        <w:rPr>
          <w:rFonts w:ascii="Helvetica" w:hAnsi="Helvetica" w:cs="Helvetica"/>
          <w:sz w:val="21"/>
          <w:szCs w:val="21"/>
        </w:rPr>
        <w:t>wykonawców, którzy w ramach realizacji przedmiotu umowy mają dostęp do zasobów infrastruktury informatyczne</w:t>
      </w:r>
      <w:r w:rsidR="00EF59AF" w:rsidRPr="00894EBA">
        <w:rPr>
          <w:rFonts w:ascii="Helvetica" w:hAnsi="Helvetica" w:cs="Helvetica"/>
          <w:sz w:val="21"/>
          <w:szCs w:val="21"/>
        </w:rPr>
        <w:t>j centrum przetwarzania danych.</w:t>
      </w:r>
    </w:p>
    <w:p w14:paraId="2DA5E14C" w14:textId="77777777" w:rsidR="004D1514" w:rsidRPr="00894EBA" w:rsidRDefault="004D1514" w:rsidP="00983826">
      <w:pPr>
        <w:tabs>
          <w:tab w:val="left" w:pos="709"/>
        </w:tabs>
        <w:spacing w:before="120"/>
        <w:jc w:val="both"/>
        <w:rPr>
          <w:rFonts w:ascii="Helvetica" w:hAnsi="Helvetica" w:cs="Helvetica"/>
          <w:szCs w:val="24"/>
        </w:rPr>
      </w:pPr>
      <w:r w:rsidRPr="00894EBA">
        <w:rPr>
          <w:rFonts w:ascii="Helvetica" w:hAnsi="Helvetica" w:cs="Helvetica"/>
          <w:szCs w:val="24"/>
        </w:rPr>
        <w:t xml:space="preserve">Zapewnienie poufności nie powinno ograniczać się tylko do informacji, które </w:t>
      </w:r>
      <w:r w:rsidR="00427035" w:rsidRPr="00894EBA">
        <w:rPr>
          <w:rFonts w:ascii="Helvetica" w:hAnsi="Helvetica" w:cs="Helvetica"/>
          <w:szCs w:val="24"/>
        </w:rPr>
        <w:t>są</w:t>
      </w:r>
      <w:r w:rsidR="00427035">
        <w:rPr>
          <w:rFonts w:ascii="Helvetica" w:hAnsi="Helvetica" w:cs="Helvetica"/>
          <w:szCs w:val="24"/>
        </w:rPr>
        <w:t> </w:t>
      </w:r>
      <w:r w:rsidRPr="00894EBA">
        <w:rPr>
          <w:rFonts w:ascii="Helvetica" w:hAnsi="Helvetica" w:cs="Helvetica"/>
          <w:szCs w:val="24"/>
        </w:rPr>
        <w:t xml:space="preserve">przechowywane w centrum przetwarzania danych. Zabezpieczenie takie powinno mieć zastosowanie w zakresie wszystkich informacji jakimi dysponuje </w:t>
      </w:r>
      <w:proofErr w:type="spellStart"/>
      <w:r w:rsidRPr="00894EBA">
        <w:rPr>
          <w:rFonts w:ascii="Helvetica" w:hAnsi="Helvetica" w:cs="Helvetica"/>
          <w:szCs w:val="24"/>
        </w:rPr>
        <w:t>MRiPS</w:t>
      </w:r>
      <w:proofErr w:type="spellEnd"/>
      <w:r w:rsidRPr="00894EBA">
        <w:rPr>
          <w:rFonts w:ascii="Helvetica" w:hAnsi="Helvetica" w:cs="Helvetica"/>
          <w:szCs w:val="24"/>
        </w:rPr>
        <w:t>.</w:t>
      </w:r>
    </w:p>
    <w:p w14:paraId="4FC0F7AD" w14:textId="77777777" w:rsidR="004D1514" w:rsidRPr="00894EBA" w:rsidRDefault="004D1514" w:rsidP="00EF59AF">
      <w:pPr>
        <w:tabs>
          <w:tab w:val="left" w:pos="567"/>
          <w:tab w:val="left" w:pos="709"/>
        </w:tabs>
        <w:spacing w:before="120"/>
        <w:ind w:left="567" w:right="396"/>
        <w:jc w:val="both"/>
        <w:rPr>
          <w:rFonts w:ascii="Helvetica" w:hAnsi="Helvetica" w:cs="Helvetica"/>
          <w:sz w:val="20"/>
        </w:rPr>
      </w:pPr>
      <w:r w:rsidRPr="00894EBA">
        <w:rPr>
          <w:rFonts w:ascii="Helvetica" w:hAnsi="Helvetica" w:cs="Helvetica"/>
          <w:sz w:val="20"/>
        </w:rPr>
        <w:t>W odniesieniu do 4</w:t>
      </w:r>
      <w:r w:rsidRPr="00894EBA">
        <w:rPr>
          <w:rFonts w:ascii="Helvetica" w:hAnsi="Helvetica" w:cs="Helvetica"/>
          <w:b/>
          <w:color w:val="FF0000"/>
          <w:sz w:val="18"/>
          <w:szCs w:val="18"/>
          <w:vertAlign w:val="superscript"/>
        </w:rPr>
        <w:footnoteReference w:id="100"/>
      </w:r>
      <w:r w:rsidRPr="00894EBA">
        <w:rPr>
          <w:rFonts w:ascii="Helvetica" w:hAnsi="Helvetica" w:cs="Helvetica"/>
          <w:sz w:val="20"/>
        </w:rPr>
        <w:t xml:space="preserve"> umów serwisowych, w przypadku których zasadnym było wprowadzenie mechanizmów kontroli lub audytu wykonawcy, wskazano</w:t>
      </w:r>
      <w:r w:rsidRPr="00894EBA">
        <w:rPr>
          <w:rFonts w:ascii="Helvetica" w:hAnsi="Helvetica" w:cs="Helvetica"/>
          <w:b/>
          <w:color w:val="FF0000"/>
          <w:sz w:val="18"/>
          <w:szCs w:val="18"/>
          <w:vertAlign w:val="superscript"/>
        </w:rPr>
        <w:footnoteReference w:id="101"/>
      </w:r>
      <w:r w:rsidRPr="00894EBA">
        <w:rPr>
          <w:rFonts w:ascii="Helvetica" w:hAnsi="Helvetica" w:cs="Helvetica"/>
          <w:sz w:val="20"/>
        </w:rPr>
        <w:t xml:space="preserve">, że wprowadzanie takich mechanizmów nie było konieczne, a weryfikacja prawidłowości działań po stronie wykonawcy może odbywać się </w:t>
      </w:r>
      <w:r w:rsidR="00427035" w:rsidRPr="00894EBA">
        <w:rPr>
          <w:rFonts w:ascii="Helvetica" w:hAnsi="Helvetica" w:cs="Helvetica"/>
          <w:sz w:val="20"/>
        </w:rPr>
        <w:t>w</w:t>
      </w:r>
      <w:r w:rsidR="00427035">
        <w:rPr>
          <w:rFonts w:ascii="Helvetica" w:hAnsi="Helvetica" w:cs="Helvetica"/>
          <w:sz w:val="20"/>
        </w:rPr>
        <w:t> </w:t>
      </w:r>
      <w:r w:rsidRPr="00894EBA">
        <w:rPr>
          <w:rFonts w:ascii="Helvetica" w:eastAsia="Calibri" w:hAnsi="Helvetica" w:cs="Helvetica"/>
          <w:sz w:val="20"/>
          <w:szCs w:val="22"/>
          <w:lang w:eastAsia="en-US"/>
        </w:rPr>
        <w:t>ramach</w:t>
      </w:r>
      <w:r w:rsidRPr="00894EBA">
        <w:rPr>
          <w:rFonts w:ascii="Helvetica" w:hAnsi="Helvetica" w:cs="Helvetica"/>
          <w:sz w:val="20"/>
        </w:rPr>
        <w:t xml:space="preserve"> ewentualnych postępowań odszkodowawczych. Dodano</w:t>
      </w:r>
      <w:r w:rsidRPr="00894EBA">
        <w:rPr>
          <w:rFonts w:ascii="Helvetica" w:hAnsi="Helvetica" w:cs="Helvetica"/>
          <w:b/>
          <w:color w:val="FF0000"/>
          <w:sz w:val="18"/>
          <w:szCs w:val="18"/>
          <w:vertAlign w:val="superscript"/>
        </w:rPr>
        <w:footnoteReference w:id="102"/>
      </w:r>
      <w:r w:rsidRPr="00894EBA">
        <w:rPr>
          <w:rFonts w:ascii="Helvetica" w:hAnsi="Helvetica" w:cs="Helvetica"/>
          <w:sz w:val="20"/>
        </w:rPr>
        <w:t xml:space="preserve"> również, że odpowiednie klauzule zostaną opracowane i będą wprowadzane do treści umów, kiedy będzie t</w:t>
      </w:r>
      <w:r w:rsidR="00EF59AF" w:rsidRPr="00894EBA">
        <w:rPr>
          <w:rFonts w:ascii="Helvetica" w:hAnsi="Helvetica" w:cs="Helvetica"/>
          <w:sz w:val="20"/>
        </w:rPr>
        <w:t>o uzasadnione ich przedmiotem.</w:t>
      </w:r>
    </w:p>
    <w:p w14:paraId="38EA843C" w14:textId="77777777" w:rsidR="004D1514" w:rsidRPr="00894EBA" w:rsidRDefault="004D1514" w:rsidP="00983826">
      <w:pPr>
        <w:tabs>
          <w:tab w:val="left" w:pos="567"/>
          <w:tab w:val="left" w:pos="709"/>
        </w:tabs>
        <w:spacing w:before="60" w:line="300" w:lineRule="atLeast"/>
        <w:jc w:val="both"/>
        <w:rPr>
          <w:rFonts w:ascii="Helvetica" w:hAnsi="Helvetica" w:cs="Helvetica"/>
        </w:rPr>
      </w:pPr>
      <w:r w:rsidRPr="00894EBA">
        <w:rPr>
          <w:rFonts w:ascii="Helvetica" w:hAnsi="Helvetica" w:cs="Helvetica"/>
        </w:rPr>
        <w:t>Zamieszczenie w umowach postanowień dot. uprawnień kontrolnych umożliwiłoby Ministerstwu podejmowanie dodatkowych działań, w szczególności w sytuacjach powzięcia informacji nt. nieprzestrzegania przez wykonawców zasad BI obowiązujących w Jednostce.</w:t>
      </w:r>
    </w:p>
    <w:p w14:paraId="17DFCA37"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szCs w:val="24"/>
        </w:rPr>
      </w:pPr>
      <w:r w:rsidRPr="00894EBA">
        <w:rPr>
          <w:rFonts w:ascii="Helvetica" w:hAnsi="Helvetica" w:cs="Helvetica"/>
          <w:szCs w:val="24"/>
        </w:rPr>
        <w:t xml:space="preserve">Obowiązujące w </w:t>
      </w:r>
      <w:proofErr w:type="spellStart"/>
      <w:r w:rsidRPr="00894EBA">
        <w:rPr>
          <w:rFonts w:ascii="Helvetica" w:hAnsi="Helvetica" w:cs="Helvetica"/>
          <w:szCs w:val="24"/>
        </w:rPr>
        <w:t>MRiPS</w:t>
      </w:r>
      <w:proofErr w:type="spellEnd"/>
      <w:r w:rsidRPr="00894EBA">
        <w:rPr>
          <w:rFonts w:ascii="Helvetica" w:hAnsi="Helvetica" w:cs="Helvetica"/>
          <w:szCs w:val="24"/>
        </w:rPr>
        <w:t xml:space="preserve"> regulacje nie obejmowały wszystkich zagadnień, jakie powinny być uwzględniane przy sporządzaniu umów dot. serwisu i rozwoju sprzętu i oprogramowania informatycznego. Odnosiły się one jedynie się do wymagań stawianych przez przepisy prawa zamówień publicznych</w:t>
      </w:r>
      <w:r w:rsidRPr="00894EBA">
        <w:rPr>
          <w:rFonts w:ascii="Helvetica" w:hAnsi="Helvetica" w:cs="Helvetica"/>
          <w:b/>
          <w:color w:val="FF0000"/>
          <w:sz w:val="18"/>
          <w:szCs w:val="18"/>
          <w:vertAlign w:val="superscript"/>
        </w:rPr>
        <w:footnoteReference w:id="103"/>
      </w:r>
      <w:r w:rsidRPr="00894EBA">
        <w:rPr>
          <w:rFonts w:ascii="Helvetica" w:hAnsi="Helvetica" w:cs="Helvetica"/>
          <w:szCs w:val="24"/>
        </w:rPr>
        <w:t>, finansów publicznych</w:t>
      </w:r>
      <w:r w:rsidRPr="00894EBA">
        <w:rPr>
          <w:rFonts w:ascii="Helvetica" w:hAnsi="Helvetica" w:cs="Helvetica"/>
          <w:b/>
          <w:color w:val="FF0000"/>
          <w:sz w:val="18"/>
          <w:szCs w:val="18"/>
          <w:vertAlign w:val="superscript"/>
        </w:rPr>
        <w:footnoteReference w:id="104"/>
      </w:r>
      <w:r w:rsidRPr="00894EBA">
        <w:rPr>
          <w:rFonts w:ascii="Helvetica" w:hAnsi="Helvetica" w:cs="Helvetica"/>
          <w:szCs w:val="24"/>
        </w:rPr>
        <w:t xml:space="preserve"> oraz ochrony danych osobowych</w:t>
      </w:r>
      <w:r w:rsidRPr="00894EBA">
        <w:rPr>
          <w:rFonts w:ascii="Helvetica" w:hAnsi="Helvetica" w:cs="Helvetica"/>
          <w:b/>
          <w:color w:val="FF0000"/>
          <w:sz w:val="18"/>
          <w:szCs w:val="18"/>
          <w:vertAlign w:val="superscript"/>
        </w:rPr>
        <w:footnoteReference w:id="105"/>
      </w:r>
      <w:r w:rsidRPr="00894EBA">
        <w:rPr>
          <w:rFonts w:ascii="Helvetica" w:hAnsi="Helvetica" w:cs="Helvetica"/>
          <w:szCs w:val="24"/>
        </w:rPr>
        <w:t>. Zatem zasadne byłoby opracowanie katalogu niezbędnych postanowień dotyczących ochrony informacji.</w:t>
      </w:r>
    </w:p>
    <w:p w14:paraId="7F5D6057" w14:textId="77777777" w:rsidR="004D1514" w:rsidRPr="00894EBA" w:rsidRDefault="004D1514" w:rsidP="00EF59AF">
      <w:pPr>
        <w:tabs>
          <w:tab w:val="left" w:pos="567"/>
          <w:tab w:val="left" w:pos="709"/>
        </w:tabs>
        <w:spacing w:before="120"/>
        <w:ind w:left="567" w:right="538"/>
        <w:jc w:val="both"/>
        <w:rPr>
          <w:rFonts w:ascii="Helvetica" w:hAnsi="Helvetica" w:cs="Helvetica"/>
          <w:sz w:val="21"/>
          <w:szCs w:val="21"/>
        </w:rPr>
      </w:pPr>
      <w:r w:rsidRPr="00894EBA">
        <w:rPr>
          <w:rFonts w:ascii="Helvetica" w:hAnsi="Helvetica" w:cs="Helvetica"/>
          <w:sz w:val="21"/>
          <w:szCs w:val="21"/>
        </w:rPr>
        <w:t>W przedmiocie zawierania umów cywilnoprawnych</w:t>
      </w:r>
      <w:r w:rsidRPr="00894EBA">
        <w:rPr>
          <w:rFonts w:ascii="Helvetica" w:hAnsi="Helvetica" w:cs="Helvetica"/>
          <w:b/>
          <w:color w:val="FF0000"/>
          <w:sz w:val="18"/>
          <w:szCs w:val="18"/>
          <w:vertAlign w:val="superscript"/>
        </w:rPr>
        <w:footnoteReference w:id="106"/>
      </w:r>
      <w:r w:rsidRPr="00894EBA">
        <w:rPr>
          <w:rFonts w:ascii="Helvetica" w:hAnsi="Helvetica" w:cs="Helvetica"/>
          <w:sz w:val="21"/>
          <w:szCs w:val="21"/>
        </w:rPr>
        <w:t xml:space="preserve"> regulacje nie określały obowiązku wskazania w umowach dot. serwisu i rozwoju sprzętu i oprogramowania informatycznego postanowień w zakresie:</w:t>
      </w:r>
    </w:p>
    <w:p w14:paraId="3C45EAEF" w14:textId="77777777" w:rsidR="004D1514" w:rsidRPr="00894EBA" w:rsidRDefault="004D1514" w:rsidP="00B559C5">
      <w:pPr>
        <w:numPr>
          <w:ilvl w:val="0"/>
          <w:numId w:val="25"/>
        </w:numPr>
        <w:tabs>
          <w:tab w:val="left" w:pos="567"/>
          <w:tab w:val="left" w:pos="633"/>
        </w:tabs>
        <w:spacing w:before="40"/>
        <w:ind w:left="993" w:hanging="426"/>
        <w:jc w:val="both"/>
        <w:rPr>
          <w:rFonts w:ascii="Helvetica" w:hAnsi="Helvetica" w:cs="Helvetica"/>
          <w:sz w:val="21"/>
          <w:szCs w:val="21"/>
        </w:rPr>
      </w:pPr>
      <w:r w:rsidRPr="00894EBA">
        <w:rPr>
          <w:rFonts w:ascii="Helvetica" w:hAnsi="Helvetica" w:cs="Helvetica"/>
          <w:sz w:val="21"/>
          <w:szCs w:val="21"/>
        </w:rPr>
        <w:t>poufności;</w:t>
      </w:r>
    </w:p>
    <w:p w14:paraId="61529A14" w14:textId="77777777" w:rsidR="004D1514" w:rsidRPr="00894EBA" w:rsidRDefault="004D1514" w:rsidP="00B559C5">
      <w:pPr>
        <w:numPr>
          <w:ilvl w:val="0"/>
          <w:numId w:val="25"/>
        </w:numPr>
        <w:tabs>
          <w:tab w:val="left" w:pos="567"/>
          <w:tab w:val="left" w:pos="633"/>
        </w:tabs>
        <w:spacing w:before="40"/>
        <w:ind w:left="993" w:hanging="426"/>
        <w:jc w:val="both"/>
        <w:rPr>
          <w:rFonts w:ascii="Helvetica" w:hAnsi="Helvetica" w:cs="Helvetica"/>
          <w:sz w:val="21"/>
          <w:szCs w:val="21"/>
        </w:rPr>
      </w:pPr>
      <w:r w:rsidRPr="00894EBA">
        <w:rPr>
          <w:rFonts w:ascii="Helvetica" w:hAnsi="Helvetica" w:cs="Helvetica"/>
          <w:sz w:val="21"/>
          <w:szCs w:val="21"/>
        </w:rPr>
        <w:t>bezstronności;</w:t>
      </w:r>
    </w:p>
    <w:p w14:paraId="38EDE781" w14:textId="77777777" w:rsidR="004D1514" w:rsidRPr="00894EBA" w:rsidRDefault="004D1514" w:rsidP="00B559C5">
      <w:pPr>
        <w:numPr>
          <w:ilvl w:val="0"/>
          <w:numId w:val="25"/>
        </w:numPr>
        <w:tabs>
          <w:tab w:val="left" w:pos="567"/>
          <w:tab w:val="left" w:pos="633"/>
        </w:tabs>
        <w:spacing w:before="40"/>
        <w:ind w:left="993" w:hanging="426"/>
        <w:jc w:val="both"/>
        <w:rPr>
          <w:rFonts w:ascii="Helvetica" w:hAnsi="Helvetica" w:cs="Helvetica"/>
          <w:sz w:val="21"/>
          <w:szCs w:val="21"/>
        </w:rPr>
      </w:pPr>
      <w:r w:rsidRPr="00894EBA">
        <w:rPr>
          <w:rFonts w:ascii="Helvetica" w:hAnsi="Helvetica" w:cs="Helvetica"/>
          <w:sz w:val="21"/>
          <w:szCs w:val="21"/>
        </w:rPr>
        <w:t>parametrów SLA;</w:t>
      </w:r>
    </w:p>
    <w:p w14:paraId="19D70B78" w14:textId="77777777" w:rsidR="004D1514" w:rsidRPr="00894EBA" w:rsidRDefault="004D1514" w:rsidP="00B559C5">
      <w:pPr>
        <w:numPr>
          <w:ilvl w:val="0"/>
          <w:numId w:val="25"/>
        </w:numPr>
        <w:tabs>
          <w:tab w:val="left" w:pos="567"/>
          <w:tab w:val="left" w:pos="633"/>
        </w:tabs>
        <w:spacing w:before="40"/>
        <w:ind w:left="993" w:hanging="426"/>
        <w:jc w:val="both"/>
        <w:rPr>
          <w:rFonts w:ascii="Helvetica" w:hAnsi="Helvetica" w:cs="Helvetica"/>
          <w:sz w:val="21"/>
          <w:szCs w:val="21"/>
        </w:rPr>
      </w:pPr>
      <w:r w:rsidRPr="00894EBA">
        <w:rPr>
          <w:rFonts w:ascii="Helvetica" w:hAnsi="Helvetica" w:cs="Helvetica"/>
          <w:sz w:val="21"/>
          <w:szCs w:val="21"/>
        </w:rPr>
        <w:t>mechanizmów kontroli i audytu wykonawcy;</w:t>
      </w:r>
    </w:p>
    <w:p w14:paraId="69DFB8A2" w14:textId="77777777" w:rsidR="004D1514" w:rsidRPr="00894EBA" w:rsidRDefault="004D1514" w:rsidP="00707CB2">
      <w:pPr>
        <w:numPr>
          <w:ilvl w:val="0"/>
          <w:numId w:val="25"/>
        </w:numPr>
        <w:tabs>
          <w:tab w:val="left" w:pos="567"/>
          <w:tab w:val="left" w:pos="633"/>
        </w:tabs>
        <w:spacing w:before="40"/>
        <w:ind w:left="993" w:right="567" w:hanging="426"/>
        <w:jc w:val="both"/>
        <w:rPr>
          <w:rFonts w:ascii="Helvetica" w:hAnsi="Helvetica" w:cs="Helvetica"/>
          <w:sz w:val="21"/>
          <w:szCs w:val="21"/>
        </w:rPr>
      </w:pPr>
      <w:r w:rsidRPr="00894EBA">
        <w:rPr>
          <w:rFonts w:ascii="Helvetica" w:hAnsi="Helvetica" w:cs="Helvetica"/>
          <w:sz w:val="21"/>
          <w:szCs w:val="21"/>
        </w:rPr>
        <w:t xml:space="preserve">odpowiedzialności i odszkodowania ze strony wykonawcy w przypadku niezastosowania się </w:t>
      </w:r>
      <w:r w:rsidR="00B204B1" w:rsidRPr="00894EBA">
        <w:rPr>
          <w:rFonts w:ascii="Helvetica" w:hAnsi="Helvetica" w:cs="Helvetica"/>
          <w:sz w:val="21"/>
          <w:szCs w:val="21"/>
        </w:rPr>
        <w:t>do</w:t>
      </w:r>
      <w:r w:rsidR="00B204B1">
        <w:rPr>
          <w:rFonts w:ascii="Helvetica" w:hAnsi="Helvetica" w:cs="Helvetica"/>
          <w:sz w:val="21"/>
          <w:szCs w:val="21"/>
        </w:rPr>
        <w:t> </w:t>
      </w:r>
      <w:r w:rsidRPr="00894EBA">
        <w:rPr>
          <w:rFonts w:ascii="Helvetica" w:hAnsi="Helvetica" w:cs="Helvetica"/>
          <w:sz w:val="21"/>
          <w:szCs w:val="21"/>
        </w:rPr>
        <w:t>procedur lub świadomego działania wpływającego na osłabienie systemu bezpieczeństwa;</w:t>
      </w:r>
    </w:p>
    <w:p w14:paraId="46BB07FA" w14:textId="77777777" w:rsidR="004D1514" w:rsidRPr="00894EBA" w:rsidRDefault="004D1514" w:rsidP="00707CB2">
      <w:pPr>
        <w:numPr>
          <w:ilvl w:val="0"/>
          <w:numId w:val="25"/>
        </w:numPr>
        <w:tabs>
          <w:tab w:val="left" w:pos="567"/>
          <w:tab w:val="left" w:pos="633"/>
        </w:tabs>
        <w:spacing w:before="40"/>
        <w:ind w:left="993" w:right="567" w:hanging="426"/>
        <w:jc w:val="both"/>
        <w:rPr>
          <w:rFonts w:ascii="Helvetica" w:hAnsi="Helvetica" w:cs="Helvetica"/>
          <w:sz w:val="21"/>
          <w:szCs w:val="21"/>
        </w:rPr>
      </w:pPr>
      <w:r w:rsidRPr="00894EBA">
        <w:rPr>
          <w:rFonts w:ascii="Helvetica" w:hAnsi="Helvetica" w:cs="Helvetica"/>
          <w:sz w:val="21"/>
          <w:szCs w:val="21"/>
        </w:rPr>
        <w:t xml:space="preserve">kwestii obowiązku obecności (lub jego braku) wyznaczonego pracownika </w:t>
      </w:r>
      <w:proofErr w:type="spellStart"/>
      <w:r w:rsidRPr="00894EBA">
        <w:rPr>
          <w:rFonts w:ascii="Helvetica" w:hAnsi="Helvetica" w:cs="Helvetica"/>
          <w:sz w:val="21"/>
          <w:szCs w:val="21"/>
        </w:rPr>
        <w:t>MRiPS</w:t>
      </w:r>
      <w:proofErr w:type="spellEnd"/>
      <w:r w:rsidRPr="00894EBA">
        <w:rPr>
          <w:rFonts w:ascii="Helvetica" w:hAnsi="Helvetica" w:cs="Helvetica"/>
          <w:sz w:val="21"/>
          <w:szCs w:val="21"/>
        </w:rPr>
        <w:t xml:space="preserve"> przy realizacji przedmiotu umowy dla zapewnienia nadzoru nad jej wykonaniem, jeśli jest </w:t>
      </w:r>
      <w:r w:rsidR="00707CB2" w:rsidRPr="00894EBA">
        <w:rPr>
          <w:rFonts w:ascii="Helvetica" w:hAnsi="Helvetica" w:cs="Helvetica"/>
          <w:sz w:val="21"/>
          <w:szCs w:val="21"/>
        </w:rPr>
        <w:t>to</w:t>
      </w:r>
      <w:r w:rsidR="00707CB2">
        <w:rPr>
          <w:rFonts w:ascii="Helvetica" w:hAnsi="Helvetica" w:cs="Helvetica"/>
          <w:sz w:val="21"/>
          <w:szCs w:val="21"/>
        </w:rPr>
        <w:t> </w:t>
      </w:r>
      <w:r w:rsidRPr="00894EBA">
        <w:rPr>
          <w:rFonts w:ascii="Helvetica" w:hAnsi="Helvetica" w:cs="Helvetica"/>
          <w:sz w:val="21"/>
          <w:szCs w:val="21"/>
        </w:rPr>
        <w:t>uzasadnione jej charakterem;</w:t>
      </w:r>
    </w:p>
    <w:p w14:paraId="102DD598" w14:textId="77777777" w:rsidR="004D1514" w:rsidRPr="00894EBA" w:rsidRDefault="004D1514" w:rsidP="00707CB2">
      <w:pPr>
        <w:numPr>
          <w:ilvl w:val="0"/>
          <w:numId w:val="25"/>
        </w:numPr>
        <w:tabs>
          <w:tab w:val="left" w:pos="567"/>
          <w:tab w:val="left" w:pos="633"/>
        </w:tabs>
        <w:spacing w:before="40"/>
        <w:ind w:left="993" w:right="567" w:hanging="426"/>
        <w:jc w:val="both"/>
        <w:rPr>
          <w:rFonts w:ascii="Helvetica" w:hAnsi="Helvetica" w:cs="Helvetica"/>
          <w:sz w:val="21"/>
          <w:szCs w:val="21"/>
        </w:rPr>
      </w:pPr>
      <w:r w:rsidRPr="00894EBA">
        <w:rPr>
          <w:rFonts w:ascii="Helvetica" w:hAnsi="Helvetica" w:cs="Helvetica"/>
          <w:sz w:val="21"/>
          <w:szCs w:val="21"/>
        </w:rPr>
        <w:t>konieczności określenia osób odpowiedzialnych za sprawowanie bieżącego nadzoru nad ich realizacją lub upoważnionych do kontaktów;</w:t>
      </w:r>
    </w:p>
    <w:p w14:paraId="4967DE8B" w14:textId="77777777" w:rsidR="004D1514" w:rsidRPr="00894EBA" w:rsidRDefault="004D1514" w:rsidP="00707CB2">
      <w:pPr>
        <w:numPr>
          <w:ilvl w:val="0"/>
          <w:numId w:val="25"/>
        </w:numPr>
        <w:tabs>
          <w:tab w:val="left" w:pos="567"/>
          <w:tab w:val="left" w:pos="633"/>
        </w:tabs>
        <w:spacing w:before="40"/>
        <w:ind w:left="993" w:right="567" w:hanging="426"/>
        <w:jc w:val="both"/>
        <w:rPr>
          <w:rFonts w:ascii="Helvetica" w:hAnsi="Helvetica" w:cs="Helvetica"/>
          <w:sz w:val="21"/>
          <w:szCs w:val="21"/>
        </w:rPr>
      </w:pPr>
      <w:r w:rsidRPr="00894EBA">
        <w:rPr>
          <w:rFonts w:ascii="Helvetica" w:hAnsi="Helvetica" w:cs="Helvetica"/>
          <w:sz w:val="21"/>
          <w:szCs w:val="21"/>
        </w:rPr>
        <w:t>uwzględniania opisu i poziomu dostępu do urządzeń przetwarzających informacje lub do pomieszczeń, w których informacje są przechowywane.</w:t>
      </w:r>
    </w:p>
    <w:p w14:paraId="30D1486C" w14:textId="77777777" w:rsidR="004D1514" w:rsidRPr="00894EBA" w:rsidRDefault="004D1514" w:rsidP="00EF59AF">
      <w:pPr>
        <w:tabs>
          <w:tab w:val="left" w:pos="567"/>
          <w:tab w:val="left" w:pos="709"/>
        </w:tabs>
        <w:spacing w:before="60"/>
        <w:ind w:left="567" w:right="538"/>
        <w:jc w:val="both"/>
        <w:rPr>
          <w:rFonts w:ascii="Helvetica" w:hAnsi="Helvetica" w:cs="Helvetica"/>
          <w:sz w:val="16"/>
          <w:szCs w:val="16"/>
        </w:rPr>
      </w:pPr>
      <w:r w:rsidRPr="00894EBA">
        <w:rPr>
          <w:rFonts w:ascii="Helvetica" w:hAnsi="Helvetica" w:cs="Helvetica"/>
          <w:sz w:val="21"/>
          <w:szCs w:val="21"/>
        </w:rPr>
        <w:t>Wyjaśniono</w:t>
      </w:r>
      <w:r w:rsidRPr="00894EBA">
        <w:rPr>
          <w:rFonts w:ascii="Helvetica" w:hAnsi="Helvetica" w:cs="Helvetica"/>
          <w:b/>
          <w:color w:val="FF0000"/>
          <w:sz w:val="18"/>
          <w:szCs w:val="18"/>
          <w:vertAlign w:val="superscript"/>
        </w:rPr>
        <w:footnoteReference w:id="107"/>
      </w:r>
      <w:r w:rsidRPr="00894EBA">
        <w:rPr>
          <w:rFonts w:ascii="Helvetica" w:hAnsi="Helvetica" w:cs="Helvetica"/>
          <w:sz w:val="21"/>
          <w:szCs w:val="21"/>
        </w:rPr>
        <w:t>, że przyjęto reguły określające zestaw minimalnych, ale jednocześnie niezbędnych klauzul, które są wymagane przez prawo zamówień publicznych oraz finanse publiczne</w:t>
      </w:r>
      <w:r w:rsidRPr="00894EBA">
        <w:rPr>
          <w:rFonts w:ascii="Helvetica" w:hAnsi="Helvetica" w:cs="Helvetica"/>
          <w:i/>
          <w:sz w:val="21"/>
          <w:szCs w:val="21"/>
        </w:rPr>
        <w:t xml:space="preserve">. </w:t>
      </w:r>
      <w:r w:rsidRPr="00894EBA">
        <w:rPr>
          <w:rFonts w:ascii="Helvetica" w:hAnsi="Helvetica" w:cs="Helvetica"/>
          <w:sz w:val="21"/>
          <w:szCs w:val="21"/>
        </w:rPr>
        <w:t>Zdaniem Ministerstwa</w:t>
      </w:r>
      <w:r w:rsidRPr="00894EBA">
        <w:rPr>
          <w:rFonts w:ascii="Helvetica" w:hAnsi="Helvetica" w:cs="Helvetica"/>
          <w:b/>
          <w:color w:val="FF0000"/>
          <w:sz w:val="18"/>
          <w:szCs w:val="18"/>
          <w:vertAlign w:val="superscript"/>
        </w:rPr>
        <w:footnoteReference w:id="108"/>
      </w:r>
      <w:r w:rsidRPr="00894EBA">
        <w:rPr>
          <w:rFonts w:ascii="Helvetica" w:hAnsi="Helvetica" w:cs="Helvetica"/>
          <w:sz w:val="21"/>
          <w:szCs w:val="21"/>
        </w:rPr>
        <w:t xml:space="preserve"> wprowadzanie nadmiarowych klauzul, nieadekwatnych dla konkretnego przedmiotu zamówienia może skutkować ponoszeniem zawyżonych i nieuzasadnionych kosztów re</w:t>
      </w:r>
      <w:r w:rsidR="00EF59AF" w:rsidRPr="00894EBA">
        <w:rPr>
          <w:rFonts w:ascii="Helvetica" w:hAnsi="Helvetica" w:cs="Helvetica"/>
          <w:sz w:val="21"/>
          <w:szCs w:val="21"/>
        </w:rPr>
        <w:t>alizacji przedmiotu zamówienia.</w:t>
      </w:r>
    </w:p>
    <w:p w14:paraId="67D42D7A" w14:textId="77777777" w:rsidR="004D1514" w:rsidRPr="00894EBA" w:rsidRDefault="004D1514" w:rsidP="00983826">
      <w:pPr>
        <w:tabs>
          <w:tab w:val="left" w:pos="709"/>
        </w:tabs>
        <w:spacing w:before="120" w:line="300" w:lineRule="atLeast"/>
        <w:jc w:val="both"/>
        <w:rPr>
          <w:rFonts w:ascii="Helvetica" w:hAnsi="Helvetica" w:cs="Helvetica"/>
          <w:b/>
          <w:szCs w:val="24"/>
        </w:rPr>
      </w:pPr>
      <w:r w:rsidRPr="00894EBA">
        <w:rPr>
          <w:rFonts w:ascii="Helvetica" w:hAnsi="Helvetica" w:cs="Helvetica"/>
          <w:szCs w:val="24"/>
        </w:rPr>
        <w:t>Wprowadzenie katalogu postanowień nie oznacza automatyzmu w zakresie ich przenoszenia do treści umów. Katalog ma stanowić pomocnicze narzędzie, które będzie zapobiegać pominięciu istotnych zabezpieczeń w umowach.</w:t>
      </w:r>
    </w:p>
    <w:p w14:paraId="51E17DC8"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szCs w:val="24"/>
        </w:rPr>
      </w:pPr>
      <w:r w:rsidRPr="00894EBA">
        <w:rPr>
          <w:rFonts w:ascii="Helvetica" w:hAnsi="Helvetica" w:cs="Helvetica"/>
          <w:szCs w:val="24"/>
        </w:rPr>
        <w:t>Przyjęte rozwiązania dot. obowiązku zachowania poufności informacji odnosiły się jedynie do części wykonawców. PBI IT zawężała obowiązek składania oświadczeń dot. poufności do osób, które wykonywały prace lub usługi w zakresie obsługi informatycznej lub teleinformatycznej, obsługi nośników danych, w tym utylizacji tych nośników. Natomiast przyjęta praktyka dodatkowo ograniczała realizację tego obowiązku do wykonawców umów, którzy mieli dostęp do zasobów infrastruktury informatycznej centrum przetwarzania danych.</w:t>
      </w:r>
    </w:p>
    <w:p w14:paraId="52A3410A" w14:textId="77777777" w:rsidR="004D1514" w:rsidRPr="00894EBA" w:rsidRDefault="004D1514" w:rsidP="00B559C5">
      <w:pPr>
        <w:tabs>
          <w:tab w:val="left" w:pos="567"/>
          <w:tab w:val="left" w:pos="709"/>
        </w:tabs>
        <w:spacing w:before="120"/>
        <w:ind w:left="567" w:right="538"/>
        <w:jc w:val="both"/>
        <w:rPr>
          <w:rFonts w:ascii="Helvetica" w:hAnsi="Helvetica" w:cs="Helvetica"/>
          <w:sz w:val="21"/>
          <w:szCs w:val="21"/>
        </w:rPr>
      </w:pPr>
      <w:r w:rsidRPr="00894EBA">
        <w:rPr>
          <w:rFonts w:ascii="Helvetica" w:hAnsi="Helvetica" w:cs="Helvetica"/>
          <w:sz w:val="21"/>
          <w:szCs w:val="21"/>
        </w:rPr>
        <w:t>Spośród 11 badanych umów, obowiązek złożenia oświadczenia o poufności, zgodnie z postanowieniami PBI IT</w:t>
      </w:r>
      <w:r w:rsidRPr="00894EBA">
        <w:rPr>
          <w:rFonts w:ascii="Helvetica" w:hAnsi="Helvetica" w:cs="Helvetica"/>
          <w:b/>
          <w:color w:val="FF0000"/>
          <w:sz w:val="18"/>
          <w:szCs w:val="18"/>
          <w:vertAlign w:val="superscript"/>
        </w:rPr>
        <w:footnoteReference w:id="109"/>
      </w:r>
      <w:r w:rsidRPr="00894EBA">
        <w:rPr>
          <w:rFonts w:ascii="Helvetica" w:hAnsi="Helvetica" w:cs="Helvetica"/>
          <w:sz w:val="21"/>
          <w:szCs w:val="21"/>
        </w:rPr>
        <w:t xml:space="preserve"> dot. 10</w:t>
      </w:r>
      <w:r w:rsidRPr="00894EBA">
        <w:rPr>
          <w:rFonts w:ascii="Helvetica" w:hAnsi="Helvetica" w:cs="Helvetica"/>
          <w:b/>
          <w:color w:val="FF0000"/>
          <w:sz w:val="18"/>
          <w:szCs w:val="18"/>
          <w:vertAlign w:val="superscript"/>
        </w:rPr>
        <w:footnoteReference w:id="110"/>
      </w:r>
      <w:r w:rsidRPr="00894EBA">
        <w:rPr>
          <w:rFonts w:ascii="Helvetica" w:hAnsi="Helvetica" w:cs="Helvetica"/>
          <w:sz w:val="21"/>
          <w:szCs w:val="21"/>
        </w:rPr>
        <w:t xml:space="preserve"> umów. Nie został on zrealizowany w przypadku 5</w:t>
      </w:r>
      <w:r w:rsidRPr="00894EBA">
        <w:rPr>
          <w:rFonts w:ascii="Helvetica" w:hAnsi="Helvetica" w:cs="Helvetica"/>
          <w:b/>
          <w:color w:val="FF0000"/>
          <w:sz w:val="18"/>
          <w:szCs w:val="18"/>
          <w:vertAlign w:val="superscript"/>
        </w:rPr>
        <w:footnoteReference w:id="111"/>
      </w:r>
      <w:r w:rsidRPr="00894EBA">
        <w:rPr>
          <w:rFonts w:ascii="Helvetica" w:hAnsi="Helvetica" w:cs="Helvetica"/>
          <w:sz w:val="21"/>
          <w:szCs w:val="21"/>
        </w:rPr>
        <w:t> umów, gdyż jak wyjaśniono</w:t>
      </w:r>
      <w:r w:rsidRPr="00894EBA">
        <w:rPr>
          <w:rFonts w:ascii="Helvetica" w:hAnsi="Helvetica" w:cs="Helvetica"/>
          <w:b/>
          <w:color w:val="FF0000"/>
          <w:sz w:val="18"/>
          <w:szCs w:val="18"/>
          <w:vertAlign w:val="superscript"/>
        </w:rPr>
        <w:footnoteReference w:id="112"/>
      </w:r>
      <w:r w:rsidRPr="00894EBA">
        <w:rPr>
          <w:rFonts w:ascii="Helvetica" w:hAnsi="Helvetica" w:cs="Helvetica"/>
          <w:sz w:val="21"/>
          <w:szCs w:val="21"/>
        </w:rPr>
        <w:t xml:space="preserve"> oświadczenia pobierano jedynie od wykonawców, którzy mieli dostęp do zasobów infrastruktury informatycznej centrum przetwarzania danych. Dodano, że stosowne przepisy PBI IT wymagają doprecyzowania i zostaną zmodyfikowane.</w:t>
      </w:r>
    </w:p>
    <w:p w14:paraId="5C02FF3D" w14:textId="77777777" w:rsidR="004D1514" w:rsidRPr="00894EBA" w:rsidRDefault="004D1514" w:rsidP="00983826">
      <w:pPr>
        <w:tabs>
          <w:tab w:val="left" w:pos="709"/>
        </w:tabs>
        <w:suppressAutoHyphens/>
        <w:spacing w:before="60"/>
        <w:jc w:val="both"/>
        <w:outlineLvl w:val="1"/>
        <w:rPr>
          <w:rFonts w:ascii="Helvetica" w:hAnsi="Helvetica" w:cs="Helvetica"/>
          <w:sz w:val="20"/>
          <w:szCs w:val="24"/>
        </w:rPr>
      </w:pPr>
      <w:r w:rsidRPr="00894EBA">
        <w:rPr>
          <w:rFonts w:ascii="Helvetica" w:hAnsi="Helvetica" w:cs="Helvetica"/>
          <w:szCs w:val="24"/>
        </w:rPr>
        <w:t>Obowiązek zachowania poufności informacji powinien dotyczyć wszystkich wykonawców.</w:t>
      </w:r>
    </w:p>
    <w:p w14:paraId="7A06A27F"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bCs/>
          <w:szCs w:val="24"/>
        </w:rPr>
      </w:pPr>
      <w:r w:rsidRPr="00894EBA">
        <w:rPr>
          <w:rFonts w:ascii="Helvetica" w:hAnsi="Helvetica" w:cs="Helvetica"/>
          <w:b/>
          <w:bCs/>
          <w:szCs w:val="24"/>
        </w:rPr>
        <w:t>[praca na odległość]</w:t>
      </w:r>
      <w:r w:rsidRPr="00894EBA">
        <w:rPr>
          <w:rFonts w:ascii="Helvetica" w:hAnsi="Helvetica" w:cs="Helvetica"/>
          <w:bCs/>
          <w:szCs w:val="24"/>
        </w:rPr>
        <w:t xml:space="preserve"> Pozytywnie należy ocenić działania zapewniające bezpieczną pracę na odległość. PBI IT zawierała ogólne postanowienia w tym zakresie, a w okresie epidemii opracowano </w:t>
      </w:r>
      <w:r w:rsidRPr="00894EBA">
        <w:rPr>
          <w:rFonts w:ascii="Helvetica" w:hAnsi="Helvetica" w:cs="Helvetica"/>
          <w:bCs/>
          <w:i/>
          <w:szCs w:val="24"/>
        </w:rPr>
        <w:t xml:space="preserve">Zasady </w:t>
      </w:r>
      <w:r w:rsidR="00B204B1" w:rsidRPr="00894EBA">
        <w:rPr>
          <w:rFonts w:ascii="Helvetica" w:hAnsi="Helvetica" w:cs="Helvetica"/>
          <w:bCs/>
          <w:i/>
          <w:szCs w:val="24"/>
        </w:rPr>
        <w:t>polec</w:t>
      </w:r>
      <w:r w:rsidR="00B204B1">
        <w:rPr>
          <w:rFonts w:ascii="Helvetica" w:hAnsi="Helvetica" w:cs="Helvetica"/>
          <w:bCs/>
          <w:i/>
          <w:szCs w:val="24"/>
        </w:rPr>
        <w:t>a</w:t>
      </w:r>
      <w:r w:rsidR="00B204B1" w:rsidRPr="00894EBA">
        <w:rPr>
          <w:rFonts w:ascii="Helvetica" w:hAnsi="Helvetica" w:cs="Helvetica"/>
          <w:bCs/>
          <w:i/>
          <w:szCs w:val="24"/>
        </w:rPr>
        <w:t xml:space="preserve">nia </w:t>
      </w:r>
      <w:r w:rsidRPr="00894EBA">
        <w:rPr>
          <w:rFonts w:ascii="Helvetica" w:hAnsi="Helvetica" w:cs="Helvetica"/>
          <w:bCs/>
          <w:i/>
          <w:szCs w:val="24"/>
        </w:rPr>
        <w:t xml:space="preserve">i świadczenia pracy zdalnej </w:t>
      </w:r>
      <w:r w:rsidRPr="00894EBA">
        <w:rPr>
          <w:rFonts w:ascii="Helvetica" w:hAnsi="Helvetica" w:cs="Helvetica"/>
          <w:bCs/>
          <w:szCs w:val="24"/>
        </w:rPr>
        <w:t>(dalej:</w:t>
      </w:r>
      <w:r w:rsidRPr="00894EBA">
        <w:rPr>
          <w:rFonts w:ascii="Helvetica" w:hAnsi="Helvetica" w:cs="Helvetica"/>
          <w:bCs/>
          <w:i/>
          <w:szCs w:val="24"/>
        </w:rPr>
        <w:t xml:space="preserve"> zasady pracy zdalnej</w:t>
      </w:r>
      <w:r w:rsidRPr="00894EBA">
        <w:rPr>
          <w:rFonts w:ascii="Helvetica" w:hAnsi="Helvetica" w:cs="Helvetica"/>
          <w:bCs/>
          <w:szCs w:val="24"/>
        </w:rPr>
        <w:t>)</w:t>
      </w:r>
      <w:r w:rsidRPr="00894EBA">
        <w:rPr>
          <w:rFonts w:ascii="Helvetica" w:hAnsi="Helvetica" w:cs="Helvetica"/>
          <w:b/>
          <w:color w:val="FF0000"/>
          <w:sz w:val="18"/>
          <w:szCs w:val="24"/>
          <w:vertAlign w:val="superscript"/>
        </w:rPr>
        <w:footnoteReference w:id="113"/>
      </w:r>
      <w:r w:rsidRPr="00894EBA">
        <w:rPr>
          <w:rFonts w:ascii="Helvetica" w:hAnsi="Helvetica" w:cs="Helvetica"/>
          <w:bCs/>
          <w:szCs w:val="24"/>
        </w:rPr>
        <w:t xml:space="preserve">. Na urządzeniach mobilnych stosowano zabezpieczenia chroniące informacje </w:t>
      </w:r>
      <w:r w:rsidR="00B204B1" w:rsidRPr="00894EBA">
        <w:rPr>
          <w:rFonts w:ascii="Helvetica" w:hAnsi="Helvetica" w:cs="Helvetica"/>
          <w:bCs/>
          <w:szCs w:val="24"/>
        </w:rPr>
        <w:t>na</w:t>
      </w:r>
      <w:r w:rsidR="00B204B1">
        <w:rPr>
          <w:rFonts w:ascii="Helvetica" w:hAnsi="Helvetica" w:cs="Helvetica"/>
          <w:bCs/>
          <w:szCs w:val="24"/>
        </w:rPr>
        <w:t> </w:t>
      </w:r>
      <w:r w:rsidRPr="00894EBA">
        <w:rPr>
          <w:rFonts w:ascii="Helvetica" w:hAnsi="Helvetica" w:cs="Helvetica"/>
          <w:bCs/>
          <w:szCs w:val="24"/>
        </w:rPr>
        <w:t>nich przetwarzane, w szczególności przez odpowiednią konfigurację stacjonarnego komputera służbowego, do którego następowało połączenie zdalne, uwierzytelnianie użytkownika, bezpieczne szyfrowane połączenie VPN oraz np. zapory sieciowe, systemy wykrywania i zapobiegania włamaniom, oprogramowanie antywirusowe, systemy kontroli dostępu.</w:t>
      </w:r>
    </w:p>
    <w:p w14:paraId="6B94CC15" w14:textId="77777777" w:rsidR="004D1514" w:rsidRPr="00894EBA" w:rsidRDefault="004D1514" w:rsidP="00B559C5">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 xml:space="preserve">PBI IT </w:t>
      </w:r>
      <w:r w:rsidRPr="00894EBA">
        <w:rPr>
          <w:rFonts w:ascii="Helvetica" w:hAnsi="Helvetica" w:cs="Helvetica"/>
          <w:bCs/>
          <w:sz w:val="21"/>
          <w:szCs w:val="21"/>
        </w:rPr>
        <w:t xml:space="preserve">zawierała postanowienia dot. komputerów przenośnych i pracy na odległość, </w:t>
      </w:r>
      <w:r w:rsidRPr="00894EBA">
        <w:rPr>
          <w:rFonts w:ascii="Helvetica" w:hAnsi="Helvetica" w:cs="Helvetica"/>
          <w:sz w:val="21"/>
          <w:szCs w:val="21"/>
        </w:rPr>
        <w:t>przyznawania urządzeń zdalnego dostępu</w:t>
      </w:r>
      <w:r w:rsidRPr="00894EBA">
        <w:rPr>
          <w:rFonts w:ascii="Helvetica" w:hAnsi="Helvetica" w:cs="Helvetica"/>
          <w:b/>
          <w:color w:val="FF0000"/>
          <w:sz w:val="18"/>
          <w:vertAlign w:val="superscript"/>
        </w:rPr>
        <w:footnoteReference w:id="114"/>
      </w:r>
      <w:r w:rsidRPr="00894EBA">
        <w:rPr>
          <w:rFonts w:ascii="Helvetica" w:hAnsi="Helvetica" w:cs="Helvetica"/>
          <w:bCs/>
          <w:sz w:val="21"/>
          <w:szCs w:val="21"/>
        </w:rPr>
        <w:t>, zasad uzyskiwania zdalnego dostępu do sieci dla usługodawcy zewnętrznego</w:t>
      </w:r>
      <w:r w:rsidRPr="00894EBA">
        <w:rPr>
          <w:rFonts w:ascii="Helvetica" w:hAnsi="Helvetica" w:cs="Helvetica"/>
          <w:b/>
          <w:color w:val="FF0000"/>
          <w:sz w:val="18"/>
          <w:vertAlign w:val="superscript"/>
        </w:rPr>
        <w:footnoteReference w:id="115"/>
      </w:r>
      <w:r w:rsidRPr="00894EBA">
        <w:rPr>
          <w:rFonts w:ascii="Helvetica" w:hAnsi="Helvetica" w:cs="Helvetica"/>
          <w:bCs/>
          <w:sz w:val="21"/>
          <w:szCs w:val="21"/>
        </w:rPr>
        <w:t>. Z</w:t>
      </w:r>
      <w:r w:rsidRPr="00894EBA">
        <w:rPr>
          <w:rFonts w:ascii="Helvetica" w:hAnsi="Helvetica" w:cs="Helvetica"/>
          <w:i/>
          <w:sz w:val="21"/>
          <w:szCs w:val="21"/>
        </w:rPr>
        <w:t>asady pracy zdalnej</w:t>
      </w:r>
      <w:r w:rsidRPr="00894EBA">
        <w:rPr>
          <w:rFonts w:ascii="Helvetica" w:hAnsi="Helvetica" w:cs="Helvetica"/>
          <w:sz w:val="21"/>
          <w:szCs w:val="21"/>
        </w:rPr>
        <w:t xml:space="preserve"> określały m.in. zlecanie pracy zdalnej i sporządzanie harmonogramów dot. osób ją wykonujących, sprzętu informatycznego i bezpiecznego dostępu do zasobów </w:t>
      </w:r>
      <w:proofErr w:type="spellStart"/>
      <w:r w:rsidRPr="00894EBA">
        <w:rPr>
          <w:rFonts w:ascii="Helvetica" w:hAnsi="Helvetica" w:cs="Helvetica"/>
          <w:sz w:val="21"/>
          <w:szCs w:val="21"/>
        </w:rPr>
        <w:t>MRiPS</w:t>
      </w:r>
      <w:proofErr w:type="spellEnd"/>
      <w:r w:rsidRPr="00894EBA">
        <w:rPr>
          <w:rFonts w:ascii="Helvetica" w:hAnsi="Helvetica" w:cs="Helvetica"/>
          <w:sz w:val="21"/>
          <w:szCs w:val="21"/>
        </w:rPr>
        <w:t>, obowiązki pracowników oraz organizację pracy zdalnej. Przewidywały też możliwość wykonywania pracy zdalnej na sprzęcie prywatnym pracownika.</w:t>
      </w:r>
    </w:p>
    <w:p w14:paraId="46663BD6" w14:textId="77777777" w:rsidR="004D1514" w:rsidRPr="00894EBA" w:rsidRDefault="004D1514" w:rsidP="00B559C5">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 xml:space="preserve">Sprzęt prywatny był wykorzystywany, gdy nie było innej możliwości. Służył on wyłącznie do zestawienia połączenia VPN i uruchomienia pulpitu zdalnego. Pracownik wykonując pracę zdalną wykorzystywał oprogramowanie, które zainstalowano i skonfigurowano na jego służbowym komputerze stacjonarnym. Dostęp do zasobów / systemów następował nie z komputera zdalnego (prywatnego) lecz z komputera znajdującego się w sieci </w:t>
      </w:r>
      <w:proofErr w:type="spellStart"/>
      <w:r w:rsidRPr="00894EBA">
        <w:rPr>
          <w:rFonts w:ascii="Helvetica" w:hAnsi="Helvetica" w:cs="Helvetica"/>
          <w:sz w:val="21"/>
          <w:szCs w:val="21"/>
        </w:rPr>
        <w:t>MRiPS</w:t>
      </w:r>
      <w:proofErr w:type="spellEnd"/>
      <w:r w:rsidRPr="00894EBA">
        <w:rPr>
          <w:rFonts w:ascii="Helvetica" w:hAnsi="Helvetica" w:cs="Helvetica"/>
          <w:sz w:val="21"/>
          <w:szCs w:val="21"/>
        </w:rPr>
        <w:t>.</w:t>
      </w:r>
    </w:p>
    <w:p w14:paraId="5B126478" w14:textId="77777777" w:rsidR="004D1514" w:rsidRPr="00894EBA" w:rsidRDefault="004D1514" w:rsidP="00B559C5">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Zasadą było, że pracownicy korzystający zdalnie ze sprzętu służbowego posiadali skonfigurowane urządzenia, aby zapewniały one dostęp do zasobów i uprawnień, jakie zostały przydzielone pracownikowi w przypadku świadczenia pracy w trybie stacjonarnym. Osoby korzystające ze sprzętu prywatnego otrzymywały dostęp do poczty elektronicznej i systemu obiegu dokumentów, a udzielenie szerszego zakresu następowało na podstawie wniosku kierownika komórki, w której zatrudniony był pracownik, po zatwierdzeniu przez Dyrektora DI.</w:t>
      </w:r>
    </w:p>
    <w:p w14:paraId="6BA546BA" w14:textId="77777777" w:rsidR="004D1514" w:rsidRPr="00894EBA" w:rsidRDefault="004D1514" w:rsidP="00B559C5">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Praca zdalna była ewidencjonowana, tj. prowadzono wykazy pracowników pracujących na prywatnym, jak i służbowym sprzęcie ze wskazaniem okresu jej realizacji.</w:t>
      </w:r>
    </w:p>
    <w:p w14:paraId="3E97466E"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bCs/>
          <w:szCs w:val="24"/>
        </w:rPr>
      </w:pPr>
      <w:r w:rsidRPr="00894EBA">
        <w:rPr>
          <w:rFonts w:ascii="Helvetica" w:hAnsi="Helvetica" w:cs="Helvetica"/>
          <w:bCs/>
          <w:szCs w:val="24"/>
        </w:rPr>
        <w:t>Wdrożono narzędzia umożliwiające monitorowanie użytkowników świadczących pracę zdalnie w celu wykrycia nieuprawnionych działań, czynności te nie były jednak dokumentowane.</w:t>
      </w:r>
    </w:p>
    <w:p w14:paraId="4C75C35A" w14:textId="77777777" w:rsidR="004D1514" w:rsidRPr="00894EBA" w:rsidRDefault="004D1514" w:rsidP="00B559C5">
      <w:pPr>
        <w:tabs>
          <w:tab w:val="left" w:pos="709"/>
        </w:tabs>
        <w:spacing w:before="60"/>
        <w:ind w:left="567" w:right="538"/>
        <w:jc w:val="both"/>
        <w:rPr>
          <w:rFonts w:ascii="Helvetica" w:hAnsi="Helvetica" w:cs="Helvetica"/>
          <w:szCs w:val="24"/>
        </w:rPr>
      </w:pPr>
      <w:r w:rsidRPr="00894EBA">
        <w:rPr>
          <w:rFonts w:ascii="Helvetica" w:hAnsi="Helvetica" w:cs="Helvetica"/>
          <w:sz w:val="21"/>
          <w:szCs w:val="21"/>
        </w:rPr>
        <w:t>Zgodnie z PBI IT</w:t>
      </w:r>
      <w:r w:rsidRPr="00894EBA">
        <w:rPr>
          <w:rFonts w:ascii="Helvetica" w:hAnsi="Helvetica" w:cs="Helvetica"/>
          <w:b/>
          <w:color w:val="FF0000"/>
          <w:sz w:val="18"/>
          <w:vertAlign w:val="superscript"/>
        </w:rPr>
        <w:footnoteReference w:id="116"/>
      </w:r>
      <w:r w:rsidRPr="00894EBA">
        <w:rPr>
          <w:rFonts w:ascii="Helvetica" w:hAnsi="Helvetica" w:cs="Helvetica"/>
          <w:sz w:val="21"/>
          <w:szCs w:val="21"/>
        </w:rPr>
        <w:t xml:space="preserve"> kluczowe systemy informatyczne powinny być monitorowane w celu wykrycia w nich nieuprawnionych działań. W procedurze </w:t>
      </w:r>
      <w:r w:rsidRPr="00894EBA">
        <w:rPr>
          <w:rFonts w:ascii="Helvetica" w:hAnsi="Helvetica" w:cs="Helvetica"/>
          <w:i/>
          <w:sz w:val="21"/>
          <w:szCs w:val="21"/>
        </w:rPr>
        <w:t xml:space="preserve">Dostęp zdalny do zasobów </w:t>
      </w:r>
      <w:proofErr w:type="spellStart"/>
      <w:r w:rsidRPr="00894EBA">
        <w:rPr>
          <w:rFonts w:ascii="Helvetica" w:hAnsi="Helvetica" w:cs="Helvetica"/>
          <w:i/>
          <w:sz w:val="21"/>
          <w:szCs w:val="21"/>
        </w:rPr>
        <w:t>MRiPS</w:t>
      </w:r>
      <w:proofErr w:type="spellEnd"/>
      <w:r w:rsidRPr="00894EBA">
        <w:rPr>
          <w:rFonts w:ascii="Helvetica" w:hAnsi="Helvetica" w:cs="Helvetica"/>
          <w:b/>
          <w:color w:val="FF0000"/>
          <w:sz w:val="18"/>
          <w:vertAlign w:val="superscript"/>
        </w:rPr>
        <w:footnoteReference w:id="117"/>
      </w:r>
      <w:r w:rsidRPr="00894EBA">
        <w:rPr>
          <w:rFonts w:ascii="Helvetica" w:hAnsi="Helvetica" w:cs="Helvetica"/>
          <w:sz w:val="21"/>
          <w:szCs w:val="21"/>
        </w:rPr>
        <w:t xml:space="preserve"> przewidziano, że </w:t>
      </w:r>
      <w:r w:rsidRPr="00894EBA">
        <w:rPr>
          <w:rFonts w:ascii="Helvetica" w:hAnsi="Helvetica" w:cs="Helvetica"/>
          <w:i/>
          <w:sz w:val="21"/>
          <w:szCs w:val="21"/>
        </w:rPr>
        <w:t xml:space="preserve">korzystanie z połączenia zdalnego wiąże się z wyrażeniem zgody na monitorowanie działań użytkownika w sieci </w:t>
      </w:r>
      <w:proofErr w:type="spellStart"/>
      <w:r w:rsidRPr="00894EBA">
        <w:rPr>
          <w:rFonts w:ascii="Helvetica" w:hAnsi="Helvetica" w:cs="Helvetica"/>
          <w:i/>
          <w:sz w:val="21"/>
          <w:szCs w:val="21"/>
        </w:rPr>
        <w:t>MRiPS</w:t>
      </w:r>
      <w:proofErr w:type="spellEnd"/>
      <w:r w:rsidRPr="00894EBA">
        <w:rPr>
          <w:rFonts w:ascii="Helvetica" w:hAnsi="Helvetica" w:cs="Helvetica"/>
          <w:b/>
          <w:color w:val="FF0000"/>
          <w:sz w:val="18"/>
          <w:vertAlign w:val="superscript"/>
        </w:rPr>
        <w:footnoteReference w:id="118"/>
      </w:r>
      <w:r w:rsidRPr="00894EBA">
        <w:rPr>
          <w:rFonts w:ascii="Helvetica" w:hAnsi="Helvetica" w:cs="Helvetica"/>
          <w:i/>
          <w:sz w:val="21"/>
          <w:szCs w:val="21"/>
        </w:rPr>
        <w:t xml:space="preserve">. </w:t>
      </w:r>
      <w:r w:rsidRPr="00894EBA">
        <w:rPr>
          <w:rFonts w:ascii="Helvetica" w:hAnsi="Helvetica" w:cs="Helvetica"/>
          <w:sz w:val="21"/>
          <w:szCs w:val="21"/>
        </w:rPr>
        <w:t>Ze wszystkich połączeń użytkowników zbierano logi w urządzeniu VPN oraz z systemów typu IPS. Narzędzia zapewniające bezpieczeństwo</w:t>
      </w:r>
      <w:r w:rsidRPr="00894EBA">
        <w:rPr>
          <w:rFonts w:ascii="Helvetica" w:hAnsi="Helvetica" w:cs="Helvetica"/>
          <w:b/>
          <w:color w:val="FF0000"/>
          <w:sz w:val="18"/>
          <w:vertAlign w:val="superscript"/>
        </w:rPr>
        <w:footnoteReference w:id="119"/>
      </w:r>
      <w:r w:rsidRPr="00894EBA">
        <w:rPr>
          <w:rFonts w:ascii="Helvetica" w:hAnsi="Helvetica" w:cs="Helvetica"/>
          <w:sz w:val="21"/>
          <w:szCs w:val="21"/>
        </w:rPr>
        <w:t xml:space="preserve">, m.in. dokonują badania treści pakietów transmitowanych </w:t>
      </w:r>
      <w:r w:rsidR="00053318" w:rsidRPr="00894EBA">
        <w:rPr>
          <w:rFonts w:ascii="Helvetica" w:hAnsi="Helvetica" w:cs="Helvetica"/>
          <w:sz w:val="21"/>
          <w:szCs w:val="21"/>
        </w:rPr>
        <w:t>z</w:t>
      </w:r>
      <w:r w:rsidR="00053318">
        <w:rPr>
          <w:rFonts w:ascii="Helvetica" w:hAnsi="Helvetica" w:cs="Helvetica"/>
          <w:sz w:val="21"/>
          <w:szCs w:val="21"/>
        </w:rPr>
        <w:t> </w:t>
      </w:r>
      <w:r w:rsidRPr="00894EBA">
        <w:rPr>
          <w:rFonts w:ascii="Helvetica" w:hAnsi="Helvetica" w:cs="Helvetica"/>
          <w:sz w:val="21"/>
          <w:szCs w:val="21"/>
        </w:rPr>
        <w:t>i</w:t>
      </w:r>
      <w:r w:rsidR="00053318">
        <w:rPr>
          <w:rFonts w:ascii="Helvetica" w:hAnsi="Helvetica" w:cs="Helvetica"/>
          <w:sz w:val="21"/>
          <w:szCs w:val="21"/>
        </w:rPr>
        <w:t> </w:t>
      </w:r>
      <w:r w:rsidRPr="00894EBA">
        <w:rPr>
          <w:rFonts w:ascii="Helvetica" w:hAnsi="Helvetica" w:cs="Helvetica"/>
          <w:sz w:val="21"/>
          <w:szCs w:val="21"/>
        </w:rPr>
        <w:t xml:space="preserve">do wewnętrznej sieci </w:t>
      </w:r>
      <w:proofErr w:type="spellStart"/>
      <w:r w:rsidRPr="00894EBA">
        <w:rPr>
          <w:rFonts w:ascii="Helvetica" w:hAnsi="Helvetica" w:cs="Helvetica"/>
          <w:sz w:val="21"/>
          <w:szCs w:val="21"/>
        </w:rPr>
        <w:t>MRiPS</w:t>
      </w:r>
      <w:proofErr w:type="spellEnd"/>
      <w:r w:rsidRPr="00894EBA">
        <w:rPr>
          <w:rFonts w:ascii="Helvetica" w:hAnsi="Helvetica" w:cs="Helvetica"/>
          <w:sz w:val="21"/>
          <w:szCs w:val="21"/>
        </w:rPr>
        <w:t xml:space="preserve">, a w przypadku naruszenia bezpieczeństwa prezentują alerty. W przypadku braku alertu stan taki traktowany jest jako równoznaczny z brakiem wystąpienia naruszeń i zagrożeń BI. Monitoring realizowany jest w ramach bieżących zadań i codziennych czynności pracowników odpowiedzialnych za jego prowadzenie. Z czynności tych nie jest sporządzana osobna dokumentacja papierowa. Wskazano, że w badanym okresie nie doszło do sytuacji cofnięcia </w:t>
      </w:r>
      <w:r w:rsidR="00B559C5" w:rsidRPr="00894EBA">
        <w:rPr>
          <w:rFonts w:ascii="Helvetica" w:hAnsi="Helvetica" w:cs="Helvetica"/>
          <w:sz w:val="21"/>
          <w:szCs w:val="21"/>
        </w:rPr>
        <w:t>użytkownikowi zdalnego dostępu.</w:t>
      </w:r>
    </w:p>
    <w:p w14:paraId="5CD421EB"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i/>
          <w:szCs w:val="24"/>
        </w:rPr>
      </w:pPr>
      <w:r w:rsidRPr="00894EBA">
        <w:rPr>
          <w:rFonts w:ascii="Helvetica" w:hAnsi="Helvetica" w:cs="Helvetica"/>
          <w:b/>
          <w:szCs w:val="24"/>
        </w:rPr>
        <w:t xml:space="preserve">[kopie zapasowe] </w:t>
      </w:r>
      <w:r w:rsidRPr="00894EBA">
        <w:rPr>
          <w:rFonts w:ascii="Helvetica" w:hAnsi="Helvetica" w:cs="Helvetica"/>
          <w:szCs w:val="24"/>
        </w:rPr>
        <w:t>Działania w zakresie</w:t>
      </w:r>
      <w:r w:rsidRPr="00894EBA">
        <w:rPr>
          <w:rFonts w:ascii="Helvetica" w:hAnsi="Helvetica" w:cs="Helvetica"/>
          <w:b/>
          <w:szCs w:val="24"/>
        </w:rPr>
        <w:t xml:space="preserve"> </w:t>
      </w:r>
      <w:r w:rsidRPr="00894EBA">
        <w:rPr>
          <w:rFonts w:ascii="Helvetica" w:hAnsi="Helvetica" w:cs="Helvetica"/>
          <w:szCs w:val="24"/>
        </w:rPr>
        <w:t>wykonywania i testowania kopii zapasowych były wykonywane prawidłowo. Zostały one dostosowane do potrzeb Ministerstwa i wspierały jednostkę</w:t>
      </w:r>
      <w:r w:rsidRPr="00894EBA">
        <w:rPr>
          <w:rFonts w:ascii="Helvetica" w:hAnsi="Helvetica" w:cs="Helvetica"/>
          <w:i/>
          <w:szCs w:val="24"/>
        </w:rPr>
        <w:t xml:space="preserve"> </w:t>
      </w:r>
      <w:r w:rsidRPr="00894EBA">
        <w:rPr>
          <w:rFonts w:ascii="Helvetica" w:hAnsi="Helvetica" w:cs="Helvetica"/>
          <w:szCs w:val="24"/>
        </w:rPr>
        <w:t>w zarządzaniu tym obszarem.</w:t>
      </w:r>
      <w:r w:rsidRPr="00894EBA">
        <w:rPr>
          <w:rFonts w:ascii="Helvetica" w:hAnsi="Helvetica" w:cs="Helvetica"/>
          <w:i/>
          <w:szCs w:val="24"/>
        </w:rPr>
        <w:t xml:space="preserve"> </w:t>
      </w:r>
      <w:r w:rsidRPr="00894EBA">
        <w:rPr>
          <w:rFonts w:ascii="Helvetica" w:hAnsi="Helvetica" w:cs="Helvetica"/>
          <w:szCs w:val="24"/>
        </w:rPr>
        <w:t>Wprowadzono też odpowiednie regulacje w PBI IT</w:t>
      </w:r>
      <w:r w:rsidRPr="00894EBA">
        <w:rPr>
          <w:rFonts w:ascii="Helvetica" w:hAnsi="Helvetica" w:cs="Helvetica"/>
          <w:b/>
          <w:color w:val="FF0000"/>
          <w:sz w:val="18"/>
          <w:szCs w:val="24"/>
          <w:vertAlign w:val="superscript"/>
        </w:rPr>
        <w:footnoteReference w:id="120"/>
      </w:r>
      <w:r w:rsidRPr="00894EBA">
        <w:rPr>
          <w:rFonts w:ascii="Helvetica" w:hAnsi="Helvetica" w:cs="Helvetica"/>
          <w:szCs w:val="24"/>
        </w:rPr>
        <w:t xml:space="preserve">, a ich uszczegółowienie nastąpiło w dokumentacji Systemu backupu </w:t>
      </w:r>
      <w:proofErr w:type="spellStart"/>
      <w:r w:rsidRPr="00894EBA">
        <w:rPr>
          <w:rFonts w:ascii="Helvetica" w:hAnsi="Helvetica" w:cs="Helvetica"/>
          <w:szCs w:val="24"/>
        </w:rPr>
        <w:t>Commvault</w:t>
      </w:r>
      <w:proofErr w:type="spellEnd"/>
      <w:r w:rsidRPr="00894EBA">
        <w:rPr>
          <w:rFonts w:ascii="Helvetica" w:hAnsi="Helvetica" w:cs="Helvetica"/>
          <w:b/>
          <w:color w:val="FF0000"/>
          <w:sz w:val="18"/>
          <w:szCs w:val="24"/>
          <w:vertAlign w:val="superscript"/>
        </w:rPr>
        <w:footnoteReference w:id="121"/>
      </w:r>
      <w:r w:rsidRPr="00894EBA">
        <w:rPr>
          <w:rFonts w:ascii="Helvetica" w:hAnsi="Helvetica" w:cs="Helvetica"/>
          <w:szCs w:val="24"/>
        </w:rPr>
        <w:t xml:space="preserve"> oraz w </w:t>
      </w:r>
      <w:r w:rsidRPr="00894EBA">
        <w:rPr>
          <w:rFonts w:ascii="Helvetica" w:hAnsi="Helvetica" w:cs="Helvetica"/>
          <w:i/>
          <w:szCs w:val="24"/>
        </w:rPr>
        <w:t xml:space="preserve">Polityce kopii zapasowych </w:t>
      </w:r>
      <w:proofErr w:type="spellStart"/>
      <w:r w:rsidRPr="00894EBA">
        <w:rPr>
          <w:rFonts w:ascii="Helvetica" w:hAnsi="Helvetica" w:cs="Helvetica"/>
          <w:i/>
          <w:szCs w:val="24"/>
        </w:rPr>
        <w:t>MRPiPS</w:t>
      </w:r>
      <w:proofErr w:type="spellEnd"/>
      <w:r w:rsidRPr="00894EBA">
        <w:rPr>
          <w:rFonts w:ascii="Helvetica" w:hAnsi="Helvetica" w:cs="Helvetica"/>
          <w:b/>
          <w:color w:val="FF0000"/>
          <w:sz w:val="18"/>
          <w:szCs w:val="24"/>
          <w:vertAlign w:val="superscript"/>
        </w:rPr>
        <w:footnoteReference w:id="122"/>
      </w:r>
      <w:r w:rsidRPr="00894EBA">
        <w:rPr>
          <w:rFonts w:ascii="Helvetica" w:hAnsi="Helvetica" w:cs="Helvetica"/>
          <w:i/>
          <w:szCs w:val="24"/>
        </w:rPr>
        <w:t>.</w:t>
      </w:r>
    </w:p>
    <w:p w14:paraId="5126267C" w14:textId="77777777" w:rsidR="004D1514" w:rsidRPr="00894EBA" w:rsidRDefault="004D1514" w:rsidP="00B559C5">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 xml:space="preserve">Do zarządzania kopiami wykorzystywane było oprogramowanie </w:t>
      </w:r>
      <w:proofErr w:type="spellStart"/>
      <w:r w:rsidRPr="00894EBA">
        <w:rPr>
          <w:rFonts w:ascii="Helvetica" w:hAnsi="Helvetica" w:cs="Helvetica"/>
          <w:sz w:val="21"/>
          <w:szCs w:val="21"/>
        </w:rPr>
        <w:t>Commvault</w:t>
      </w:r>
      <w:proofErr w:type="spellEnd"/>
      <w:r w:rsidRPr="00894EBA">
        <w:rPr>
          <w:rFonts w:ascii="Helvetica" w:hAnsi="Helvetica" w:cs="Helvetica"/>
          <w:b/>
          <w:color w:val="FF0000"/>
          <w:sz w:val="18"/>
          <w:vertAlign w:val="superscript"/>
        </w:rPr>
        <w:footnoteReference w:id="123"/>
      </w:r>
      <w:r w:rsidRPr="00894EBA">
        <w:rPr>
          <w:rFonts w:ascii="Helvetica" w:hAnsi="Helvetica" w:cs="Helvetica"/>
          <w:sz w:val="21"/>
          <w:szCs w:val="21"/>
        </w:rPr>
        <w:t xml:space="preserve">, które zapewniało ich ewidencję. Kopie tworzone były dla wszystkich systemów teleinformatycznych. Każdy system posiadał indywidualnie zdefiniowaną częstotliwość ich sporządzania, w zależności od poziomu jego istotności. W przypadku trzech badanych systemów pełna kopia zapasowa tworzona była raz w tygodniu, a następnie codziennie sporządzano kopie przyrostowe. Przechowywano je przez okres 30 dni, w cyklu utrzymania 4 kopii pełnych. System backupu weryfikował poprawność utworzenia kopii i w przypadku ich nieprawidłowego zapisu wysyłał </w:t>
      </w:r>
      <w:r w:rsidR="00340D86">
        <w:rPr>
          <w:rFonts w:ascii="Helvetica" w:hAnsi="Helvetica" w:cs="Helvetica"/>
          <w:sz w:val="21"/>
          <w:szCs w:val="21"/>
        </w:rPr>
        <w:t>mejlem</w:t>
      </w:r>
      <w:r w:rsidR="00340D86" w:rsidRPr="00894EBA">
        <w:rPr>
          <w:rFonts w:ascii="Helvetica" w:hAnsi="Helvetica" w:cs="Helvetica"/>
          <w:sz w:val="21"/>
          <w:szCs w:val="21"/>
        </w:rPr>
        <w:t xml:space="preserve"> </w:t>
      </w:r>
      <w:r w:rsidRPr="00894EBA">
        <w:rPr>
          <w:rFonts w:ascii="Helvetica" w:hAnsi="Helvetica" w:cs="Helvetica"/>
          <w:sz w:val="21"/>
          <w:szCs w:val="21"/>
        </w:rPr>
        <w:t xml:space="preserve">do uprawnionych pracowników </w:t>
      </w:r>
      <w:r w:rsidRPr="00894EBA">
        <w:rPr>
          <w:rFonts w:ascii="Helvetica" w:hAnsi="Helvetica" w:cs="Helvetica"/>
          <w:i/>
          <w:sz w:val="21"/>
          <w:szCs w:val="21"/>
        </w:rPr>
        <w:t>Raport niepowodzeń</w:t>
      </w:r>
      <w:r w:rsidRPr="00894EBA">
        <w:rPr>
          <w:rFonts w:ascii="Helvetica" w:hAnsi="Helvetica" w:cs="Helvetica"/>
          <w:sz w:val="21"/>
          <w:szCs w:val="21"/>
        </w:rPr>
        <w:t xml:space="preserve">. Na jego podstawie podejmowano dalsze działania w celu usunięcia przyczyn zaraportowanych błędów. W uzasadnionych sytuacjach podejmowane też były działania związane </w:t>
      </w:r>
      <w:r w:rsidR="00340D86" w:rsidRPr="00894EBA">
        <w:rPr>
          <w:rFonts w:ascii="Helvetica" w:hAnsi="Helvetica" w:cs="Helvetica"/>
          <w:sz w:val="21"/>
          <w:szCs w:val="21"/>
        </w:rPr>
        <w:t>z</w:t>
      </w:r>
      <w:r w:rsidR="00340D86">
        <w:rPr>
          <w:rFonts w:ascii="Helvetica" w:hAnsi="Helvetica" w:cs="Helvetica"/>
          <w:sz w:val="21"/>
          <w:szCs w:val="21"/>
        </w:rPr>
        <w:t> </w:t>
      </w:r>
      <w:r w:rsidRPr="00894EBA">
        <w:rPr>
          <w:rFonts w:ascii="Helvetica" w:hAnsi="Helvetica" w:cs="Helvetica"/>
          <w:sz w:val="21"/>
          <w:szCs w:val="21"/>
        </w:rPr>
        <w:t xml:space="preserve">odtworzeniem kopii. Wykonywano je również w przypadkach problemów zgłaszanych przez pracowników. Każde działanie związane z odtworzeniem kopii odnotowywano w </w:t>
      </w:r>
      <w:r w:rsidRPr="00894EBA">
        <w:rPr>
          <w:rFonts w:ascii="Helvetica" w:hAnsi="Helvetica" w:cs="Helvetica"/>
          <w:i/>
          <w:sz w:val="21"/>
          <w:szCs w:val="21"/>
        </w:rPr>
        <w:t>Raporcie odtwarzania zasobów backupu</w:t>
      </w:r>
      <w:r w:rsidRPr="00894EBA">
        <w:rPr>
          <w:rFonts w:ascii="Helvetica" w:hAnsi="Helvetica" w:cs="Helvetica"/>
          <w:b/>
          <w:color w:val="FF0000"/>
          <w:sz w:val="18"/>
          <w:vertAlign w:val="superscript"/>
        </w:rPr>
        <w:footnoteReference w:id="124"/>
      </w:r>
      <w:r w:rsidR="00B559C5" w:rsidRPr="00894EBA">
        <w:rPr>
          <w:rFonts w:ascii="Helvetica" w:hAnsi="Helvetica" w:cs="Helvetica"/>
          <w:sz w:val="21"/>
          <w:szCs w:val="21"/>
        </w:rPr>
        <w:t>.</w:t>
      </w:r>
    </w:p>
    <w:p w14:paraId="3F9F5563"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bCs/>
          <w:szCs w:val="24"/>
        </w:rPr>
      </w:pPr>
      <w:r w:rsidRPr="00894EBA">
        <w:rPr>
          <w:rFonts w:ascii="Helvetica" w:hAnsi="Helvetica" w:cs="Helvetica"/>
          <w:b/>
          <w:bCs/>
          <w:szCs w:val="24"/>
        </w:rPr>
        <w:t xml:space="preserve">[projektowanie, eksploatacja oraz wdrażanie zmian w systemach] </w:t>
      </w:r>
      <w:proofErr w:type="spellStart"/>
      <w:r w:rsidRPr="00894EBA">
        <w:rPr>
          <w:rFonts w:ascii="Helvetica" w:hAnsi="Helvetica" w:cs="Helvetica"/>
          <w:bCs/>
          <w:szCs w:val="24"/>
        </w:rPr>
        <w:t>MRiPS</w:t>
      </w:r>
      <w:proofErr w:type="spellEnd"/>
      <w:r w:rsidRPr="00894EBA">
        <w:rPr>
          <w:rFonts w:ascii="Helvetica" w:hAnsi="Helvetica" w:cs="Helvetica"/>
          <w:bCs/>
          <w:szCs w:val="24"/>
        </w:rPr>
        <w:t xml:space="preserve"> posiadało regulacje wewnętrzne w zakresie projektowania, wdrażania i eksploatacji systemów teleinformatycznych oraz przeprowadzania zmian w systemach. Zawierały ogólne postanowienia, natomiast szczegółowe wymogi zawierane były w specyfikacji danego systemu teleinformatycznego. Rozwiązanie takie, ze względu na różnorodność systemów, pozwoliło na określenie indywidualnych wymogów do każdego z nich.</w:t>
      </w:r>
    </w:p>
    <w:p w14:paraId="5E9B97D8" w14:textId="77777777" w:rsidR="004D1514" w:rsidRPr="00894EBA" w:rsidRDefault="004D1514" w:rsidP="00B559C5">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W badanym okresie nie wdrażano nowych systemów. PBI IT</w:t>
      </w:r>
      <w:r w:rsidRPr="00894EBA">
        <w:rPr>
          <w:rFonts w:ascii="Helvetica" w:hAnsi="Helvetica" w:cs="Helvetica"/>
          <w:b/>
          <w:color w:val="FF0000"/>
          <w:sz w:val="18"/>
          <w:vertAlign w:val="superscript"/>
        </w:rPr>
        <w:footnoteReference w:id="125"/>
      </w:r>
      <w:r w:rsidRPr="00894EBA">
        <w:rPr>
          <w:rFonts w:ascii="Helvetica" w:hAnsi="Helvetica" w:cs="Helvetica"/>
          <w:sz w:val="21"/>
          <w:szCs w:val="21"/>
        </w:rPr>
        <w:t xml:space="preserve"> w zakresie projektowania i odbioru systemu zawierała postanowienia dot.: obowiązku określania w umowach kwestii własności oprogramowania i praw autorskich</w:t>
      </w:r>
      <w:r w:rsidRPr="00894EBA">
        <w:rPr>
          <w:rFonts w:ascii="Helvetica" w:hAnsi="Helvetica" w:cs="Helvetica"/>
          <w:b/>
          <w:color w:val="FF0000"/>
          <w:sz w:val="18"/>
          <w:vertAlign w:val="superscript"/>
        </w:rPr>
        <w:footnoteReference w:id="126"/>
      </w:r>
      <w:r w:rsidRPr="00894EBA">
        <w:rPr>
          <w:rFonts w:ascii="Helvetica" w:hAnsi="Helvetica" w:cs="Helvetica"/>
          <w:sz w:val="21"/>
          <w:szCs w:val="21"/>
        </w:rPr>
        <w:t>, przechowywania kodu źródłowego, obowiązku opracowania przez dostawcę oprogramowania zarówno dokumentacji technicznej, jak i użytkowej, konieczności odseparowania środowiska produkcyjnego od innych środowisk oraz zakazu prowadzenia prac rozwojowych w tym środowisku, zasad przeprowadzania testów. Wskazywała także na konieczność współpracy ko</w:t>
      </w:r>
      <w:r w:rsidR="00B559C5" w:rsidRPr="00894EBA">
        <w:rPr>
          <w:rFonts w:ascii="Helvetica" w:hAnsi="Helvetica" w:cs="Helvetica"/>
          <w:sz w:val="21"/>
          <w:szCs w:val="21"/>
        </w:rPr>
        <w:t>mórki wdrażającej system z DI w </w:t>
      </w:r>
      <w:r w:rsidRPr="00894EBA">
        <w:rPr>
          <w:rFonts w:ascii="Helvetica" w:hAnsi="Helvetica" w:cs="Helvetica"/>
          <w:sz w:val="21"/>
          <w:szCs w:val="21"/>
        </w:rPr>
        <w:t>celu spełnienia nie tylko wymogów technicznych</w:t>
      </w:r>
      <w:r w:rsidR="00B559C5" w:rsidRPr="00894EBA">
        <w:rPr>
          <w:rFonts w:ascii="Helvetica" w:hAnsi="Helvetica" w:cs="Helvetica"/>
          <w:sz w:val="21"/>
          <w:szCs w:val="21"/>
        </w:rPr>
        <w:t>, ale również bezpieczeństwa.</w:t>
      </w:r>
    </w:p>
    <w:p w14:paraId="121D345B"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bCs/>
          <w:szCs w:val="24"/>
        </w:rPr>
      </w:pPr>
      <w:r w:rsidRPr="00894EBA">
        <w:rPr>
          <w:rFonts w:ascii="Helvetica" w:hAnsi="Helvetica" w:cs="Helvetica"/>
          <w:bCs/>
          <w:szCs w:val="24"/>
        </w:rPr>
        <w:t>Proces wdrażania zmian w trzech badanych systemach był przejrzysty. Słabością było nałożenie obowiązków w PBI IT, które w praktyce nie b</w:t>
      </w:r>
      <w:r w:rsidR="00B559C5" w:rsidRPr="00894EBA">
        <w:rPr>
          <w:rFonts w:ascii="Helvetica" w:hAnsi="Helvetica" w:cs="Helvetica"/>
          <w:bCs/>
          <w:szCs w:val="24"/>
        </w:rPr>
        <w:t>yły przestrzegane. Dotyczyło to </w:t>
      </w:r>
      <w:r w:rsidRPr="00894EBA">
        <w:rPr>
          <w:rFonts w:ascii="Helvetica" w:hAnsi="Helvetica" w:cs="Helvetica"/>
          <w:bCs/>
          <w:szCs w:val="24"/>
        </w:rPr>
        <w:t>obowiązku rejestracji zmian. Ponadto nie dokumentowano przeprowadzonych analiz zasadności wdrożenia zmiany, ryzyka, wykonalności, kosztu, zysku, wpływu na pozostałe części sytemu oraz możliwości weryfikacji tej zmiany.</w:t>
      </w:r>
    </w:p>
    <w:p w14:paraId="056E3658" w14:textId="77777777" w:rsidR="004D1514" w:rsidRPr="00894EBA" w:rsidRDefault="004D1514" w:rsidP="00B559C5">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W badanym okresie w 3 kontrolowanych systemach wprowadzono 24 zmiany, tj. 13 w CSIZS, 6</w:t>
      </w:r>
      <w:r w:rsidRPr="00894EBA">
        <w:rPr>
          <w:rFonts w:ascii="Helvetica" w:hAnsi="Helvetica" w:cs="Helvetica"/>
          <w:b/>
          <w:color w:val="FF0000"/>
          <w:sz w:val="18"/>
          <w:vertAlign w:val="superscript"/>
        </w:rPr>
        <w:footnoteReference w:id="127"/>
      </w:r>
      <w:r w:rsidRPr="00894EBA">
        <w:rPr>
          <w:rFonts w:ascii="Helvetica" w:hAnsi="Helvetica" w:cs="Helvetica"/>
          <w:sz w:val="21"/>
          <w:szCs w:val="21"/>
        </w:rPr>
        <w:t xml:space="preserve"> – SI KDR, 5 – PIU </w:t>
      </w:r>
      <w:proofErr w:type="spellStart"/>
      <w:r w:rsidRPr="00894EBA">
        <w:rPr>
          <w:rFonts w:ascii="Helvetica" w:hAnsi="Helvetica" w:cs="Helvetica"/>
          <w:sz w:val="21"/>
          <w:szCs w:val="21"/>
        </w:rPr>
        <w:t>Emp@tia</w:t>
      </w:r>
      <w:proofErr w:type="spellEnd"/>
      <w:r w:rsidRPr="00894EBA">
        <w:rPr>
          <w:rFonts w:ascii="Helvetica" w:hAnsi="Helvetica" w:cs="Helvetica"/>
          <w:sz w:val="21"/>
          <w:szCs w:val="21"/>
        </w:rPr>
        <w:t xml:space="preserve">. Przebiegły one zgodnie z </w:t>
      </w:r>
      <w:r w:rsidRPr="00894EBA">
        <w:rPr>
          <w:rFonts w:ascii="Helvetica" w:hAnsi="Helvetica" w:cs="Helvetica"/>
          <w:i/>
          <w:sz w:val="21"/>
          <w:szCs w:val="21"/>
        </w:rPr>
        <w:t>Procedurami rozwojowymi</w:t>
      </w:r>
      <w:r w:rsidRPr="00894EBA">
        <w:rPr>
          <w:rFonts w:ascii="Helvetica" w:hAnsi="Helvetica" w:cs="Helvetica"/>
          <w:b/>
          <w:color w:val="FF0000"/>
          <w:sz w:val="18"/>
          <w:vertAlign w:val="superscript"/>
        </w:rPr>
        <w:footnoteReference w:id="128"/>
      </w:r>
      <w:r w:rsidRPr="00894EBA">
        <w:rPr>
          <w:rFonts w:ascii="Helvetica" w:hAnsi="Helvetica" w:cs="Helvetica"/>
          <w:sz w:val="21"/>
          <w:szCs w:val="21"/>
        </w:rPr>
        <w:t>. Ministerstwo przekazywało do wykonawcy umowy listę zmian, jakie chciałoby wdrożyć w systemie. Następnie wykonawca sporządzał projekt wstępnych zmian wraz z określeniem liczby roboczogodzin potrzebnych do ich wykonania</w:t>
      </w:r>
      <w:r w:rsidRPr="00894EBA">
        <w:rPr>
          <w:rFonts w:ascii="Helvetica" w:hAnsi="Helvetica" w:cs="Helvetica"/>
          <w:b/>
          <w:color w:val="FF0000"/>
          <w:sz w:val="18"/>
          <w:vertAlign w:val="superscript"/>
        </w:rPr>
        <w:footnoteReference w:id="129"/>
      </w:r>
      <w:r w:rsidRPr="00894EBA">
        <w:rPr>
          <w:rFonts w:ascii="Helvetica" w:hAnsi="Helvetica" w:cs="Helvetica"/>
          <w:sz w:val="21"/>
          <w:szCs w:val="21"/>
        </w:rPr>
        <w:t xml:space="preserve"> oraz plan testów akceptacyjnych</w:t>
      </w:r>
      <w:r w:rsidRPr="00894EBA">
        <w:rPr>
          <w:rFonts w:ascii="Helvetica" w:hAnsi="Helvetica" w:cs="Helvetica"/>
          <w:b/>
          <w:color w:val="FF0000"/>
          <w:sz w:val="18"/>
          <w:vertAlign w:val="superscript"/>
        </w:rPr>
        <w:footnoteReference w:id="130"/>
      </w:r>
      <w:r w:rsidRPr="00894EBA">
        <w:rPr>
          <w:rFonts w:ascii="Helvetica" w:hAnsi="Helvetica" w:cs="Helvetica"/>
          <w:sz w:val="21"/>
          <w:szCs w:val="21"/>
        </w:rPr>
        <w:t xml:space="preserve">. Dokumenty zatwierdzał ASI danego systemu. Po przekazaniu przez wykonawcę nowej wersji systemu sporządzany był protokół przekazania wersji. Była ona testowana przez Wydział Testów i Homologacji, a po pozytywnym przebiegu testów, ASI sporządzał protokół odbioru wersji systemu. Wykonawcy systemów zobowiązani byli do przekazania kodów źródłowych, które przechowywane były w zabezpieczonym miejscu. </w:t>
      </w:r>
      <w:r w:rsidRPr="00894EBA">
        <w:rPr>
          <w:rFonts w:ascii="Helvetica" w:hAnsi="Helvetica" w:cs="Helvetica"/>
          <w:i/>
          <w:sz w:val="21"/>
          <w:szCs w:val="21"/>
        </w:rPr>
        <w:t>Procedury rozwoju</w:t>
      </w:r>
      <w:r w:rsidRPr="00894EBA">
        <w:rPr>
          <w:rFonts w:ascii="Helvetica" w:hAnsi="Helvetica" w:cs="Helvetica"/>
          <w:sz w:val="21"/>
          <w:szCs w:val="21"/>
        </w:rPr>
        <w:t xml:space="preserve"> regulowały także proces zapytania projektowego.</w:t>
      </w:r>
    </w:p>
    <w:p w14:paraId="702772AE" w14:textId="77777777" w:rsidR="004D1514" w:rsidRPr="00894EBA" w:rsidRDefault="004D1514" w:rsidP="00B559C5">
      <w:pPr>
        <w:tabs>
          <w:tab w:val="left" w:pos="709"/>
        </w:tabs>
        <w:spacing w:before="60"/>
        <w:ind w:left="567" w:right="538"/>
        <w:jc w:val="both"/>
        <w:rPr>
          <w:rFonts w:ascii="Helvetica" w:hAnsi="Helvetica" w:cs="Helvetica"/>
          <w:bCs/>
          <w:sz w:val="16"/>
          <w:szCs w:val="16"/>
        </w:rPr>
      </w:pPr>
      <w:r w:rsidRPr="00894EBA">
        <w:rPr>
          <w:rFonts w:ascii="Helvetica" w:hAnsi="Helvetica" w:cs="Helvetica"/>
          <w:sz w:val="21"/>
          <w:szCs w:val="21"/>
        </w:rPr>
        <w:t xml:space="preserve">Zgodnie z PBI IT wnioski o zmianę powinny być rejestrowane oraz </w:t>
      </w:r>
      <w:r w:rsidRPr="00894EBA">
        <w:rPr>
          <w:rFonts w:ascii="Helvetica" w:hAnsi="Helvetica" w:cs="Helvetica"/>
          <w:bCs/>
          <w:sz w:val="21"/>
          <w:szCs w:val="21"/>
        </w:rPr>
        <w:t>analizowane pod kątem zasadności wdrożenia zmiany, ryzyka, wykonalności, kosztu, zysku, wpływu na pozostałe części sytemu oraz możliwości weryfikacji tej zmiany</w:t>
      </w:r>
      <w:r w:rsidRPr="00894EBA">
        <w:rPr>
          <w:rFonts w:ascii="Helvetica" w:hAnsi="Helvetica" w:cs="Helvetica"/>
          <w:b/>
          <w:color w:val="FF0000"/>
          <w:sz w:val="18"/>
          <w:vertAlign w:val="superscript"/>
        </w:rPr>
        <w:footnoteReference w:id="131"/>
      </w:r>
      <w:r w:rsidRPr="00894EBA">
        <w:rPr>
          <w:rFonts w:ascii="Helvetica" w:hAnsi="Helvetica" w:cs="Helvetica"/>
          <w:bCs/>
          <w:sz w:val="21"/>
          <w:szCs w:val="21"/>
        </w:rPr>
        <w:t>. Analiza taka była prowadzona podczas akceptacji projektu wstępnego</w:t>
      </w:r>
      <w:r w:rsidRPr="00894EBA">
        <w:rPr>
          <w:rFonts w:ascii="Helvetica" w:hAnsi="Helvetica" w:cs="Helvetica"/>
          <w:b/>
          <w:color w:val="FF0000"/>
          <w:sz w:val="18"/>
          <w:vertAlign w:val="superscript"/>
        </w:rPr>
        <w:footnoteReference w:id="132"/>
      </w:r>
      <w:r w:rsidRPr="00894EBA">
        <w:rPr>
          <w:rFonts w:ascii="Helvetica" w:hAnsi="Helvetica" w:cs="Helvetica"/>
          <w:bCs/>
          <w:sz w:val="21"/>
          <w:szCs w:val="21"/>
        </w:rPr>
        <w:t>. Zdaniem DI zatwierdzenie tego projektu jest potwierdzeniem pozytywnego wyniku tej analizy i było to wystarczające, dlatego nie wymagało dodatkowego dokumentowania</w:t>
      </w:r>
      <w:r w:rsidRPr="00894EBA">
        <w:rPr>
          <w:rFonts w:ascii="Helvetica" w:hAnsi="Helvetica" w:cs="Helvetica"/>
          <w:b/>
          <w:color w:val="FF0000"/>
          <w:sz w:val="18"/>
          <w:vertAlign w:val="superscript"/>
        </w:rPr>
        <w:footnoteReference w:id="133"/>
      </w:r>
      <w:r w:rsidR="00B559C5" w:rsidRPr="00894EBA">
        <w:rPr>
          <w:rFonts w:ascii="Helvetica" w:hAnsi="Helvetica" w:cs="Helvetica"/>
          <w:bCs/>
          <w:sz w:val="21"/>
          <w:szCs w:val="21"/>
        </w:rPr>
        <w:t>.</w:t>
      </w:r>
    </w:p>
    <w:p w14:paraId="34677D90" w14:textId="77777777" w:rsidR="004D1514" w:rsidRPr="00894EBA" w:rsidRDefault="004D1514" w:rsidP="00983826">
      <w:pPr>
        <w:tabs>
          <w:tab w:val="left" w:pos="709"/>
        </w:tabs>
        <w:spacing w:before="60" w:line="300" w:lineRule="atLeast"/>
        <w:jc w:val="both"/>
        <w:rPr>
          <w:rFonts w:ascii="Helvetica" w:hAnsi="Helvetica" w:cs="Helvetica"/>
          <w:bCs/>
          <w:szCs w:val="24"/>
        </w:rPr>
      </w:pPr>
      <w:r w:rsidRPr="00894EBA">
        <w:rPr>
          <w:rFonts w:ascii="Helvetica" w:hAnsi="Helvetica" w:cs="Helvetica"/>
          <w:bCs/>
          <w:szCs w:val="24"/>
        </w:rPr>
        <w:t>Nie można zgodzić się z Kontrolowanym, ponieważ dokumentacja dot. zatwierdzenia projektu wstępnego nie zawierała informacji pozwalając</w:t>
      </w:r>
      <w:r w:rsidR="00B559C5" w:rsidRPr="00894EBA">
        <w:rPr>
          <w:rFonts w:ascii="Helvetica" w:hAnsi="Helvetica" w:cs="Helvetica"/>
          <w:bCs/>
          <w:szCs w:val="24"/>
        </w:rPr>
        <w:t>ych na ustalenie, czy analiza w </w:t>
      </w:r>
      <w:r w:rsidRPr="00894EBA">
        <w:rPr>
          <w:rFonts w:ascii="Helvetica" w:hAnsi="Helvetica" w:cs="Helvetica"/>
          <w:bCs/>
          <w:szCs w:val="24"/>
        </w:rPr>
        <w:t>powyższym zakresie została przeprowadzona i jaki był jej wynik.</w:t>
      </w:r>
    </w:p>
    <w:p w14:paraId="0148DD00" w14:textId="77777777" w:rsidR="004D1514" w:rsidRPr="00894EBA" w:rsidRDefault="004D1514" w:rsidP="00B559C5">
      <w:pPr>
        <w:tabs>
          <w:tab w:val="left" w:pos="709"/>
        </w:tabs>
        <w:spacing w:before="60"/>
        <w:ind w:left="567" w:right="538"/>
        <w:jc w:val="both"/>
        <w:rPr>
          <w:rFonts w:ascii="Helvetica" w:hAnsi="Helvetica" w:cs="Helvetica"/>
          <w:bCs/>
          <w:sz w:val="16"/>
          <w:szCs w:val="16"/>
        </w:rPr>
      </w:pPr>
      <w:r w:rsidRPr="00894EBA">
        <w:rPr>
          <w:rFonts w:ascii="Helvetica" w:hAnsi="Helvetica" w:cs="Helvetica"/>
          <w:bCs/>
          <w:sz w:val="21"/>
          <w:szCs w:val="21"/>
        </w:rPr>
        <w:t>W odniesieniu do obowiązku rejestrowania zmian wskazano</w:t>
      </w:r>
      <w:r w:rsidRPr="00894EBA">
        <w:rPr>
          <w:rFonts w:ascii="Helvetica" w:hAnsi="Helvetica" w:cs="Helvetica"/>
          <w:b/>
          <w:color w:val="FF0000"/>
          <w:sz w:val="18"/>
          <w:vertAlign w:val="superscript"/>
        </w:rPr>
        <w:footnoteReference w:id="134"/>
      </w:r>
      <w:r w:rsidRPr="00894EBA">
        <w:rPr>
          <w:rFonts w:ascii="Helvetica" w:hAnsi="Helvetica" w:cs="Helvetica"/>
          <w:bCs/>
          <w:sz w:val="21"/>
          <w:szCs w:val="21"/>
        </w:rPr>
        <w:t xml:space="preserve">, że wykaz zmian znajduje się treści </w:t>
      </w:r>
      <w:r w:rsidRPr="00894EBA">
        <w:rPr>
          <w:rFonts w:ascii="Helvetica" w:hAnsi="Helvetica" w:cs="Helvetica"/>
          <w:bCs/>
          <w:i/>
          <w:sz w:val="21"/>
          <w:szCs w:val="21"/>
        </w:rPr>
        <w:t>Raportów z realizacji przedmiotów umów</w:t>
      </w:r>
      <w:r w:rsidRPr="00894EBA">
        <w:rPr>
          <w:rFonts w:ascii="Helvetica" w:hAnsi="Helvetica" w:cs="Helvetica"/>
          <w:b/>
          <w:color w:val="FF0000"/>
          <w:sz w:val="18"/>
          <w:vertAlign w:val="superscript"/>
        </w:rPr>
        <w:footnoteReference w:id="135"/>
      </w:r>
      <w:r w:rsidRPr="00894EBA">
        <w:rPr>
          <w:rFonts w:ascii="Helvetica" w:hAnsi="Helvetica" w:cs="Helvetica"/>
          <w:bCs/>
          <w:sz w:val="21"/>
          <w:szCs w:val="21"/>
        </w:rPr>
        <w:t xml:space="preserve">. Dokumentacja utrzymania systemu jest prowadzona dla systemu i są w niej przechowywane wykazy wszystkich zmian. Zdaniem </w:t>
      </w:r>
      <w:proofErr w:type="spellStart"/>
      <w:r w:rsidRPr="00894EBA">
        <w:rPr>
          <w:rFonts w:ascii="Helvetica" w:hAnsi="Helvetica" w:cs="Helvetica"/>
          <w:bCs/>
          <w:sz w:val="21"/>
          <w:szCs w:val="21"/>
        </w:rPr>
        <w:t>MRiPS</w:t>
      </w:r>
      <w:proofErr w:type="spellEnd"/>
      <w:r w:rsidRPr="00894EBA">
        <w:rPr>
          <w:rFonts w:ascii="Helvetica" w:hAnsi="Helvetica" w:cs="Helvetica"/>
          <w:bCs/>
          <w:sz w:val="21"/>
          <w:szCs w:val="21"/>
        </w:rPr>
        <w:t>, spełnia to wymóg prowadzenia rejestru zmian, bowiem w ten sposób zapewnia się pełną wiedzę pracownikom DI, co jest podstawowym celem prowadzenia jakichkolwiek rejestrów</w:t>
      </w:r>
      <w:r w:rsidRPr="00894EBA">
        <w:rPr>
          <w:rFonts w:ascii="Helvetica" w:hAnsi="Helvetica" w:cs="Helvetica"/>
          <w:b/>
          <w:color w:val="FF0000"/>
          <w:sz w:val="18"/>
          <w:vertAlign w:val="superscript"/>
        </w:rPr>
        <w:footnoteReference w:id="136"/>
      </w:r>
      <w:r w:rsidR="00B559C5" w:rsidRPr="00894EBA">
        <w:rPr>
          <w:rFonts w:ascii="Helvetica" w:hAnsi="Helvetica" w:cs="Helvetica"/>
          <w:bCs/>
          <w:sz w:val="21"/>
          <w:szCs w:val="21"/>
        </w:rPr>
        <w:t xml:space="preserve">. </w:t>
      </w:r>
    </w:p>
    <w:p w14:paraId="6352FAC0" w14:textId="77777777" w:rsidR="004D1514" w:rsidRPr="00894EBA" w:rsidRDefault="004D1514" w:rsidP="00983826">
      <w:pPr>
        <w:tabs>
          <w:tab w:val="left" w:pos="709"/>
        </w:tabs>
        <w:spacing w:before="60" w:line="300" w:lineRule="atLeast"/>
        <w:jc w:val="both"/>
        <w:rPr>
          <w:rFonts w:ascii="Helvetica" w:hAnsi="Helvetica" w:cs="Helvetica"/>
        </w:rPr>
      </w:pPr>
      <w:r w:rsidRPr="00894EBA">
        <w:rPr>
          <w:rFonts w:ascii="Helvetica" w:hAnsi="Helvetica" w:cs="Helvetica"/>
          <w:bCs/>
          <w:i/>
          <w:szCs w:val="24"/>
        </w:rPr>
        <w:t>Raporty z realizacji przedmiotów umów</w:t>
      </w:r>
      <w:r w:rsidRPr="00894EBA">
        <w:rPr>
          <w:rFonts w:ascii="Helvetica" w:hAnsi="Helvetica" w:cs="Helvetica"/>
          <w:bCs/>
          <w:szCs w:val="24"/>
        </w:rPr>
        <w:t xml:space="preserve"> dają pełną informację nt. wdrażanych zmian w systemach, ale nie można ich uznać za rejestr zmian określony w regulacji wewnętrznej. </w:t>
      </w:r>
      <w:r w:rsidRPr="00894EBA">
        <w:rPr>
          <w:rFonts w:ascii="Helvetica" w:hAnsi="Helvetica" w:cs="Helvetica"/>
        </w:rPr>
        <w:t xml:space="preserve">W przypadku SI KDR oraz CSIZS </w:t>
      </w:r>
      <w:r w:rsidRPr="00894EBA">
        <w:rPr>
          <w:rFonts w:ascii="Helvetica" w:hAnsi="Helvetica" w:cs="Helvetica"/>
          <w:i/>
        </w:rPr>
        <w:t>Raporty z realizacji przedmiotu umów</w:t>
      </w:r>
      <w:r w:rsidRPr="00894EBA">
        <w:rPr>
          <w:rFonts w:ascii="Helvetica" w:hAnsi="Helvetica" w:cs="Helvetica"/>
        </w:rPr>
        <w:t xml:space="preserve"> zawierały tylko informacje nt. zmian wersji wdrożonych w 3 miesięcznym okresie rozliczeniowym. Zatem, aby ustalić pełny zakres zmian jakie zostały wprowadzone w tych systemach, należałoby zapoznać się ze wszystkimi raportami</w:t>
      </w:r>
      <w:r w:rsidRPr="00894EBA">
        <w:rPr>
          <w:rFonts w:ascii="Helvetica" w:hAnsi="Helvetica" w:cs="Helvetica"/>
          <w:b/>
          <w:color w:val="FF0000"/>
          <w:sz w:val="18"/>
          <w:vertAlign w:val="superscript"/>
        </w:rPr>
        <w:footnoteReference w:id="137"/>
      </w:r>
      <w:r w:rsidRPr="00894EBA">
        <w:rPr>
          <w:rFonts w:ascii="Helvetica" w:hAnsi="Helvetica" w:cs="Helvetica"/>
        </w:rPr>
        <w:t xml:space="preserve">. W przypadku PIU </w:t>
      </w:r>
      <w:proofErr w:type="spellStart"/>
      <w:r w:rsidRPr="00894EBA">
        <w:rPr>
          <w:rFonts w:ascii="Helvetica" w:hAnsi="Helvetica" w:cs="Helvetica"/>
        </w:rPr>
        <w:t>Emp@tia</w:t>
      </w:r>
      <w:proofErr w:type="spellEnd"/>
      <w:r w:rsidRPr="00894EBA">
        <w:rPr>
          <w:rFonts w:ascii="Helvetica" w:hAnsi="Helvetica" w:cs="Helvetica"/>
        </w:rPr>
        <w:t xml:space="preserve"> w badanym okresie nastąpiła zmiana Wykonawcy. Tym samym raport nowego wykonawcy zawierał informacje nt. zmian systemu zrealizowanych jedynie przez niego.</w:t>
      </w:r>
    </w:p>
    <w:p w14:paraId="016A88F9"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szCs w:val="24"/>
        </w:rPr>
      </w:pPr>
      <w:r w:rsidRPr="00894EBA">
        <w:rPr>
          <w:rFonts w:ascii="Helvetica" w:hAnsi="Helvetica" w:cs="Helvetica"/>
          <w:szCs w:val="24"/>
        </w:rPr>
        <w:t>Pozytywnie należy ocenić monitorowanie systemów teleinformatycznych i środowiska ich pracy pod kątem wydajności i pojemności, w szczególności wobec wzrostu liczby systemów teleinformatycznych, ilości przetwarzanych danych oraz liczby użytkowników.</w:t>
      </w:r>
    </w:p>
    <w:p w14:paraId="6F1562A4" w14:textId="77777777" w:rsidR="004D1514" w:rsidRPr="00894EBA" w:rsidRDefault="004D1514" w:rsidP="00B559C5">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 xml:space="preserve">Zgodnie z </w:t>
      </w:r>
      <w:r w:rsidRPr="00894EBA">
        <w:rPr>
          <w:rFonts w:ascii="Helvetica" w:hAnsi="Helvetica" w:cs="Helvetica"/>
          <w:i/>
          <w:sz w:val="21"/>
          <w:szCs w:val="21"/>
        </w:rPr>
        <w:t>Procedurami administrowania oraz usuwania awarii i błędów</w:t>
      </w:r>
      <w:r w:rsidRPr="00894EBA">
        <w:rPr>
          <w:rFonts w:ascii="Helvetica" w:hAnsi="Helvetica" w:cs="Helvetica"/>
          <w:b/>
          <w:color w:val="FF0000"/>
          <w:sz w:val="18"/>
          <w:vertAlign w:val="superscript"/>
        </w:rPr>
        <w:footnoteReference w:id="138"/>
      </w:r>
      <w:r w:rsidRPr="00894EBA">
        <w:rPr>
          <w:rFonts w:ascii="Helvetica" w:hAnsi="Helvetica" w:cs="Helvetica"/>
          <w:sz w:val="21"/>
          <w:szCs w:val="21"/>
        </w:rPr>
        <w:t xml:space="preserve"> trzech badanych systemów, ich</w:t>
      </w:r>
      <w:r w:rsidRPr="00894EBA">
        <w:rPr>
          <w:rFonts w:ascii="Helvetica" w:hAnsi="Helvetica" w:cs="Helvetica"/>
          <w:i/>
          <w:sz w:val="21"/>
          <w:szCs w:val="21"/>
        </w:rPr>
        <w:t xml:space="preserve"> </w:t>
      </w:r>
      <w:r w:rsidRPr="00894EBA">
        <w:rPr>
          <w:rFonts w:ascii="Helvetica" w:hAnsi="Helvetica" w:cs="Helvetica"/>
          <w:sz w:val="21"/>
          <w:szCs w:val="21"/>
        </w:rPr>
        <w:t xml:space="preserve">wykonawcy zobowiązani byli do monitorowania w sposób ciągły wydajności, dostępności, niezawodności oraz sprawności i bezpieczeństwa działania poszczególnych komponentów danego systemu, w tym przeprowadzania testów wydajnościowych na żądanie </w:t>
      </w:r>
      <w:proofErr w:type="spellStart"/>
      <w:r w:rsidRPr="00894EBA">
        <w:rPr>
          <w:rFonts w:ascii="Helvetica" w:hAnsi="Helvetica" w:cs="Helvetica"/>
          <w:sz w:val="21"/>
          <w:szCs w:val="21"/>
        </w:rPr>
        <w:t>MRiPS</w:t>
      </w:r>
      <w:proofErr w:type="spellEnd"/>
      <w:r w:rsidRPr="00894EBA">
        <w:rPr>
          <w:rFonts w:ascii="Helvetica" w:hAnsi="Helvetica" w:cs="Helvetica"/>
          <w:sz w:val="21"/>
          <w:szCs w:val="21"/>
        </w:rPr>
        <w:t>, a także monitorowania przyrostu danych, ilości wolnej przestrzeni dyskowej, długości aktualnego okna backupowego.</w:t>
      </w:r>
    </w:p>
    <w:p w14:paraId="22761189" w14:textId="77777777" w:rsidR="004D1514" w:rsidRPr="00894EBA" w:rsidRDefault="004D1514" w:rsidP="00B559C5">
      <w:pPr>
        <w:tabs>
          <w:tab w:val="left" w:pos="709"/>
        </w:tabs>
        <w:spacing w:before="60"/>
        <w:ind w:left="567" w:right="538"/>
        <w:jc w:val="both"/>
        <w:rPr>
          <w:rFonts w:ascii="Helvetica" w:hAnsi="Helvetica" w:cs="Helvetica"/>
          <w:color w:val="000000"/>
          <w:sz w:val="21"/>
          <w:szCs w:val="21"/>
        </w:rPr>
      </w:pPr>
      <w:r w:rsidRPr="00894EBA">
        <w:rPr>
          <w:rFonts w:ascii="Helvetica" w:hAnsi="Helvetica" w:cs="Helvetica"/>
          <w:sz w:val="21"/>
          <w:szCs w:val="21"/>
        </w:rPr>
        <w:t xml:space="preserve">W badanym okresie przeprowadzono testy wydajnościowe PIU </w:t>
      </w:r>
      <w:proofErr w:type="spellStart"/>
      <w:r w:rsidRPr="00894EBA">
        <w:rPr>
          <w:rFonts w:ascii="Helvetica" w:hAnsi="Helvetica" w:cs="Helvetica"/>
          <w:sz w:val="21"/>
          <w:szCs w:val="21"/>
        </w:rPr>
        <w:t>Emp@tia</w:t>
      </w:r>
      <w:proofErr w:type="spellEnd"/>
      <w:r w:rsidRPr="00894EBA">
        <w:rPr>
          <w:rFonts w:ascii="Helvetica" w:hAnsi="Helvetica" w:cs="Helvetica"/>
          <w:sz w:val="21"/>
          <w:szCs w:val="21"/>
        </w:rPr>
        <w:t xml:space="preserve"> oraz CSIZS, które potwierdziły, że systemy działają stabilnie. </w:t>
      </w:r>
      <w:r w:rsidRPr="00894EBA">
        <w:rPr>
          <w:rFonts w:ascii="Helvetica" w:hAnsi="Helvetica" w:cs="Helvetica"/>
          <w:color w:val="000000"/>
          <w:sz w:val="21"/>
          <w:szCs w:val="21"/>
        </w:rPr>
        <w:t>Podkreślono</w:t>
      </w:r>
      <w:r w:rsidRPr="00894EBA">
        <w:rPr>
          <w:rFonts w:ascii="Helvetica" w:hAnsi="Helvetica" w:cs="Helvetica"/>
          <w:b/>
          <w:color w:val="FF0000"/>
          <w:sz w:val="18"/>
          <w:vertAlign w:val="superscript"/>
        </w:rPr>
        <w:footnoteReference w:id="139"/>
      </w:r>
      <w:r w:rsidRPr="00894EBA">
        <w:rPr>
          <w:rFonts w:ascii="Helvetica" w:hAnsi="Helvetica" w:cs="Helvetica"/>
          <w:color w:val="000000"/>
          <w:sz w:val="21"/>
          <w:szCs w:val="21"/>
        </w:rPr>
        <w:t xml:space="preserve"> także, że są one eksploatowane </w:t>
      </w:r>
      <w:r w:rsidR="009453C0" w:rsidRPr="00894EBA">
        <w:rPr>
          <w:rFonts w:ascii="Helvetica" w:hAnsi="Helvetica" w:cs="Helvetica"/>
          <w:color w:val="000000"/>
          <w:sz w:val="21"/>
          <w:szCs w:val="21"/>
        </w:rPr>
        <w:t>od</w:t>
      </w:r>
      <w:r w:rsidR="009453C0">
        <w:rPr>
          <w:rFonts w:ascii="Helvetica" w:hAnsi="Helvetica" w:cs="Helvetica"/>
          <w:color w:val="000000"/>
          <w:sz w:val="21"/>
          <w:szCs w:val="21"/>
        </w:rPr>
        <w:t> </w:t>
      </w:r>
      <w:r w:rsidRPr="00894EBA">
        <w:rPr>
          <w:rFonts w:ascii="Helvetica" w:hAnsi="Helvetica" w:cs="Helvetica"/>
          <w:color w:val="000000"/>
          <w:sz w:val="21"/>
          <w:szCs w:val="21"/>
        </w:rPr>
        <w:t xml:space="preserve">wielu lat i przechodzą tzw. </w:t>
      </w:r>
      <w:r w:rsidRPr="00894EBA">
        <w:rPr>
          <w:rFonts w:ascii="Helvetica" w:hAnsi="Helvetica" w:cs="Helvetica"/>
          <w:i/>
          <w:color w:val="000000"/>
          <w:sz w:val="21"/>
          <w:szCs w:val="21"/>
        </w:rPr>
        <w:t>testy bojowe</w:t>
      </w:r>
      <w:r w:rsidRPr="00894EBA">
        <w:rPr>
          <w:rFonts w:ascii="Helvetica" w:hAnsi="Helvetica" w:cs="Helvetica"/>
          <w:color w:val="000000"/>
          <w:sz w:val="21"/>
          <w:szCs w:val="21"/>
        </w:rPr>
        <w:t xml:space="preserve"> podczas rozpoczynania się każdego okresu świadczeniowego. Wówczas w ciągu kilku dni przetwarzają klika milionów wniosków, a ostatnich kilka okresów przebiegało bez problemów wydajnościowych.</w:t>
      </w:r>
    </w:p>
    <w:p w14:paraId="268B7FA0" w14:textId="77777777" w:rsidR="004D1514" w:rsidRPr="00894EBA" w:rsidRDefault="004D1514" w:rsidP="00B559C5">
      <w:pPr>
        <w:tabs>
          <w:tab w:val="left" w:pos="709"/>
        </w:tabs>
        <w:spacing w:before="60"/>
        <w:ind w:left="567" w:right="538"/>
        <w:jc w:val="both"/>
        <w:rPr>
          <w:rFonts w:ascii="Helvetica" w:hAnsi="Helvetica" w:cs="Helvetica"/>
          <w:sz w:val="21"/>
          <w:szCs w:val="21"/>
        </w:rPr>
      </w:pPr>
      <w:proofErr w:type="spellStart"/>
      <w:r w:rsidRPr="00894EBA">
        <w:rPr>
          <w:rFonts w:ascii="Helvetica" w:hAnsi="Helvetica" w:cs="Helvetica"/>
          <w:sz w:val="21"/>
          <w:szCs w:val="21"/>
        </w:rPr>
        <w:t>MRiPS</w:t>
      </w:r>
      <w:proofErr w:type="spellEnd"/>
      <w:r w:rsidRPr="00894EBA">
        <w:rPr>
          <w:rFonts w:ascii="Helvetica" w:hAnsi="Helvetica" w:cs="Helvetica"/>
          <w:sz w:val="21"/>
          <w:szCs w:val="21"/>
        </w:rPr>
        <w:t xml:space="preserve"> przeprowadziło także inne analizy jakościowo-ilościowe, m.in. dot. błędnych wniosków bankowych w ramach świadczenia 500+, statystyki dot. liczby wniosków o świadczenie 500+ oraz inne świadczenia, w tym liczby wydanych decyzji, statystyki wymiany danych pomiędzy gminami i urzędami wojewódzkimi oraz raporty wywołanych usłu</w:t>
      </w:r>
      <w:r w:rsidR="00B559C5" w:rsidRPr="00894EBA">
        <w:rPr>
          <w:rFonts w:ascii="Helvetica" w:hAnsi="Helvetica" w:cs="Helvetica"/>
          <w:sz w:val="21"/>
          <w:szCs w:val="21"/>
        </w:rPr>
        <w:t>g przez urzędy wojewódzkie.</w:t>
      </w:r>
    </w:p>
    <w:p w14:paraId="50ABE235" w14:textId="77777777" w:rsidR="004D1514" w:rsidRPr="00894EBA" w:rsidRDefault="004D1514" w:rsidP="00983826">
      <w:pPr>
        <w:tabs>
          <w:tab w:val="left" w:pos="709"/>
        </w:tabs>
        <w:spacing w:before="60" w:line="300" w:lineRule="atLeast"/>
        <w:jc w:val="both"/>
        <w:rPr>
          <w:rFonts w:ascii="Helvetica" w:hAnsi="Helvetica" w:cs="Helvetica"/>
          <w:szCs w:val="24"/>
        </w:rPr>
      </w:pPr>
      <w:r w:rsidRPr="00894EBA">
        <w:rPr>
          <w:rFonts w:ascii="Helvetica" w:hAnsi="Helvetica" w:cs="Helvetica"/>
          <w:szCs w:val="24"/>
        </w:rPr>
        <w:t>Sprawny proces monitorowania systemów teleinformatycznych umożliwia podjęcie niezwłocznych działań w przypadku wystąpienia sytuacji niepożądanych, tym samym w istotny sposób może przyczynić się do ograniczenia ich skutków i zwiększyć bezpieczeństwo informacji w nich przetwarzanych.</w:t>
      </w:r>
    </w:p>
    <w:p w14:paraId="6D11F739"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szCs w:val="24"/>
        </w:rPr>
      </w:pPr>
      <w:r w:rsidRPr="00894EBA">
        <w:rPr>
          <w:rFonts w:ascii="Helvetica" w:hAnsi="Helvetica" w:cs="Helvetica"/>
          <w:b/>
          <w:szCs w:val="24"/>
        </w:rPr>
        <w:t xml:space="preserve">[zabezpieczenia techniczno-organizacyjne dostępu do informacji] </w:t>
      </w:r>
      <w:r w:rsidRPr="00894EBA">
        <w:rPr>
          <w:rFonts w:ascii="Helvetica" w:hAnsi="Helvetica" w:cs="Helvetica"/>
          <w:szCs w:val="24"/>
        </w:rPr>
        <w:t>W </w:t>
      </w:r>
      <w:proofErr w:type="spellStart"/>
      <w:r w:rsidRPr="00894EBA">
        <w:rPr>
          <w:rFonts w:ascii="Helvetica" w:hAnsi="Helvetica" w:cs="Helvetica"/>
          <w:szCs w:val="24"/>
        </w:rPr>
        <w:t>MRiPS</w:t>
      </w:r>
      <w:proofErr w:type="spellEnd"/>
      <w:r w:rsidRPr="00894EBA">
        <w:rPr>
          <w:rFonts w:ascii="Helvetica" w:hAnsi="Helvetica" w:cs="Helvetica"/>
          <w:szCs w:val="24"/>
        </w:rPr>
        <w:t xml:space="preserve"> obowiązywały regulacje wewnętrzne dot. minimalizowania wystąpienia ryzyka kradzieży lub utraty informacji, w tym określające zasady ochrony fizycznej. Jednakże wymagały one aktualizacji i uzupełnienia. Prace w tym zakresie zostały wstrzymane, w szczególności z uwagi na istotne zmiany zasad kontroli ruchu spowodowane odłączeniem działu administracji rządowej – </w:t>
      </w:r>
      <w:r w:rsidRPr="00894EBA">
        <w:rPr>
          <w:rFonts w:ascii="Helvetica" w:hAnsi="Helvetica" w:cs="Helvetica"/>
          <w:i/>
          <w:szCs w:val="24"/>
        </w:rPr>
        <w:t>praca</w:t>
      </w:r>
      <w:r w:rsidRPr="00894EBA">
        <w:rPr>
          <w:rFonts w:ascii="Helvetica" w:hAnsi="Helvetica" w:cs="Helvetica"/>
          <w:b/>
          <w:color w:val="FF0000"/>
          <w:sz w:val="18"/>
          <w:szCs w:val="24"/>
          <w:vertAlign w:val="superscript"/>
        </w:rPr>
        <w:footnoteReference w:id="140"/>
      </w:r>
      <w:r w:rsidRPr="00894EBA">
        <w:rPr>
          <w:rFonts w:ascii="Helvetica" w:hAnsi="Helvetica" w:cs="Helvetica"/>
          <w:szCs w:val="24"/>
        </w:rPr>
        <w:t>.</w:t>
      </w:r>
    </w:p>
    <w:p w14:paraId="65463C17" w14:textId="77777777" w:rsidR="004D1514" w:rsidRPr="00894EBA" w:rsidRDefault="004D1514" w:rsidP="00B559C5">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 xml:space="preserve">Wdrożono </w:t>
      </w:r>
      <w:r w:rsidRPr="00894EBA">
        <w:rPr>
          <w:rFonts w:ascii="Helvetica" w:hAnsi="Helvetica" w:cs="Helvetica"/>
          <w:i/>
          <w:sz w:val="21"/>
          <w:szCs w:val="21"/>
        </w:rPr>
        <w:t xml:space="preserve">Instrukcję kontroli ruchu osobowego i materiałowego oraz organizacji ruchu pojazdów i przydziału miejsc parkingowych </w:t>
      </w:r>
      <w:r w:rsidRPr="00894EBA">
        <w:rPr>
          <w:rFonts w:ascii="Helvetica" w:hAnsi="Helvetica" w:cs="Helvetica"/>
          <w:sz w:val="21"/>
          <w:szCs w:val="21"/>
        </w:rPr>
        <w:t xml:space="preserve">(dalej: </w:t>
      </w:r>
      <w:r w:rsidRPr="00894EBA">
        <w:rPr>
          <w:rFonts w:ascii="Helvetica" w:hAnsi="Helvetica" w:cs="Helvetica"/>
          <w:i/>
          <w:sz w:val="21"/>
          <w:szCs w:val="21"/>
        </w:rPr>
        <w:t>Instrukcja kontroli ruchu osobowego</w:t>
      </w:r>
      <w:r w:rsidRPr="00894EBA">
        <w:rPr>
          <w:rFonts w:ascii="Helvetica" w:hAnsi="Helvetica" w:cs="Helvetica"/>
          <w:sz w:val="21"/>
          <w:szCs w:val="21"/>
        </w:rPr>
        <w:t>)</w:t>
      </w:r>
      <w:r w:rsidRPr="00894EBA">
        <w:rPr>
          <w:rFonts w:ascii="Helvetica" w:hAnsi="Helvetica" w:cs="Helvetica"/>
          <w:b/>
          <w:color w:val="FF0000"/>
          <w:sz w:val="18"/>
          <w:vertAlign w:val="superscript"/>
        </w:rPr>
        <w:footnoteReference w:id="141"/>
      </w:r>
      <w:r w:rsidRPr="00894EBA">
        <w:rPr>
          <w:rFonts w:ascii="Helvetica" w:hAnsi="Helvetica" w:cs="Helvetica"/>
          <w:sz w:val="21"/>
          <w:szCs w:val="21"/>
        </w:rPr>
        <w:t xml:space="preserve">. Wskazywała ona m.in. dokumenty uprawniające do wejścia na teren Jednostki oraz zasady ich wydawania, zasady kontroli osób i dokumentów przy wejściu, zasady ruchu i przebywania osób na terenie </w:t>
      </w:r>
      <w:proofErr w:type="spellStart"/>
      <w:r w:rsidRPr="00894EBA">
        <w:rPr>
          <w:rFonts w:ascii="Helvetica" w:hAnsi="Helvetica" w:cs="Helvetica"/>
          <w:sz w:val="21"/>
          <w:szCs w:val="21"/>
        </w:rPr>
        <w:t>MRiPS</w:t>
      </w:r>
      <w:proofErr w:type="spellEnd"/>
      <w:r w:rsidRPr="00894EBA">
        <w:rPr>
          <w:rFonts w:ascii="Helvetica" w:hAnsi="Helvetica" w:cs="Helvetica"/>
          <w:sz w:val="21"/>
          <w:szCs w:val="21"/>
        </w:rPr>
        <w:t xml:space="preserve"> oraz zasady ruchu pojazdów i przydziału miejsc parkingowych. Regulacja ta ze wz</w:t>
      </w:r>
      <w:bookmarkStart w:id="0" w:name="_GoBack"/>
      <w:bookmarkEnd w:id="0"/>
      <w:r w:rsidRPr="00894EBA">
        <w:rPr>
          <w:rFonts w:ascii="Helvetica" w:hAnsi="Helvetica" w:cs="Helvetica"/>
          <w:sz w:val="21"/>
          <w:szCs w:val="21"/>
        </w:rPr>
        <w:t>ględu na wprowadzone zmiany organizacyjne wymagała aktualizacji /</w:t>
      </w:r>
      <w:r w:rsidR="002B55CF">
        <w:rPr>
          <w:rFonts w:ascii="Helvetica" w:hAnsi="Helvetica" w:cs="Helvetica"/>
          <w:sz w:val="21"/>
          <w:szCs w:val="21"/>
        </w:rPr>
        <w:t> </w:t>
      </w:r>
      <w:r w:rsidRPr="00894EBA">
        <w:rPr>
          <w:rFonts w:ascii="Helvetica" w:hAnsi="Helvetica" w:cs="Helvetica"/>
          <w:sz w:val="21"/>
          <w:szCs w:val="21"/>
        </w:rPr>
        <w:t>uzupełnienia, w szczególności w zakresie:</w:t>
      </w:r>
    </w:p>
    <w:p w14:paraId="527C3E42" w14:textId="77777777" w:rsidR="004D1514" w:rsidRPr="00894EBA" w:rsidRDefault="004D1514" w:rsidP="00B618D8">
      <w:pPr>
        <w:numPr>
          <w:ilvl w:val="0"/>
          <w:numId w:val="23"/>
        </w:numPr>
        <w:tabs>
          <w:tab w:val="left" w:pos="709"/>
        </w:tabs>
        <w:spacing w:before="20"/>
        <w:ind w:left="1134" w:right="567" w:hanging="283"/>
        <w:jc w:val="both"/>
        <w:rPr>
          <w:rFonts w:ascii="Helvetica" w:hAnsi="Helvetica" w:cs="Helvetica"/>
          <w:sz w:val="21"/>
          <w:szCs w:val="21"/>
        </w:rPr>
      </w:pPr>
      <w:r w:rsidRPr="00894EBA">
        <w:rPr>
          <w:rFonts w:ascii="Helvetica" w:hAnsi="Helvetica" w:cs="Helvetica"/>
          <w:sz w:val="21"/>
          <w:szCs w:val="21"/>
        </w:rPr>
        <w:t xml:space="preserve">zmiany komórki odpowiedzialnej za wykonywanie identyfikatorów oraz kart wstępu. Na skutek zmiany regulaminu organizacyjnego </w:t>
      </w:r>
      <w:proofErr w:type="spellStart"/>
      <w:r w:rsidRPr="00894EBA">
        <w:rPr>
          <w:rFonts w:ascii="Helvetica" w:hAnsi="Helvetica" w:cs="Helvetica"/>
          <w:sz w:val="21"/>
          <w:szCs w:val="21"/>
        </w:rPr>
        <w:t>MRPiPS</w:t>
      </w:r>
      <w:proofErr w:type="spellEnd"/>
      <w:r w:rsidRPr="00894EBA">
        <w:rPr>
          <w:rFonts w:ascii="Helvetica" w:hAnsi="Helvetica" w:cs="Helvetica"/>
          <w:b/>
          <w:color w:val="FF0000"/>
          <w:sz w:val="18"/>
          <w:vertAlign w:val="superscript"/>
        </w:rPr>
        <w:footnoteReference w:id="142"/>
      </w:r>
      <w:r w:rsidRPr="00894EBA">
        <w:rPr>
          <w:rFonts w:ascii="Helvetica" w:hAnsi="Helvetica" w:cs="Helvetica"/>
          <w:sz w:val="21"/>
          <w:szCs w:val="21"/>
        </w:rPr>
        <w:t xml:space="preserve"> zadanie to 1 sierpnia 2020 r. przeszło z Biura Ministra do Biura Administracyjnego;</w:t>
      </w:r>
    </w:p>
    <w:p w14:paraId="036D4624" w14:textId="77777777" w:rsidR="004D1514" w:rsidRPr="00894EBA" w:rsidRDefault="004D1514" w:rsidP="00B618D8">
      <w:pPr>
        <w:numPr>
          <w:ilvl w:val="0"/>
          <w:numId w:val="23"/>
        </w:numPr>
        <w:tabs>
          <w:tab w:val="left" w:pos="709"/>
        </w:tabs>
        <w:spacing w:before="20"/>
        <w:ind w:left="1134" w:right="567" w:hanging="283"/>
        <w:jc w:val="both"/>
        <w:rPr>
          <w:rFonts w:ascii="Helvetica" w:hAnsi="Helvetica" w:cs="Helvetica"/>
          <w:sz w:val="21"/>
          <w:szCs w:val="21"/>
        </w:rPr>
      </w:pPr>
      <w:r w:rsidRPr="00894EBA">
        <w:rPr>
          <w:rFonts w:ascii="Helvetica" w:hAnsi="Helvetica" w:cs="Helvetica"/>
          <w:sz w:val="21"/>
          <w:szCs w:val="21"/>
        </w:rPr>
        <w:t>określenia zasad dot. pomieszczeń plombowanych, w tym wprowadzenia obowiązku ich ewidencji;</w:t>
      </w:r>
    </w:p>
    <w:p w14:paraId="12289697" w14:textId="77777777" w:rsidR="004D1514" w:rsidRPr="00894EBA" w:rsidRDefault="004D1514" w:rsidP="00B618D8">
      <w:pPr>
        <w:numPr>
          <w:ilvl w:val="0"/>
          <w:numId w:val="23"/>
        </w:numPr>
        <w:tabs>
          <w:tab w:val="left" w:pos="709"/>
        </w:tabs>
        <w:spacing w:before="20"/>
        <w:ind w:left="1134" w:right="567" w:hanging="283"/>
        <w:jc w:val="both"/>
        <w:rPr>
          <w:rFonts w:ascii="Helvetica" w:hAnsi="Helvetica" w:cs="Helvetica"/>
          <w:sz w:val="21"/>
          <w:szCs w:val="21"/>
        </w:rPr>
      </w:pPr>
      <w:r w:rsidRPr="00894EBA">
        <w:rPr>
          <w:rFonts w:ascii="Helvetica" w:hAnsi="Helvetica" w:cs="Helvetica"/>
          <w:sz w:val="21"/>
          <w:szCs w:val="21"/>
        </w:rPr>
        <w:t>wskazania zasad zarządzania kluczami, w tym dostępu do poszczególnych pomieszczeń;</w:t>
      </w:r>
    </w:p>
    <w:p w14:paraId="3A25EB95" w14:textId="77777777" w:rsidR="004D1514" w:rsidRPr="00894EBA" w:rsidRDefault="004D1514" w:rsidP="00B618D8">
      <w:pPr>
        <w:numPr>
          <w:ilvl w:val="0"/>
          <w:numId w:val="23"/>
        </w:numPr>
        <w:tabs>
          <w:tab w:val="left" w:pos="709"/>
        </w:tabs>
        <w:spacing w:before="20"/>
        <w:ind w:left="1134" w:right="567" w:hanging="283"/>
        <w:jc w:val="both"/>
        <w:rPr>
          <w:rFonts w:ascii="Helvetica" w:hAnsi="Helvetica" w:cs="Helvetica"/>
          <w:sz w:val="21"/>
          <w:szCs w:val="21"/>
        </w:rPr>
      </w:pPr>
      <w:r w:rsidRPr="00894EBA">
        <w:rPr>
          <w:rFonts w:ascii="Helvetica" w:hAnsi="Helvetica" w:cs="Helvetica"/>
          <w:sz w:val="21"/>
          <w:szCs w:val="21"/>
        </w:rPr>
        <w:t xml:space="preserve">wdrożenia dodatkowej kategorii kart </w:t>
      </w:r>
      <w:r w:rsidRPr="00894EBA">
        <w:rPr>
          <w:rFonts w:ascii="Helvetica" w:hAnsi="Helvetica" w:cs="Helvetica"/>
          <w:i/>
          <w:sz w:val="21"/>
          <w:szCs w:val="21"/>
        </w:rPr>
        <w:t xml:space="preserve">agent ochrony </w:t>
      </w:r>
      <w:r w:rsidRPr="00894EBA">
        <w:rPr>
          <w:rFonts w:ascii="Helvetica" w:hAnsi="Helvetica" w:cs="Helvetica"/>
          <w:sz w:val="21"/>
          <w:szCs w:val="21"/>
        </w:rPr>
        <w:t>od 1 lipca 2020 r. na skutek zawarcia umowy</w:t>
      </w:r>
      <w:r w:rsidRPr="00894EBA">
        <w:rPr>
          <w:rFonts w:ascii="Helvetica" w:hAnsi="Helvetica" w:cs="Helvetica"/>
          <w:b/>
          <w:color w:val="FF0000"/>
          <w:sz w:val="18"/>
          <w:vertAlign w:val="superscript"/>
        </w:rPr>
        <w:footnoteReference w:id="143"/>
      </w:r>
      <w:r w:rsidRPr="00894EBA">
        <w:rPr>
          <w:rFonts w:ascii="Helvetica" w:hAnsi="Helvetica" w:cs="Helvetica"/>
          <w:sz w:val="21"/>
          <w:szCs w:val="21"/>
        </w:rPr>
        <w:t xml:space="preserve"> na fizyczną ochronę osób i mienia;</w:t>
      </w:r>
    </w:p>
    <w:p w14:paraId="5BCB8CF7" w14:textId="77777777" w:rsidR="004D1514" w:rsidRPr="00894EBA" w:rsidRDefault="004D1514" w:rsidP="00B618D8">
      <w:pPr>
        <w:numPr>
          <w:ilvl w:val="0"/>
          <w:numId w:val="23"/>
        </w:numPr>
        <w:tabs>
          <w:tab w:val="left" w:pos="709"/>
        </w:tabs>
        <w:spacing w:before="20"/>
        <w:ind w:left="1134" w:right="567" w:hanging="283"/>
        <w:jc w:val="both"/>
        <w:rPr>
          <w:rFonts w:ascii="Helvetica" w:hAnsi="Helvetica" w:cs="Helvetica"/>
          <w:sz w:val="21"/>
          <w:szCs w:val="21"/>
        </w:rPr>
      </w:pPr>
      <w:r w:rsidRPr="00894EBA">
        <w:rPr>
          <w:rFonts w:ascii="Helvetica" w:hAnsi="Helvetica" w:cs="Helvetica"/>
          <w:sz w:val="21"/>
          <w:szCs w:val="21"/>
        </w:rPr>
        <w:t xml:space="preserve">doprecyzowania, w których lokalizacjach prowadzona jest kontrola polegająca </w:t>
      </w:r>
      <w:r w:rsidR="00B618D8" w:rsidRPr="00894EBA">
        <w:rPr>
          <w:rFonts w:ascii="Helvetica" w:hAnsi="Helvetica" w:cs="Helvetica"/>
          <w:sz w:val="21"/>
          <w:szCs w:val="21"/>
        </w:rPr>
        <w:t>na</w:t>
      </w:r>
      <w:r w:rsidR="00B618D8">
        <w:rPr>
          <w:rFonts w:ascii="Helvetica" w:hAnsi="Helvetica" w:cs="Helvetica"/>
          <w:sz w:val="21"/>
          <w:szCs w:val="21"/>
        </w:rPr>
        <w:t> </w:t>
      </w:r>
      <w:r w:rsidRPr="00894EBA">
        <w:rPr>
          <w:rFonts w:ascii="Helvetica" w:hAnsi="Helvetica" w:cs="Helvetica"/>
          <w:sz w:val="21"/>
          <w:szCs w:val="21"/>
        </w:rPr>
        <w:t>przejściu przez stacjonarny detektor do wykrywania metali ora</w:t>
      </w:r>
      <w:r w:rsidR="00B17329">
        <w:rPr>
          <w:rFonts w:ascii="Helvetica" w:hAnsi="Helvetica" w:cs="Helvetica"/>
          <w:sz w:val="21"/>
          <w:szCs w:val="21"/>
        </w:rPr>
        <w:t>z kontrola bagażu. Działania te </w:t>
      </w:r>
      <w:r w:rsidRPr="00894EBA">
        <w:rPr>
          <w:rFonts w:ascii="Helvetica" w:hAnsi="Helvetica" w:cs="Helvetica"/>
          <w:sz w:val="21"/>
          <w:szCs w:val="21"/>
        </w:rPr>
        <w:t>są bowiem podejmowane tylko w 2 budynkach Ministerstwa, a</w:t>
      </w:r>
      <w:r w:rsidR="00B618D8">
        <w:rPr>
          <w:rFonts w:ascii="Helvetica" w:hAnsi="Helvetica" w:cs="Helvetica"/>
          <w:sz w:val="21"/>
          <w:szCs w:val="21"/>
        </w:rPr>
        <w:t> </w:t>
      </w:r>
      <w:r w:rsidRPr="00894EBA">
        <w:rPr>
          <w:rFonts w:ascii="Helvetica" w:hAnsi="Helvetica" w:cs="Helvetica"/>
          <w:sz w:val="21"/>
          <w:szCs w:val="21"/>
        </w:rPr>
        <w:t>nie wszystkich obiektach;</w:t>
      </w:r>
    </w:p>
    <w:p w14:paraId="2AEBD7C4" w14:textId="77777777" w:rsidR="004D1514" w:rsidRPr="00894EBA" w:rsidRDefault="004D1514" w:rsidP="00B618D8">
      <w:pPr>
        <w:numPr>
          <w:ilvl w:val="0"/>
          <w:numId w:val="23"/>
        </w:numPr>
        <w:tabs>
          <w:tab w:val="left" w:pos="709"/>
        </w:tabs>
        <w:spacing w:before="20"/>
        <w:ind w:left="1134" w:right="567" w:hanging="283"/>
        <w:jc w:val="both"/>
        <w:rPr>
          <w:rFonts w:ascii="Helvetica" w:hAnsi="Helvetica" w:cs="Helvetica"/>
          <w:sz w:val="21"/>
          <w:szCs w:val="21"/>
        </w:rPr>
      </w:pPr>
      <w:r w:rsidRPr="00894EBA">
        <w:rPr>
          <w:rFonts w:ascii="Helvetica" w:hAnsi="Helvetica" w:cs="Helvetica"/>
          <w:sz w:val="21"/>
          <w:szCs w:val="21"/>
        </w:rPr>
        <w:t>obowiązku ewidencji wejść zstępnych pracowników.</w:t>
      </w:r>
    </w:p>
    <w:p w14:paraId="34C15398" w14:textId="77777777" w:rsidR="004D1514" w:rsidRPr="00894EBA" w:rsidRDefault="004D1514" w:rsidP="00B559C5">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 xml:space="preserve">Ponadto usługi profesjonalnej całodobowej ochrony fizycznej osób i mienia w obiektach </w:t>
      </w:r>
      <w:proofErr w:type="spellStart"/>
      <w:r w:rsidRPr="00894EBA">
        <w:rPr>
          <w:rFonts w:ascii="Helvetica" w:hAnsi="Helvetica" w:cs="Helvetica"/>
          <w:sz w:val="21"/>
          <w:szCs w:val="21"/>
        </w:rPr>
        <w:t>MRiPS</w:t>
      </w:r>
      <w:proofErr w:type="spellEnd"/>
      <w:r w:rsidRPr="00894EBA">
        <w:rPr>
          <w:rFonts w:ascii="Helvetica" w:hAnsi="Helvetica" w:cs="Helvetica"/>
          <w:sz w:val="21"/>
          <w:szCs w:val="21"/>
        </w:rPr>
        <w:t xml:space="preserve"> świadczone były przez wyspecjalizowaną firmę w ramach zawartej umowy</w:t>
      </w:r>
      <w:r w:rsidRPr="00894EBA">
        <w:rPr>
          <w:rFonts w:ascii="Helvetica" w:hAnsi="Helvetica" w:cs="Helvetica"/>
          <w:b/>
          <w:color w:val="FF0000"/>
          <w:sz w:val="18"/>
          <w:vertAlign w:val="superscript"/>
        </w:rPr>
        <w:footnoteReference w:id="144"/>
      </w:r>
      <w:r w:rsidRPr="00894EBA">
        <w:rPr>
          <w:rFonts w:ascii="Helvetica" w:hAnsi="Helvetica" w:cs="Helvetica"/>
          <w:sz w:val="21"/>
          <w:szCs w:val="21"/>
        </w:rPr>
        <w:t>, która regulowała szc</w:t>
      </w:r>
      <w:r w:rsidR="00B559C5" w:rsidRPr="00894EBA">
        <w:rPr>
          <w:rFonts w:ascii="Helvetica" w:hAnsi="Helvetica" w:cs="Helvetica"/>
          <w:sz w:val="21"/>
          <w:szCs w:val="21"/>
        </w:rPr>
        <w:t>zegółowe wymogi w tym zakresie.</w:t>
      </w:r>
    </w:p>
    <w:p w14:paraId="77B0BC71"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szCs w:val="24"/>
        </w:rPr>
      </w:pPr>
      <w:r w:rsidRPr="00894EBA">
        <w:rPr>
          <w:rFonts w:ascii="Helvetica" w:hAnsi="Helvetica" w:cs="Helvetica"/>
          <w:szCs w:val="24"/>
        </w:rPr>
        <w:t xml:space="preserve">Wdrożono rozwiązania zapewniające rejestrację ruchu osobowego na terenie Ministerstwa, w tym pozwalające na jego kontrolę. Wprowadzenie różnych rodzajów kart dostępu dla poszczególnych grup interesantów ułatwiało tę kontrolę. Uregulowania wymagają przejazdy samochodami pracowników Uniwersytetu Warszawskiego przez parking </w:t>
      </w:r>
      <w:proofErr w:type="spellStart"/>
      <w:r w:rsidRPr="00894EBA">
        <w:rPr>
          <w:rFonts w:ascii="Helvetica" w:hAnsi="Helvetica" w:cs="Helvetica"/>
          <w:szCs w:val="24"/>
        </w:rPr>
        <w:t>MRiPS</w:t>
      </w:r>
      <w:proofErr w:type="spellEnd"/>
      <w:r w:rsidRPr="00894EBA">
        <w:rPr>
          <w:rFonts w:ascii="Helvetica" w:hAnsi="Helvetica" w:cs="Helvetica"/>
          <w:szCs w:val="24"/>
        </w:rPr>
        <w:t>. Zasadnym byłoby również odnotowywa</w:t>
      </w:r>
      <w:r w:rsidR="00B17329">
        <w:rPr>
          <w:rFonts w:ascii="Helvetica" w:hAnsi="Helvetica" w:cs="Helvetica"/>
          <w:szCs w:val="24"/>
        </w:rPr>
        <w:t>nie wejść dzieci pracowników na </w:t>
      </w:r>
      <w:r w:rsidRPr="00894EBA">
        <w:rPr>
          <w:rFonts w:ascii="Helvetica" w:hAnsi="Helvetica" w:cs="Helvetica"/>
          <w:szCs w:val="24"/>
        </w:rPr>
        <w:t>teren budynku.</w:t>
      </w:r>
    </w:p>
    <w:p w14:paraId="523A2D2A" w14:textId="77777777" w:rsidR="004D1514" w:rsidRPr="00894EBA" w:rsidRDefault="004D1514" w:rsidP="00B559C5">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Dostęp do obiektów odbywał się na podstawie magnetycznych kart dostępu. Wdrożono 6</w:t>
      </w:r>
      <w:r w:rsidRPr="00894EBA">
        <w:rPr>
          <w:rFonts w:ascii="Helvetica" w:hAnsi="Helvetica" w:cs="Helvetica"/>
          <w:b/>
          <w:color w:val="FF0000"/>
          <w:sz w:val="18"/>
          <w:vertAlign w:val="superscript"/>
        </w:rPr>
        <w:footnoteReference w:id="145"/>
      </w:r>
      <w:r w:rsidRPr="00894EBA">
        <w:rPr>
          <w:rFonts w:ascii="Helvetica" w:hAnsi="Helvetica" w:cs="Helvetica"/>
          <w:sz w:val="21"/>
          <w:szCs w:val="21"/>
        </w:rPr>
        <w:t xml:space="preserve"> rodzajów takich kart dla różnych grup interesantów. Wszystkie karty podlegały obowiązkowi rejestracji, w tym przypisaniu ich do konkretnej osoby, zatem dysponowano informacjami pozwalającymi na ustalenie, kto i kiedy przemieszczał się po obiektach Ministerstwa.</w:t>
      </w:r>
    </w:p>
    <w:p w14:paraId="1CE396AD" w14:textId="77777777" w:rsidR="004D1514" w:rsidRPr="00894EBA" w:rsidRDefault="004D1514" w:rsidP="00B559C5">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Do sporządzania kart, nadawania uprawnień oraz kontroli dostępu wykorzystywany był system informatyczny, który umożliwiał nadanie uprawnień do wybranych miejsc oraz gromadził dane ze wszystkich przejść. Pozwalał też na generowanie raportów nt. zdarzeń konkretnego pracownika</w:t>
      </w:r>
      <w:r w:rsidRPr="00894EBA">
        <w:rPr>
          <w:rFonts w:ascii="Helvetica" w:hAnsi="Helvetica" w:cs="Helvetica"/>
          <w:b/>
          <w:color w:val="FF0000"/>
          <w:sz w:val="18"/>
          <w:vertAlign w:val="superscript"/>
        </w:rPr>
        <w:footnoteReference w:id="146"/>
      </w:r>
      <w:r w:rsidRPr="00894EBA">
        <w:rPr>
          <w:rFonts w:ascii="Helvetica" w:hAnsi="Helvetica" w:cs="Helvetica"/>
          <w:sz w:val="21"/>
          <w:szCs w:val="21"/>
        </w:rPr>
        <w:t xml:space="preserve"> bądź zdarzeń na konkretnym przejściu. Rejestrował także zdarzenia nieuprawnionych prób dostępu, tj. użycia karty dostępu na przejściu, do którego pracownik nie posiadał uprawnień. W przypadku pracowników kończących pracę w </w:t>
      </w:r>
      <w:proofErr w:type="spellStart"/>
      <w:r w:rsidRPr="00894EBA">
        <w:rPr>
          <w:rFonts w:ascii="Helvetica" w:hAnsi="Helvetica" w:cs="Helvetica"/>
          <w:sz w:val="21"/>
          <w:szCs w:val="21"/>
        </w:rPr>
        <w:t>MRiPS</w:t>
      </w:r>
      <w:proofErr w:type="spellEnd"/>
      <w:r w:rsidRPr="00894EBA">
        <w:rPr>
          <w:rFonts w:ascii="Helvetica" w:hAnsi="Helvetica" w:cs="Helvetica"/>
          <w:sz w:val="21"/>
          <w:szCs w:val="21"/>
        </w:rPr>
        <w:t xml:space="preserve"> blokada dostępu następowała ostatniego dnia pracy, przy zdawaniu identyfikatora.</w:t>
      </w:r>
    </w:p>
    <w:p w14:paraId="62182C55" w14:textId="77777777" w:rsidR="004D1514" w:rsidRPr="00894EBA" w:rsidRDefault="004D1514" w:rsidP="00B559C5">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Z przejazdów przez parking Ministerstwa korzystali pracownicy Uniwersytetu Warszawskiego</w:t>
      </w:r>
      <w:r w:rsidR="001E7191">
        <w:rPr>
          <w:rFonts w:ascii="Helvetica" w:hAnsi="Helvetica" w:cs="Helvetica"/>
          <w:sz w:val="21"/>
          <w:szCs w:val="21"/>
        </w:rPr>
        <w:t xml:space="preserve"> (dalej: UW)</w:t>
      </w:r>
      <w:r w:rsidRPr="00894EBA">
        <w:rPr>
          <w:rFonts w:ascii="Helvetica" w:hAnsi="Helvetica" w:cs="Helvetica"/>
          <w:sz w:val="21"/>
          <w:szCs w:val="21"/>
        </w:rPr>
        <w:t>. Spowodowane to było zablokowaniem wjazdu na ich parking przez roboty rozbiórkowe oraz budowlane.</w:t>
      </w:r>
    </w:p>
    <w:p w14:paraId="5469AFA4" w14:textId="77777777" w:rsidR="004D1514" w:rsidRPr="00894EBA" w:rsidRDefault="004D1514" w:rsidP="00B559C5">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Wyjaśniono</w:t>
      </w:r>
      <w:r w:rsidRPr="00894EBA">
        <w:rPr>
          <w:rFonts w:ascii="Helvetica" w:hAnsi="Helvetica" w:cs="Helvetica"/>
          <w:b/>
          <w:color w:val="FF0000"/>
          <w:sz w:val="18"/>
          <w:vertAlign w:val="superscript"/>
        </w:rPr>
        <w:footnoteReference w:id="147"/>
      </w:r>
      <w:r w:rsidRPr="00894EBA">
        <w:rPr>
          <w:rFonts w:ascii="Helvetica" w:hAnsi="Helvetica" w:cs="Helvetica"/>
          <w:sz w:val="21"/>
          <w:szCs w:val="21"/>
        </w:rPr>
        <w:t xml:space="preserve">, że potwierdzono listę samochodów i użytkowników korzystających z tego przejazdu, jak również przekazano ją pracownikom ochrony. Wskazano także, że w związku z przejęciem nieruchomości </w:t>
      </w:r>
      <w:proofErr w:type="spellStart"/>
      <w:r w:rsidRPr="00894EBA">
        <w:rPr>
          <w:rFonts w:ascii="Helvetica" w:hAnsi="Helvetica" w:cs="Helvetica"/>
          <w:sz w:val="21"/>
          <w:szCs w:val="21"/>
        </w:rPr>
        <w:t>MRiPS</w:t>
      </w:r>
      <w:proofErr w:type="spellEnd"/>
      <w:r w:rsidRPr="00894EBA">
        <w:rPr>
          <w:rFonts w:ascii="Helvetica" w:hAnsi="Helvetica" w:cs="Helvetica"/>
          <w:sz w:val="21"/>
          <w:szCs w:val="21"/>
        </w:rPr>
        <w:t xml:space="preserve"> przez Ministerstwo Rozwoju, Pracy i Technologii przekazano nowemu jej użytkownikowi informacje o konieczności pilnego uregulowania i ewidencjonowania tych przejazdów.</w:t>
      </w:r>
      <w:r w:rsidRPr="00894EBA">
        <w:rPr>
          <w:rFonts w:ascii="Helvetica" w:hAnsi="Helvetica" w:cs="Helvetica"/>
          <w:i/>
          <w:sz w:val="21"/>
          <w:szCs w:val="21"/>
        </w:rPr>
        <w:t xml:space="preserve"> </w:t>
      </w:r>
      <w:r w:rsidRPr="00894EBA">
        <w:rPr>
          <w:rFonts w:ascii="Helvetica" w:hAnsi="Helvetica" w:cs="Helvetica"/>
          <w:sz w:val="21"/>
          <w:szCs w:val="21"/>
        </w:rPr>
        <w:t xml:space="preserve">Mając na uwadze ponowne przejęcie działu </w:t>
      </w:r>
      <w:r w:rsidRPr="00894EBA">
        <w:rPr>
          <w:rFonts w:ascii="Helvetica" w:hAnsi="Helvetica" w:cs="Helvetica"/>
          <w:i/>
          <w:sz w:val="21"/>
          <w:szCs w:val="21"/>
        </w:rPr>
        <w:t>praca</w:t>
      </w:r>
      <w:r w:rsidRPr="00894EBA">
        <w:rPr>
          <w:rFonts w:ascii="Helvetica" w:hAnsi="Helvetica" w:cs="Helvetica"/>
          <w:sz w:val="21"/>
          <w:szCs w:val="21"/>
        </w:rPr>
        <w:t xml:space="preserve">, tym samym ponowne przejęcie tej nieruchomości, </w:t>
      </w:r>
      <w:proofErr w:type="spellStart"/>
      <w:r w:rsidRPr="00894EBA">
        <w:rPr>
          <w:rFonts w:ascii="Helvetica" w:hAnsi="Helvetica" w:cs="Helvetica"/>
          <w:sz w:val="21"/>
          <w:szCs w:val="21"/>
        </w:rPr>
        <w:t>MRiPS</w:t>
      </w:r>
      <w:proofErr w:type="spellEnd"/>
      <w:r w:rsidRPr="00894EBA">
        <w:rPr>
          <w:rFonts w:ascii="Helvetica" w:hAnsi="Helvetica" w:cs="Helvetica"/>
          <w:sz w:val="21"/>
          <w:szCs w:val="21"/>
        </w:rPr>
        <w:t xml:space="preserve"> powinno uregulować kwestie korzystania z parkingu przez pracowników UW.</w:t>
      </w:r>
    </w:p>
    <w:p w14:paraId="7583FC98" w14:textId="77777777" w:rsidR="004D1514" w:rsidRPr="00894EBA" w:rsidRDefault="004D1514" w:rsidP="00B559C5">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 xml:space="preserve">Na teren Ministerstwa nie miały wstępu osoby niepełnoletnie, z wyjątkiem dzieci pracowników. Wejścia te nie były rejestrowane w </w:t>
      </w:r>
      <w:r w:rsidRPr="00894EBA">
        <w:rPr>
          <w:rFonts w:ascii="Helvetica" w:hAnsi="Helvetica" w:cs="Helvetica"/>
          <w:i/>
          <w:sz w:val="21"/>
          <w:szCs w:val="21"/>
        </w:rPr>
        <w:t>Książce kontroli ruchu osobowego</w:t>
      </w:r>
      <w:r w:rsidRPr="00894EBA">
        <w:rPr>
          <w:rFonts w:ascii="Helvetica" w:hAnsi="Helvetica" w:cs="Helvetica"/>
          <w:sz w:val="21"/>
          <w:szCs w:val="21"/>
        </w:rPr>
        <w:t xml:space="preserve"> i nie była wydawana karta wstępu. Tym samym nie posiadano pełnych informacji nt. osób przebywających w danym dniu na terenie Ministerstwa.</w:t>
      </w:r>
    </w:p>
    <w:p w14:paraId="637E4123" w14:textId="77777777" w:rsidR="004D1514" w:rsidRPr="00894EBA" w:rsidRDefault="004D1514" w:rsidP="00B559C5">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Wyjaśniono</w:t>
      </w:r>
      <w:r w:rsidRPr="00894EBA">
        <w:rPr>
          <w:rFonts w:ascii="Helvetica" w:hAnsi="Helvetica" w:cs="Helvetica"/>
          <w:b/>
          <w:color w:val="FF0000"/>
          <w:sz w:val="18"/>
          <w:vertAlign w:val="superscript"/>
        </w:rPr>
        <w:footnoteReference w:id="148"/>
      </w:r>
      <w:r w:rsidRPr="00894EBA">
        <w:rPr>
          <w:rFonts w:ascii="Helvetica" w:hAnsi="Helvetica" w:cs="Helvetica"/>
          <w:sz w:val="21"/>
          <w:szCs w:val="21"/>
        </w:rPr>
        <w:t xml:space="preserve">, że dzieci pracowników mogą wejść na teren </w:t>
      </w:r>
      <w:proofErr w:type="spellStart"/>
      <w:r w:rsidRPr="00894EBA">
        <w:rPr>
          <w:rFonts w:ascii="Helvetica" w:hAnsi="Helvetica" w:cs="Helvetica"/>
          <w:sz w:val="21"/>
          <w:szCs w:val="21"/>
        </w:rPr>
        <w:t>MRiPS</w:t>
      </w:r>
      <w:proofErr w:type="spellEnd"/>
      <w:r w:rsidRPr="00894EBA">
        <w:rPr>
          <w:rFonts w:ascii="Helvetica" w:hAnsi="Helvetica" w:cs="Helvetica"/>
          <w:sz w:val="21"/>
          <w:szCs w:val="21"/>
        </w:rPr>
        <w:t xml:space="preserve"> wyłącznie pod nadzorem pracownika. Najczęściej nie posiadają one dowodów tożsamości, a jedynymi osobami mogącymi potwierdzić ich tożsamość są pracownicy. Wskazać należy, że możliwość wejść dzieci pracowników nie budzi wątpliwości, natomiast Ministerstwo powinno posiadać informacje w tym zakresie, w szczególności na wypadek sytuacji nadzwyczajnyc</w:t>
      </w:r>
      <w:r w:rsidR="00B559C5" w:rsidRPr="00894EBA">
        <w:rPr>
          <w:rFonts w:ascii="Helvetica" w:hAnsi="Helvetica" w:cs="Helvetica"/>
          <w:sz w:val="21"/>
          <w:szCs w:val="21"/>
        </w:rPr>
        <w:t>h np</w:t>
      </w:r>
      <w:r w:rsidR="00A36E3B" w:rsidRPr="00894EBA">
        <w:rPr>
          <w:rFonts w:ascii="Helvetica" w:hAnsi="Helvetica" w:cs="Helvetica"/>
          <w:sz w:val="21"/>
          <w:szCs w:val="21"/>
        </w:rPr>
        <w:t>.</w:t>
      </w:r>
      <w:r w:rsidR="00A36E3B">
        <w:rPr>
          <w:rFonts w:ascii="Helvetica" w:hAnsi="Helvetica" w:cs="Helvetica"/>
          <w:sz w:val="21"/>
          <w:szCs w:val="21"/>
        </w:rPr>
        <w:t> </w:t>
      </w:r>
      <w:r w:rsidR="00B559C5" w:rsidRPr="00894EBA">
        <w:rPr>
          <w:rFonts w:ascii="Helvetica" w:hAnsi="Helvetica" w:cs="Helvetica"/>
          <w:sz w:val="21"/>
          <w:szCs w:val="21"/>
        </w:rPr>
        <w:t>związanych z ewakuacją.</w:t>
      </w:r>
    </w:p>
    <w:p w14:paraId="7D95C789"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szCs w:val="24"/>
        </w:rPr>
      </w:pPr>
      <w:r w:rsidRPr="00894EBA">
        <w:rPr>
          <w:rFonts w:ascii="Helvetica" w:hAnsi="Helvetica" w:cs="Helvetica"/>
          <w:szCs w:val="24"/>
        </w:rPr>
        <w:t>Plombowanie pomieszczeń w celu zwiększenia bezpieczeństwa informacji w nich przetwarzanych było właściwe. Zasadnym byłoby wprowadzenie obowiązku ich ewidencji.</w:t>
      </w:r>
    </w:p>
    <w:p w14:paraId="7614BB37" w14:textId="77777777" w:rsidR="004D1514" w:rsidRPr="00894EBA" w:rsidRDefault="004D1514" w:rsidP="00B559C5">
      <w:pPr>
        <w:tabs>
          <w:tab w:val="left" w:pos="709"/>
        </w:tabs>
        <w:suppressAutoHyphens/>
        <w:spacing w:before="60"/>
        <w:ind w:left="567" w:right="538"/>
        <w:jc w:val="both"/>
        <w:outlineLvl w:val="1"/>
        <w:rPr>
          <w:rFonts w:ascii="Helvetica" w:hAnsi="Helvetica" w:cs="Helvetica"/>
          <w:sz w:val="21"/>
          <w:szCs w:val="21"/>
        </w:rPr>
      </w:pPr>
      <w:r w:rsidRPr="00894EBA">
        <w:rPr>
          <w:rFonts w:ascii="Helvetica" w:hAnsi="Helvetica" w:cs="Helvetica"/>
          <w:sz w:val="21"/>
          <w:szCs w:val="21"/>
        </w:rPr>
        <w:t xml:space="preserve">W </w:t>
      </w:r>
      <w:proofErr w:type="spellStart"/>
      <w:r w:rsidRPr="00894EBA">
        <w:rPr>
          <w:rFonts w:ascii="Helvetica" w:hAnsi="Helvetica" w:cs="Helvetica"/>
          <w:sz w:val="21"/>
          <w:szCs w:val="21"/>
        </w:rPr>
        <w:t>MRiPS</w:t>
      </w:r>
      <w:proofErr w:type="spellEnd"/>
      <w:r w:rsidRPr="00894EBA">
        <w:rPr>
          <w:rFonts w:ascii="Helvetica" w:hAnsi="Helvetica" w:cs="Helvetica"/>
          <w:sz w:val="21"/>
          <w:szCs w:val="21"/>
        </w:rPr>
        <w:t xml:space="preserve"> w sytuacjach tego wymagających, plombowano pomieszczenia. Nie prowadzono jednak ich ewidencji / wykazu. Po zaplombowaniu pomieszczenia klucze do niego przechowywano w plombowanych woreczkach na recepcji, a ich pobranie / zdanie podlegało obowiązkowi rejestracji. Wydanie / zdanie kluczy w stosunku do pozostałych pomieszczeń nie było ewidencjonowane. Wyjaśniono</w:t>
      </w:r>
      <w:r w:rsidRPr="00894EBA">
        <w:rPr>
          <w:rFonts w:ascii="Helvetica" w:hAnsi="Helvetica" w:cs="Helvetica"/>
          <w:b/>
          <w:color w:val="FF0000"/>
          <w:sz w:val="18"/>
          <w:szCs w:val="24"/>
          <w:vertAlign w:val="superscript"/>
        </w:rPr>
        <w:footnoteReference w:id="149"/>
      </w:r>
      <w:r w:rsidRPr="00894EBA">
        <w:rPr>
          <w:rFonts w:ascii="Helvetica" w:hAnsi="Helvetica" w:cs="Helvetica"/>
          <w:sz w:val="21"/>
          <w:szCs w:val="21"/>
        </w:rPr>
        <w:t xml:space="preserve">, że chodziło o takie zabezpieczenie tych pomieszczeń, aby wszystkie czynności w nich wykonywane były realizowane w obecności uprawnionego pracownika, np. sprzątanie, naprawy, konserwacje klimatyzatorów, </w:t>
      </w:r>
      <w:r w:rsidR="00B559C5" w:rsidRPr="00894EBA">
        <w:rPr>
          <w:rFonts w:ascii="Helvetica" w:hAnsi="Helvetica" w:cs="Helvetica"/>
          <w:sz w:val="21"/>
          <w:szCs w:val="21"/>
        </w:rPr>
        <w:t>itp.</w:t>
      </w:r>
    </w:p>
    <w:p w14:paraId="145F3547" w14:textId="77777777" w:rsidR="004D1514" w:rsidRPr="00894EBA" w:rsidRDefault="004D1514" w:rsidP="00983826">
      <w:pPr>
        <w:tabs>
          <w:tab w:val="left" w:pos="709"/>
        </w:tabs>
        <w:suppressAutoHyphens/>
        <w:spacing w:before="60" w:line="300" w:lineRule="atLeast"/>
        <w:jc w:val="both"/>
        <w:outlineLvl w:val="1"/>
        <w:rPr>
          <w:rFonts w:ascii="Helvetica" w:hAnsi="Helvetica" w:cs="Helvetica"/>
          <w:szCs w:val="24"/>
        </w:rPr>
      </w:pPr>
      <w:r w:rsidRPr="00894EBA">
        <w:rPr>
          <w:rFonts w:ascii="Helvetica" w:hAnsi="Helvetica" w:cs="Helvetica"/>
          <w:szCs w:val="24"/>
        </w:rPr>
        <w:t>Plombowanie pomieszczeń zwiększało bezpieczeństwo informacji, jednak brak ich ewidencji nie zapewniał szybkiego dostępu do informacji potrzebnych w sytuacjach podejmowania określonych działań w zakresie tych pomieszczeń oraz pozbawiał Ministerstwo informacji nt. zasadności / celowości zastosowania tego rodzaju zabezpieczenia.</w:t>
      </w:r>
    </w:p>
    <w:p w14:paraId="238BA7DB"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sz w:val="21"/>
          <w:szCs w:val="21"/>
        </w:rPr>
      </w:pPr>
      <w:r w:rsidRPr="00894EBA">
        <w:rPr>
          <w:rFonts w:ascii="Helvetica" w:hAnsi="Helvetica" w:cs="Helvetica"/>
          <w:szCs w:val="24"/>
        </w:rPr>
        <w:t>Pracownicy recepcji nie posiadali pełnych informacji, kto jest uprawniony do pobrania kluczy i do jakich konkretnie pomieszczeń, w t</w:t>
      </w:r>
      <w:r w:rsidR="00B559C5" w:rsidRPr="00894EBA">
        <w:rPr>
          <w:rFonts w:ascii="Helvetica" w:hAnsi="Helvetica" w:cs="Helvetica"/>
          <w:szCs w:val="24"/>
        </w:rPr>
        <w:t>ym pomieszczeń plombowanych, co </w:t>
      </w:r>
      <w:r w:rsidRPr="00894EBA">
        <w:rPr>
          <w:rFonts w:ascii="Helvetica" w:hAnsi="Helvetica" w:cs="Helvetica"/>
          <w:szCs w:val="24"/>
        </w:rPr>
        <w:t xml:space="preserve">zwiększało ryzyko nieuprawnionego dostępu. </w:t>
      </w:r>
      <w:r w:rsidRPr="00894EBA">
        <w:rPr>
          <w:rFonts w:ascii="Helvetica" w:hAnsi="Helvetica" w:cs="Helvetica"/>
          <w:i/>
          <w:szCs w:val="24"/>
        </w:rPr>
        <w:t xml:space="preserve">Baza danych o pomieszczeniach zajmowanych przez pracowników </w:t>
      </w:r>
      <w:r w:rsidRPr="00894EBA">
        <w:rPr>
          <w:rFonts w:ascii="Helvetica" w:hAnsi="Helvetica" w:cs="Helvetica"/>
          <w:szCs w:val="24"/>
        </w:rPr>
        <w:t>nie</w:t>
      </w:r>
      <w:r w:rsidRPr="00894EBA">
        <w:rPr>
          <w:rFonts w:ascii="Helvetica" w:hAnsi="Helvetica" w:cs="Helvetica"/>
          <w:i/>
          <w:szCs w:val="24"/>
        </w:rPr>
        <w:t xml:space="preserve"> </w:t>
      </w:r>
      <w:r w:rsidRPr="00894EBA">
        <w:rPr>
          <w:rFonts w:ascii="Helvetica" w:hAnsi="Helvetica" w:cs="Helvetica"/>
          <w:szCs w:val="24"/>
        </w:rPr>
        <w:t xml:space="preserve">zawierała informacji w odniesieniu do </w:t>
      </w:r>
      <w:proofErr w:type="spellStart"/>
      <w:r w:rsidRPr="00894EBA">
        <w:rPr>
          <w:rFonts w:ascii="Helvetica" w:hAnsi="Helvetica" w:cs="Helvetica"/>
          <w:szCs w:val="24"/>
        </w:rPr>
        <w:t>sal</w:t>
      </w:r>
      <w:proofErr w:type="spellEnd"/>
      <w:r w:rsidRPr="00894EBA">
        <w:rPr>
          <w:rFonts w:ascii="Helvetica" w:hAnsi="Helvetica" w:cs="Helvetica"/>
          <w:szCs w:val="24"/>
        </w:rPr>
        <w:t xml:space="preserve"> konferencyjnych i pomieszczeń technicznych, jak również nie były w niej zaznaczone pomieszczenia plombowane.</w:t>
      </w:r>
    </w:p>
    <w:p w14:paraId="3FB345D7" w14:textId="77777777" w:rsidR="004D1514" w:rsidRPr="00894EBA" w:rsidRDefault="004D1514" w:rsidP="00B559C5">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Klucze wydawane i przyjmowane były przez pracownika recepcji</w:t>
      </w:r>
      <w:r w:rsidRPr="00894EBA">
        <w:rPr>
          <w:rFonts w:ascii="Helvetica" w:hAnsi="Helvetica" w:cs="Helvetica"/>
          <w:b/>
          <w:color w:val="FF0000"/>
          <w:sz w:val="18"/>
          <w:vertAlign w:val="superscript"/>
        </w:rPr>
        <w:footnoteReference w:id="150"/>
      </w:r>
      <w:r w:rsidRPr="00894EBA">
        <w:rPr>
          <w:rFonts w:ascii="Helvetica" w:hAnsi="Helvetica" w:cs="Helvetica"/>
          <w:sz w:val="21"/>
          <w:szCs w:val="21"/>
        </w:rPr>
        <w:t xml:space="preserve">. W przypadku wątpliwości co zasadności pobrania kluczy pracownik recepcji mógł zweryfikować takie żądanie przez dostęp do </w:t>
      </w:r>
      <w:r w:rsidRPr="00894EBA">
        <w:rPr>
          <w:rFonts w:ascii="Helvetica" w:hAnsi="Helvetica" w:cs="Helvetica"/>
          <w:i/>
          <w:sz w:val="21"/>
          <w:szCs w:val="21"/>
        </w:rPr>
        <w:t xml:space="preserve">Bazy danych o pomieszczeniach zajmowanych przez pracowników </w:t>
      </w:r>
      <w:r w:rsidRPr="00894EBA">
        <w:rPr>
          <w:rFonts w:ascii="Helvetica" w:hAnsi="Helvetica" w:cs="Helvetica"/>
          <w:sz w:val="21"/>
          <w:szCs w:val="21"/>
        </w:rPr>
        <w:t>prowadzonej w programie</w:t>
      </w:r>
      <w:r w:rsidRPr="00894EBA">
        <w:rPr>
          <w:rFonts w:ascii="Helvetica" w:hAnsi="Helvetica" w:cs="Helvetica"/>
          <w:i/>
          <w:sz w:val="21"/>
          <w:szCs w:val="21"/>
        </w:rPr>
        <w:t xml:space="preserve"> IBM Lotus Notes. </w:t>
      </w:r>
      <w:r w:rsidRPr="00894EBA">
        <w:rPr>
          <w:rFonts w:ascii="Helvetica" w:hAnsi="Helvetica" w:cs="Helvetica"/>
          <w:sz w:val="21"/>
          <w:szCs w:val="21"/>
        </w:rPr>
        <w:t xml:space="preserve">Nie była to jednak pełna informacja, ponieważ baza ta nie zawierała informacji kto ma dostęp do pobrania kluczy do </w:t>
      </w:r>
      <w:proofErr w:type="spellStart"/>
      <w:r w:rsidRPr="00894EBA">
        <w:rPr>
          <w:rFonts w:ascii="Helvetica" w:hAnsi="Helvetica" w:cs="Helvetica"/>
          <w:sz w:val="21"/>
          <w:szCs w:val="21"/>
        </w:rPr>
        <w:t>sal</w:t>
      </w:r>
      <w:proofErr w:type="spellEnd"/>
      <w:r w:rsidRPr="00894EBA">
        <w:rPr>
          <w:rFonts w:ascii="Helvetica" w:hAnsi="Helvetica" w:cs="Helvetica"/>
          <w:sz w:val="21"/>
          <w:szCs w:val="21"/>
        </w:rPr>
        <w:t xml:space="preserve"> konferencyjnych, pomieszczeń technicznych. Ponadto baza ta wskazywała użytkowników danego pomieszczenia, a nie odnosiła się do dostępu do niego przez przełożonych. Wyjaśniono</w:t>
      </w:r>
      <w:r w:rsidRPr="00894EBA">
        <w:rPr>
          <w:rFonts w:ascii="Helvetica" w:hAnsi="Helvetica" w:cs="Helvetica"/>
          <w:b/>
          <w:color w:val="FF0000"/>
          <w:sz w:val="18"/>
          <w:vertAlign w:val="superscript"/>
        </w:rPr>
        <w:footnoteReference w:id="151"/>
      </w:r>
      <w:r w:rsidRPr="00894EBA">
        <w:rPr>
          <w:rFonts w:ascii="Helvetica" w:hAnsi="Helvetica" w:cs="Helvetica"/>
          <w:sz w:val="21"/>
          <w:szCs w:val="21"/>
        </w:rPr>
        <w:t xml:space="preserve">, że </w:t>
      </w:r>
      <w:proofErr w:type="spellStart"/>
      <w:r w:rsidRPr="00894EBA">
        <w:rPr>
          <w:rFonts w:ascii="Helvetica" w:hAnsi="Helvetica" w:cs="Helvetica"/>
          <w:sz w:val="21"/>
          <w:szCs w:val="21"/>
        </w:rPr>
        <w:t>MRiPS</w:t>
      </w:r>
      <w:proofErr w:type="spellEnd"/>
      <w:r w:rsidRPr="00894EBA">
        <w:rPr>
          <w:rFonts w:ascii="Helvetica" w:hAnsi="Helvetica" w:cs="Helvetica"/>
          <w:sz w:val="21"/>
          <w:szCs w:val="21"/>
        </w:rPr>
        <w:t xml:space="preserve"> rozważa dokonanie zmian w tych zakresach w </w:t>
      </w:r>
      <w:r w:rsidRPr="00894EBA">
        <w:rPr>
          <w:rFonts w:ascii="Helvetica" w:hAnsi="Helvetica" w:cs="Helvetica"/>
          <w:i/>
          <w:sz w:val="21"/>
          <w:szCs w:val="21"/>
        </w:rPr>
        <w:t>Instrukcji kontroli ruchu osobowego.</w:t>
      </w:r>
    </w:p>
    <w:p w14:paraId="5B8B154E"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szCs w:val="24"/>
        </w:rPr>
      </w:pPr>
      <w:r w:rsidRPr="00894EBA">
        <w:rPr>
          <w:rFonts w:ascii="Helvetica" w:hAnsi="Helvetica" w:cs="Helvetica"/>
          <w:szCs w:val="24"/>
        </w:rPr>
        <w:t xml:space="preserve">Wprowadzono regulacje w zakresie utylizacji/zbycia dokumentacji, sprzętu i nośników danych. W szczególności zawierały one rozwiązania dot. obowiązku trwałego usunięcia danych w przypadkach zbycia / przekazania zasobów IT. Doprecyzowania wymaga jednak zakres stosowania procedury </w:t>
      </w:r>
      <w:r w:rsidRPr="00894EBA">
        <w:rPr>
          <w:rFonts w:ascii="Helvetica" w:hAnsi="Helvetica" w:cs="Helvetica"/>
          <w:i/>
          <w:szCs w:val="24"/>
        </w:rPr>
        <w:t xml:space="preserve">Niszczenia dokumentacji papierowej oraz nośników informacji pochodzących z systemów informatycznych </w:t>
      </w:r>
      <w:proofErr w:type="spellStart"/>
      <w:r w:rsidRPr="00894EBA">
        <w:rPr>
          <w:rFonts w:ascii="Helvetica" w:hAnsi="Helvetica" w:cs="Helvetica"/>
          <w:i/>
          <w:szCs w:val="24"/>
        </w:rPr>
        <w:t>MRPiPS</w:t>
      </w:r>
      <w:proofErr w:type="spellEnd"/>
      <w:r w:rsidRPr="00894EBA">
        <w:rPr>
          <w:rFonts w:ascii="Helvetica" w:hAnsi="Helvetica" w:cs="Helvetica"/>
          <w:i/>
          <w:szCs w:val="24"/>
        </w:rPr>
        <w:t>.</w:t>
      </w:r>
    </w:p>
    <w:p w14:paraId="01BD4721" w14:textId="77777777" w:rsidR="004D1514" w:rsidRPr="00894EBA" w:rsidRDefault="004D1514" w:rsidP="00B559C5">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Za zbycie i utylizację sprzętu odpowiedzialne było Biuro Administracyjne, a za usunięcie danych DI. PBI IT</w:t>
      </w:r>
      <w:r w:rsidRPr="00894EBA">
        <w:rPr>
          <w:rFonts w:ascii="Helvetica" w:hAnsi="Helvetica" w:cs="Helvetica"/>
          <w:b/>
          <w:color w:val="FF0000"/>
          <w:sz w:val="18"/>
          <w:vertAlign w:val="superscript"/>
        </w:rPr>
        <w:footnoteReference w:id="152"/>
      </w:r>
      <w:r w:rsidRPr="00894EBA">
        <w:rPr>
          <w:rFonts w:ascii="Helvetica" w:hAnsi="Helvetica" w:cs="Helvetica"/>
          <w:sz w:val="21"/>
          <w:szCs w:val="21"/>
        </w:rPr>
        <w:t xml:space="preserve"> określała zasady w tym zakresie, natomiast warto zwrócić uwagę na zasadność precyzyjnego określenia zakresu stosowania procedury </w:t>
      </w:r>
      <w:r w:rsidRPr="00894EBA">
        <w:rPr>
          <w:rFonts w:ascii="Helvetica" w:hAnsi="Helvetica" w:cs="Helvetica"/>
          <w:i/>
          <w:sz w:val="21"/>
          <w:szCs w:val="21"/>
        </w:rPr>
        <w:t xml:space="preserve">Niszczenia dokumentacji papierowej oraz nośników informacji pochodzących z systemów informatycznych </w:t>
      </w:r>
      <w:proofErr w:type="spellStart"/>
      <w:r w:rsidRPr="00894EBA">
        <w:rPr>
          <w:rFonts w:ascii="Helvetica" w:hAnsi="Helvetica" w:cs="Helvetica"/>
          <w:i/>
          <w:sz w:val="21"/>
          <w:szCs w:val="21"/>
        </w:rPr>
        <w:t>MRPiPS</w:t>
      </w:r>
      <w:proofErr w:type="spellEnd"/>
      <w:r w:rsidRPr="00894EBA">
        <w:rPr>
          <w:rFonts w:ascii="Helvetica" w:hAnsi="Helvetica" w:cs="Helvetica"/>
          <w:b/>
          <w:color w:val="FF0000"/>
          <w:sz w:val="18"/>
          <w:vertAlign w:val="superscript"/>
        </w:rPr>
        <w:footnoteReference w:id="153"/>
      </w:r>
      <w:r w:rsidRPr="00894EBA">
        <w:rPr>
          <w:rFonts w:ascii="Helvetica" w:hAnsi="Helvetica" w:cs="Helvetica"/>
          <w:sz w:val="21"/>
          <w:szCs w:val="21"/>
        </w:rPr>
        <w:t>. PBI IT</w:t>
      </w:r>
      <w:r w:rsidRPr="00894EBA">
        <w:rPr>
          <w:rFonts w:ascii="Helvetica" w:hAnsi="Helvetica" w:cs="Helvetica"/>
          <w:b/>
          <w:color w:val="FF0000"/>
          <w:sz w:val="18"/>
          <w:vertAlign w:val="superscript"/>
        </w:rPr>
        <w:footnoteReference w:id="154"/>
      </w:r>
      <w:r w:rsidRPr="00894EBA">
        <w:rPr>
          <w:rFonts w:ascii="Helvetica" w:hAnsi="Helvetica" w:cs="Helvetica"/>
          <w:sz w:val="21"/>
          <w:szCs w:val="21"/>
        </w:rPr>
        <w:t xml:space="preserve"> wskazywała, że ma ona zastosowanie tylko do informacji wrażliwych pod kątem poufności, podczas gdy w praktyce dotyczyła ona także pozostałych informacji</w:t>
      </w:r>
      <w:r w:rsidRPr="00894EBA">
        <w:rPr>
          <w:rFonts w:ascii="Helvetica" w:hAnsi="Helvetica" w:cs="Helvetica"/>
          <w:b/>
          <w:color w:val="FF0000"/>
          <w:sz w:val="18"/>
          <w:vertAlign w:val="superscript"/>
        </w:rPr>
        <w:footnoteReference w:id="155"/>
      </w:r>
      <w:r w:rsidRPr="00894EBA">
        <w:rPr>
          <w:rFonts w:ascii="Helvetica" w:hAnsi="Helvetica" w:cs="Helvetica"/>
          <w:sz w:val="21"/>
          <w:szCs w:val="21"/>
        </w:rPr>
        <w:t xml:space="preserve">. Zasadne było także określenie zasad dot. utylizacji / zbycia sprzętu i nośników danych w zarządzeniach w sprawie: powołania i funkcjonowania komisji oceny przydatności do dalszego użytkowania składników majątkowych w </w:t>
      </w:r>
      <w:proofErr w:type="spellStart"/>
      <w:r w:rsidRPr="00894EBA">
        <w:rPr>
          <w:rFonts w:ascii="Helvetica" w:hAnsi="Helvetica" w:cs="Helvetica"/>
          <w:sz w:val="21"/>
          <w:szCs w:val="21"/>
        </w:rPr>
        <w:t>MRiPS</w:t>
      </w:r>
      <w:proofErr w:type="spellEnd"/>
      <w:r w:rsidRPr="00894EBA">
        <w:rPr>
          <w:rFonts w:ascii="Helvetica" w:hAnsi="Helvetica" w:cs="Helvetica"/>
          <w:b/>
          <w:color w:val="FF0000"/>
          <w:sz w:val="18"/>
          <w:vertAlign w:val="superscript"/>
        </w:rPr>
        <w:footnoteReference w:id="156"/>
      </w:r>
      <w:r w:rsidRPr="00894EBA">
        <w:rPr>
          <w:rFonts w:ascii="Helvetica" w:hAnsi="Helvetica" w:cs="Helvetica"/>
          <w:sz w:val="21"/>
          <w:szCs w:val="21"/>
        </w:rPr>
        <w:t xml:space="preserve">; powołania i funkcjonowania komisji do spraw zbycia zbędnych lub zużytych składników majątku ruchomego </w:t>
      </w:r>
      <w:proofErr w:type="spellStart"/>
      <w:r w:rsidRPr="00894EBA">
        <w:rPr>
          <w:rFonts w:ascii="Helvetica" w:hAnsi="Helvetica" w:cs="Helvetica"/>
          <w:sz w:val="21"/>
          <w:szCs w:val="21"/>
        </w:rPr>
        <w:t>MRiPS</w:t>
      </w:r>
      <w:proofErr w:type="spellEnd"/>
      <w:r w:rsidRPr="00894EBA">
        <w:rPr>
          <w:rFonts w:ascii="Helvetica" w:hAnsi="Helvetica" w:cs="Helvetica"/>
          <w:b/>
          <w:color w:val="FF0000"/>
          <w:sz w:val="18"/>
          <w:vertAlign w:val="superscript"/>
        </w:rPr>
        <w:footnoteReference w:id="157"/>
      </w:r>
      <w:r w:rsidRPr="00894EBA">
        <w:rPr>
          <w:rFonts w:ascii="Helvetica" w:hAnsi="Helvetica" w:cs="Helvetica"/>
          <w:sz w:val="21"/>
          <w:szCs w:val="21"/>
        </w:rPr>
        <w:t xml:space="preserve">; powołania i funkcjonowania komisji likwidacyjnej w </w:t>
      </w:r>
      <w:proofErr w:type="spellStart"/>
      <w:r w:rsidRPr="00894EBA">
        <w:rPr>
          <w:rFonts w:ascii="Helvetica" w:hAnsi="Helvetica" w:cs="Helvetica"/>
          <w:sz w:val="21"/>
          <w:szCs w:val="21"/>
        </w:rPr>
        <w:t>MRiPS</w:t>
      </w:r>
      <w:proofErr w:type="spellEnd"/>
      <w:r w:rsidRPr="00894EBA">
        <w:rPr>
          <w:rFonts w:ascii="Helvetica" w:hAnsi="Helvetica" w:cs="Helvetica"/>
          <w:b/>
          <w:color w:val="FF0000"/>
          <w:sz w:val="18"/>
          <w:vertAlign w:val="superscript"/>
        </w:rPr>
        <w:footnoteReference w:id="158"/>
      </w:r>
      <w:r w:rsidRPr="00894EBA">
        <w:rPr>
          <w:rFonts w:ascii="Helvetica" w:hAnsi="Helvetica" w:cs="Helvetica"/>
          <w:sz w:val="21"/>
          <w:szCs w:val="21"/>
        </w:rPr>
        <w:t>.</w:t>
      </w:r>
    </w:p>
    <w:p w14:paraId="555E5EC8" w14:textId="77777777" w:rsidR="004D1514" w:rsidRPr="00894EBA" w:rsidRDefault="004D1514" w:rsidP="00B559C5">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W badanym okresie nie utylizowano sprzętu ani nośników danych, dokonano natomiast nieodpłatnego przekazania sprzętu informatycznego gminie (komputer, urządzenie wielofunkcyjne, UPS). Działania w tym zakresie przebiegły zgodnie z wdrożonymi regulacjami. Dokonano oceny przydatności tego sprzętu</w:t>
      </w:r>
      <w:r w:rsidRPr="00894EBA">
        <w:rPr>
          <w:rFonts w:ascii="Helvetica" w:hAnsi="Helvetica" w:cs="Helvetica"/>
          <w:b/>
          <w:color w:val="FF0000"/>
          <w:sz w:val="18"/>
          <w:vertAlign w:val="superscript"/>
        </w:rPr>
        <w:footnoteReference w:id="159"/>
      </w:r>
      <w:r w:rsidRPr="00894EBA">
        <w:rPr>
          <w:rFonts w:ascii="Helvetica" w:hAnsi="Helvetica" w:cs="Helvetica"/>
          <w:sz w:val="21"/>
          <w:szCs w:val="21"/>
        </w:rPr>
        <w:t>, a następnie zdecydowano</w:t>
      </w:r>
      <w:r w:rsidRPr="00894EBA">
        <w:rPr>
          <w:rFonts w:ascii="Helvetica" w:hAnsi="Helvetica" w:cs="Helvetica"/>
          <w:b/>
          <w:color w:val="FF0000"/>
          <w:sz w:val="18"/>
          <w:vertAlign w:val="superscript"/>
        </w:rPr>
        <w:footnoteReference w:id="160"/>
      </w:r>
      <w:r w:rsidRPr="00894EBA">
        <w:rPr>
          <w:rFonts w:ascii="Helvetica" w:hAnsi="Helvetica" w:cs="Helvetica"/>
          <w:sz w:val="21"/>
          <w:szCs w:val="21"/>
        </w:rPr>
        <w:t xml:space="preserve"> o nieodpłatnym jego przekazaniu, bez zastrzeżenia obowiązku zwrotu. Sprzęt został przekazany na podstawie protokołu</w:t>
      </w:r>
      <w:r w:rsidRPr="00894EBA">
        <w:rPr>
          <w:rFonts w:ascii="Helvetica" w:hAnsi="Helvetica" w:cs="Helvetica"/>
          <w:b/>
          <w:color w:val="FF0000"/>
          <w:sz w:val="18"/>
          <w:vertAlign w:val="superscript"/>
        </w:rPr>
        <w:footnoteReference w:id="161"/>
      </w:r>
      <w:r w:rsidRPr="00894EBA">
        <w:rPr>
          <w:rFonts w:ascii="Helvetica" w:hAnsi="Helvetica" w:cs="Helvetica"/>
          <w:sz w:val="21"/>
          <w:szCs w:val="21"/>
        </w:rPr>
        <w:t xml:space="preserve">. Nie było konieczności usunięcia z niego danych, bowiem wykorzystywany był </w:t>
      </w:r>
      <w:r w:rsidR="00A36E3B" w:rsidRPr="00894EBA">
        <w:rPr>
          <w:rFonts w:ascii="Helvetica" w:hAnsi="Helvetica" w:cs="Helvetica"/>
          <w:sz w:val="21"/>
          <w:szCs w:val="21"/>
        </w:rPr>
        <w:t>on</w:t>
      </w:r>
      <w:r w:rsidR="00A36E3B">
        <w:rPr>
          <w:rFonts w:ascii="Helvetica" w:hAnsi="Helvetica" w:cs="Helvetica"/>
          <w:sz w:val="21"/>
          <w:szCs w:val="21"/>
        </w:rPr>
        <w:t> </w:t>
      </w:r>
      <w:r w:rsidRPr="00894EBA">
        <w:rPr>
          <w:rFonts w:ascii="Helvetica" w:hAnsi="Helvetica" w:cs="Helvetica"/>
          <w:sz w:val="21"/>
          <w:szCs w:val="21"/>
        </w:rPr>
        <w:t>przez gminę od 2015 r. na podstawie zawartej umowy użyczenia</w:t>
      </w:r>
      <w:r w:rsidRPr="00894EBA">
        <w:rPr>
          <w:rFonts w:ascii="Helvetica" w:hAnsi="Helvetica" w:cs="Helvetica"/>
          <w:b/>
          <w:color w:val="FF0000"/>
          <w:sz w:val="18"/>
          <w:vertAlign w:val="superscript"/>
        </w:rPr>
        <w:footnoteReference w:id="162"/>
      </w:r>
      <w:r w:rsidR="00B559C5" w:rsidRPr="00894EBA">
        <w:rPr>
          <w:rFonts w:ascii="Helvetica" w:hAnsi="Helvetica" w:cs="Helvetica"/>
          <w:sz w:val="21"/>
          <w:szCs w:val="21"/>
        </w:rPr>
        <w:t>.</w:t>
      </w:r>
    </w:p>
    <w:p w14:paraId="2066F56E"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szCs w:val="24"/>
        </w:rPr>
      </w:pPr>
      <w:r w:rsidRPr="00894EBA">
        <w:rPr>
          <w:rFonts w:ascii="Helvetica" w:hAnsi="Helvetica" w:cs="Helvetica"/>
          <w:szCs w:val="24"/>
        </w:rPr>
        <w:t>W przypadku naprawy sprzętu informatycznego zapewniono bezpieczeństwo informacji, w szczególności przez wymontowanie nośnika danych.</w:t>
      </w:r>
    </w:p>
    <w:p w14:paraId="28E22E1E" w14:textId="77777777" w:rsidR="004D1514" w:rsidRPr="00894EBA" w:rsidRDefault="004D1514" w:rsidP="00B559C5">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W badanym okresie doszło do naprawy 3 notebook-ów, kompute</w:t>
      </w:r>
      <w:r w:rsidR="00B559C5" w:rsidRPr="00894EBA">
        <w:rPr>
          <w:rFonts w:ascii="Helvetica" w:hAnsi="Helvetica" w:cs="Helvetica"/>
          <w:sz w:val="21"/>
          <w:szCs w:val="21"/>
        </w:rPr>
        <w:t>ra oraz zasilaczy sieciowych. W </w:t>
      </w:r>
      <w:r w:rsidRPr="00894EBA">
        <w:rPr>
          <w:rFonts w:ascii="Helvetica" w:hAnsi="Helvetica" w:cs="Helvetica"/>
          <w:sz w:val="21"/>
          <w:szCs w:val="21"/>
        </w:rPr>
        <w:t>przypadku 2 notebooków oraz komputera naprawy zrealizowano w siedzibie DI w obecności pracownika Wydziału Systemów Teleinformatycznych i Obsługi Informatycznej</w:t>
      </w:r>
      <w:r w:rsidRPr="00894EBA">
        <w:rPr>
          <w:rFonts w:ascii="Helvetica" w:hAnsi="Helvetica" w:cs="Helvetica"/>
          <w:b/>
          <w:color w:val="FF0000"/>
          <w:sz w:val="18"/>
          <w:vertAlign w:val="superscript"/>
        </w:rPr>
        <w:footnoteReference w:id="163"/>
      </w:r>
      <w:r w:rsidR="00B559C5" w:rsidRPr="00894EBA">
        <w:rPr>
          <w:rFonts w:ascii="Helvetica" w:hAnsi="Helvetica" w:cs="Helvetica"/>
          <w:sz w:val="21"/>
          <w:szCs w:val="21"/>
        </w:rPr>
        <w:t xml:space="preserve">. W </w:t>
      </w:r>
      <w:r w:rsidRPr="00894EBA">
        <w:rPr>
          <w:rFonts w:ascii="Helvetica" w:hAnsi="Helvetica" w:cs="Helvetica"/>
          <w:sz w:val="21"/>
          <w:szCs w:val="21"/>
        </w:rPr>
        <w:t xml:space="preserve">przypadku 1 naprawy notebooka realizowanej poza siedzibą </w:t>
      </w:r>
      <w:proofErr w:type="spellStart"/>
      <w:r w:rsidRPr="00894EBA">
        <w:rPr>
          <w:rFonts w:ascii="Helvetica" w:hAnsi="Helvetica" w:cs="Helvetica"/>
          <w:sz w:val="21"/>
          <w:szCs w:val="21"/>
        </w:rPr>
        <w:t>MRiPS</w:t>
      </w:r>
      <w:proofErr w:type="spellEnd"/>
      <w:r w:rsidRPr="00894EBA">
        <w:rPr>
          <w:rFonts w:ascii="Helvetica" w:hAnsi="Helvetica" w:cs="Helvetica"/>
          <w:sz w:val="21"/>
          <w:szCs w:val="21"/>
        </w:rPr>
        <w:t>, wymontowano z niego twardy dysk.</w:t>
      </w:r>
    </w:p>
    <w:p w14:paraId="080FEE5F"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sz w:val="21"/>
          <w:szCs w:val="21"/>
        </w:rPr>
      </w:pPr>
      <w:r w:rsidRPr="00894EBA">
        <w:rPr>
          <w:rFonts w:ascii="Helvetica" w:hAnsi="Helvetica" w:cs="Helvetica"/>
          <w:b/>
          <w:bCs/>
          <w:szCs w:val="24"/>
        </w:rPr>
        <w:t>[zabezpieczenia organizacyjno-techniczne systemów]</w:t>
      </w:r>
      <w:r w:rsidRPr="00894EBA">
        <w:rPr>
          <w:rFonts w:ascii="Helvetica" w:hAnsi="Helvetica" w:cs="Helvetica"/>
          <w:bCs/>
          <w:szCs w:val="24"/>
        </w:rPr>
        <w:t xml:space="preserve"> Pozytywnie należy ocenić zabezpieczenia organizacyjno-techniczne dostępu do serwerowni. Wyposażenie oraz wdrożone rozwiązania w zakresie monitorowania środowiska jej pracy spełniały wysokie standardy, a p</w:t>
      </w:r>
      <w:r w:rsidRPr="00894EBA">
        <w:rPr>
          <w:rFonts w:ascii="Helvetica" w:hAnsi="Helvetica" w:cs="Helvetica"/>
          <w:szCs w:val="24"/>
        </w:rPr>
        <w:t>rzyjęte środki ochrony w istotny sposób przyczyniały się do zapewnienia BI.</w:t>
      </w:r>
      <w:r w:rsidRPr="00894EBA">
        <w:rPr>
          <w:rFonts w:ascii="Helvetica" w:hAnsi="Helvetica" w:cs="Helvetica"/>
          <w:sz w:val="21"/>
          <w:szCs w:val="21"/>
        </w:rPr>
        <w:t xml:space="preserve"> </w:t>
      </w:r>
      <w:r w:rsidRPr="00894EBA">
        <w:rPr>
          <w:rFonts w:ascii="Helvetica" w:hAnsi="Helvetica" w:cs="Helvetica"/>
          <w:bCs/>
          <w:szCs w:val="24"/>
        </w:rPr>
        <w:t>Właściwym działaniem było także wydzielenie pomieszczenia backupu do odrębnej lokalizacji. Ministerstwo powinno jednak rozważyć wzmocnienie zabezpieczeń pomieszczenia backupu oraz jednego z wyjść ewakuacyjnych.</w:t>
      </w:r>
    </w:p>
    <w:p w14:paraId="66387233" w14:textId="77777777" w:rsidR="004D1514" w:rsidRPr="00894EBA" w:rsidRDefault="004D1514" w:rsidP="00B559C5">
      <w:pPr>
        <w:tabs>
          <w:tab w:val="left" w:pos="709"/>
        </w:tabs>
        <w:suppressAutoHyphens/>
        <w:spacing w:before="60"/>
        <w:ind w:left="567" w:right="538"/>
        <w:jc w:val="both"/>
        <w:outlineLvl w:val="1"/>
        <w:rPr>
          <w:rFonts w:ascii="Helvetica" w:hAnsi="Helvetica" w:cs="Helvetica"/>
          <w:sz w:val="21"/>
          <w:szCs w:val="21"/>
        </w:rPr>
      </w:pPr>
      <w:r w:rsidRPr="00894EBA">
        <w:rPr>
          <w:rFonts w:ascii="Helvetica" w:hAnsi="Helvetica" w:cs="Helvetica"/>
          <w:sz w:val="21"/>
          <w:szCs w:val="21"/>
        </w:rPr>
        <w:t>Pomieszczenie serwerowni posiadało szereg zabezpieczeń, w tym: system kontroli dostępu, system zasilania gwarantowanego UPS, instalację wentylacyjną, system klimatyzacji, system kontroli dostępu, system sygnalizacji włamań i napadu, system telewizji przemysłowej CCTV, system gaszenia gazem SUG</w:t>
      </w:r>
      <w:r w:rsidRPr="00894EBA">
        <w:rPr>
          <w:rFonts w:ascii="Helvetica" w:hAnsi="Helvetica" w:cs="Helvetica"/>
          <w:b/>
          <w:color w:val="FF0000"/>
          <w:sz w:val="18"/>
          <w:szCs w:val="18"/>
          <w:vertAlign w:val="superscript"/>
        </w:rPr>
        <w:footnoteReference w:id="164"/>
      </w:r>
      <w:r w:rsidRPr="00894EBA">
        <w:rPr>
          <w:rFonts w:ascii="Helvetica" w:hAnsi="Helvetica" w:cs="Helvetica"/>
          <w:sz w:val="21"/>
          <w:szCs w:val="21"/>
        </w:rPr>
        <w:t xml:space="preserve">, system wczesnego wykrywania pożaru, czujniki zalania, system zarządzania budynkiem BMS – </w:t>
      </w:r>
      <w:proofErr w:type="spellStart"/>
      <w:r w:rsidRPr="00894EBA">
        <w:rPr>
          <w:rFonts w:ascii="Helvetica" w:hAnsi="Helvetica" w:cs="Helvetica"/>
          <w:sz w:val="21"/>
          <w:szCs w:val="21"/>
        </w:rPr>
        <w:t>Building</w:t>
      </w:r>
      <w:proofErr w:type="spellEnd"/>
      <w:r w:rsidRPr="00894EBA">
        <w:rPr>
          <w:rFonts w:ascii="Helvetica" w:hAnsi="Helvetica" w:cs="Helvetica"/>
          <w:sz w:val="21"/>
          <w:szCs w:val="21"/>
        </w:rPr>
        <w:t xml:space="preserve"> </w:t>
      </w:r>
      <w:proofErr w:type="spellStart"/>
      <w:r w:rsidRPr="00894EBA">
        <w:rPr>
          <w:rFonts w:ascii="Helvetica" w:hAnsi="Helvetica" w:cs="Helvetica"/>
          <w:sz w:val="21"/>
          <w:szCs w:val="21"/>
        </w:rPr>
        <w:t>Managment</w:t>
      </w:r>
      <w:proofErr w:type="spellEnd"/>
      <w:r w:rsidRPr="00894EBA">
        <w:rPr>
          <w:rFonts w:ascii="Helvetica" w:hAnsi="Helvetica" w:cs="Helvetica"/>
          <w:sz w:val="21"/>
          <w:szCs w:val="21"/>
        </w:rPr>
        <w:t xml:space="preserve"> System.</w:t>
      </w:r>
    </w:p>
    <w:p w14:paraId="1E81F781" w14:textId="77777777" w:rsidR="004D1514" w:rsidRPr="00894EBA" w:rsidRDefault="004D1514" w:rsidP="00B559C5">
      <w:pPr>
        <w:tabs>
          <w:tab w:val="left" w:pos="709"/>
        </w:tabs>
        <w:spacing w:before="60"/>
        <w:ind w:left="567" w:right="538"/>
        <w:jc w:val="both"/>
        <w:rPr>
          <w:rFonts w:ascii="Helvetica" w:hAnsi="Helvetica" w:cs="Helvetica"/>
          <w:sz w:val="21"/>
          <w:szCs w:val="21"/>
        </w:rPr>
      </w:pPr>
      <w:r w:rsidRPr="00894EBA">
        <w:rPr>
          <w:rFonts w:ascii="Helvetica" w:hAnsi="Helvetica" w:cs="Helvetica"/>
          <w:bCs/>
          <w:sz w:val="21"/>
          <w:szCs w:val="21"/>
        </w:rPr>
        <w:t>P</w:t>
      </w:r>
      <w:r w:rsidRPr="00894EBA">
        <w:rPr>
          <w:rFonts w:ascii="Helvetica" w:hAnsi="Helvetica" w:cs="Helvetica"/>
          <w:iCs/>
          <w:sz w:val="21"/>
          <w:szCs w:val="21"/>
        </w:rPr>
        <w:t>omieszczenie backupu wyposażono w systemy zapewniające jego bezpieczeństwo i dostęp jedynie upoważnionym pracownikom</w:t>
      </w:r>
      <w:r w:rsidRPr="00894EBA">
        <w:rPr>
          <w:rFonts w:ascii="Helvetica" w:hAnsi="Helvetica" w:cs="Helvetica"/>
          <w:sz w:val="21"/>
          <w:szCs w:val="21"/>
        </w:rPr>
        <w:t>. Przyjęte rozwiązania pozwoliły na kontrolę osób w nim przebywających. Nie zainstalowano w nim sytemu gazowego gaszenia pożaru, jednakże wyposażono je w czujniki wykrywania zadymienia oraz gaśnice do sprzętu elektronicznego. Pomimo istniejącego ryzyka zalania, pomieszczenie to nie zostało wyposażone w czujki zalania. Znajdowały się w nim okna, które nie posiadały dodatkowych zabezpieczeń. Wyjaśniono</w:t>
      </w:r>
      <w:r w:rsidRPr="00894EBA">
        <w:rPr>
          <w:rFonts w:ascii="Helvetica" w:hAnsi="Helvetica" w:cs="Helvetica"/>
          <w:b/>
          <w:color w:val="FF0000"/>
          <w:sz w:val="18"/>
          <w:szCs w:val="18"/>
          <w:vertAlign w:val="superscript"/>
        </w:rPr>
        <w:footnoteReference w:id="165"/>
      </w:r>
      <w:r w:rsidRPr="00894EBA">
        <w:rPr>
          <w:rFonts w:ascii="Helvetica" w:hAnsi="Helvetica" w:cs="Helvetica"/>
          <w:sz w:val="21"/>
          <w:szCs w:val="21"/>
        </w:rPr>
        <w:t>, że do backupu wybrano najlepiej dostosowane do tego celu pomieszczenie. Zaakceptowano ryzyko związane z brakiem wszystkich zabezpieczeń uznając, że jest ono mniejsze od ryzyka związanego z pozostawieniem tego pomieszczenia bez rozdzielania od serwerowni.</w:t>
      </w:r>
    </w:p>
    <w:p w14:paraId="7B00D5B1" w14:textId="77777777" w:rsidR="004D1514" w:rsidRPr="00894EBA" w:rsidRDefault="004D1514" w:rsidP="00B559C5">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W odniesieniu do wyjścia ewakuacyjnego wskazano</w:t>
      </w:r>
      <w:r w:rsidRPr="00894EBA">
        <w:rPr>
          <w:rFonts w:ascii="Helvetica" w:hAnsi="Helvetica" w:cs="Helvetica"/>
          <w:b/>
          <w:color w:val="FF0000"/>
          <w:sz w:val="18"/>
          <w:szCs w:val="18"/>
          <w:vertAlign w:val="superscript"/>
        </w:rPr>
        <w:footnoteReference w:id="166"/>
      </w:r>
      <w:r w:rsidRPr="00894EBA">
        <w:rPr>
          <w:rFonts w:ascii="Helvetica" w:hAnsi="Helvetica" w:cs="Helvetica"/>
          <w:sz w:val="21"/>
          <w:szCs w:val="21"/>
        </w:rPr>
        <w:t>, że budynek ten podlega całodobowej ochronie. Wyłączone jest ono z bieżącego użytkowania i służy wyłącznie w czasie ewakuacji.</w:t>
      </w:r>
    </w:p>
    <w:p w14:paraId="6A12F297" w14:textId="77777777" w:rsidR="004D1514" w:rsidRPr="00894EBA" w:rsidRDefault="004D1514" w:rsidP="00983826">
      <w:pPr>
        <w:tabs>
          <w:tab w:val="left" w:pos="709"/>
        </w:tabs>
        <w:spacing w:before="60" w:line="300" w:lineRule="atLeast"/>
        <w:jc w:val="both"/>
        <w:rPr>
          <w:rFonts w:ascii="Helvetica" w:hAnsi="Helvetica" w:cs="Helvetica"/>
          <w:szCs w:val="24"/>
        </w:rPr>
      </w:pPr>
      <w:r w:rsidRPr="00894EBA">
        <w:rPr>
          <w:rFonts w:ascii="Helvetica" w:hAnsi="Helvetica" w:cs="Helvetica"/>
          <w:bCs/>
          <w:szCs w:val="24"/>
        </w:rPr>
        <w:t>Pomieszczenie backupu stanowi istotne miejsce w zakresie bezpieczeństwa informacji, a wyjście ewakuacyjne prowadzi na teren ogólnodostępny, w związku z czym Ministerstwo powinno rozważyć wzmocnienie ich zabezpieczeń.</w:t>
      </w:r>
    </w:p>
    <w:p w14:paraId="73F17E78" w14:textId="77777777" w:rsidR="004D1514" w:rsidRPr="00894EBA" w:rsidRDefault="004D1514" w:rsidP="00983826">
      <w:pPr>
        <w:numPr>
          <w:ilvl w:val="1"/>
          <w:numId w:val="2"/>
        </w:numPr>
        <w:tabs>
          <w:tab w:val="num" w:pos="-1139"/>
          <w:tab w:val="num" w:pos="0"/>
          <w:tab w:val="left" w:pos="709"/>
        </w:tabs>
        <w:suppressAutoHyphens/>
        <w:spacing w:before="60" w:line="300" w:lineRule="atLeast"/>
        <w:ind w:left="0" w:firstLine="0"/>
        <w:jc w:val="both"/>
        <w:outlineLvl w:val="1"/>
        <w:rPr>
          <w:rFonts w:ascii="Helvetica" w:hAnsi="Helvetica" w:cs="Helvetica"/>
        </w:rPr>
      </w:pPr>
      <w:r w:rsidRPr="00894EBA">
        <w:rPr>
          <w:rFonts w:ascii="Helvetica" w:hAnsi="Helvetica" w:cs="Helvetica"/>
          <w:szCs w:val="23"/>
        </w:rPr>
        <w:t>Ministerstwo sukcesywnie w ramach dostępnych środków wymieniało sprzęt komputerowy z systemem operacyjnym</w:t>
      </w:r>
      <w:r w:rsidRPr="00894EBA">
        <w:rPr>
          <w:rFonts w:ascii="Helvetica" w:hAnsi="Helvetica" w:cs="Helvetica"/>
        </w:rPr>
        <w:t>, dla którego producent nie zapewniał wsparcia w postaci poprawek bezpieczeństwa (</w:t>
      </w:r>
      <w:r w:rsidRPr="00894EBA">
        <w:rPr>
          <w:rFonts w:ascii="Helvetica" w:hAnsi="Helvetica" w:cs="Helvetica"/>
          <w:i/>
        </w:rPr>
        <w:t>Windows 7</w:t>
      </w:r>
      <w:r w:rsidRPr="00894EBA">
        <w:rPr>
          <w:rFonts w:ascii="Helvetica" w:hAnsi="Helvetica" w:cs="Helvetica"/>
        </w:rPr>
        <w:t>). Czynności te wymagają kontynuacji, bowiem na 76 z 771 (10%) użytkowanych komputerach nadal jest zainstalowany ten system.</w:t>
      </w:r>
    </w:p>
    <w:p w14:paraId="128DA5DA" w14:textId="77777777" w:rsidR="004D1514" w:rsidRPr="00894EBA" w:rsidRDefault="004D1514" w:rsidP="00B559C5">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Wyjaśniono</w:t>
      </w:r>
      <w:r w:rsidRPr="00894EBA">
        <w:rPr>
          <w:rFonts w:ascii="Helvetica" w:hAnsi="Helvetica" w:cs="Helvetica"/>
          <w:b/>
          <w:color w:val="FF0000"/>
          <w:sz w:val="18"/>
          <w:szCs w:val="18"/>
          <w:vertAlign w:val="superscript"/>
        </w:rPr>
        <w:footnoteReference w:id="167"/>
      </w:r>
      <w:r w:rsidRPr="00894EBA">
        <w:rPr>
          <w:rFonts w:ascii="Helvetica" w:hAnsi="Helvetica" w:cs="Helvetica"/>
          <w:sz w:val="21"/>
          <w:szCs w:val="21"/>
        </w:rPr>
        <w:t>, że w br. planowana jest wymiana wszystkich komputerów z sys</w:t>
      </w:r>
      <w:r w:rsidR="00B559C5" w:rsidRPr="00894EBA">
        <w:rPr>
          <w:rFonts w:ascii="Helvetica" w:hAnsi="Helvetica" w:cs="Helvetica"/>
          <w:sz w:val="21"/>
          <w:szCs w:val="21"/>
        </w:rPr>
        <w:t>temem operacyjnym Windows 7.</w:t>
      </w:r>
    </w:p>
    <w:p w14:paraId="5F20512B" w14:textId="77777777" w:rsidR="004D1514" w:rsidRPr="00894EBA" w:rsidRDefault="004D1514" w:rsidP="00983826">
      <w:pPr>
        <w:tabs>
          <w:tab w:val="left" w:pos="709"/>
        </w:tabs>
        <w:suppressAutoHyphens/>
        <w:spacing w:before="60" w:line="300" w:lineRule="atLeast"/>
        <w:jc w:val="both"/>
        <w:outlineLvl w:val="1"/>
        <w:rPr>
          <w:rFonts w:ascii="Helvetica" w:hAnsi="Helvetica" w:cs="Helvetica"/>
          <w:szCs w:val="24"/>
        </w:rPr>
      </w:pPr>
      <w:r w:rsidRPr="00894EBA">
        <w:rPr>
          <w:rFonts w:ascii="Helvetica" w:hAnsi="Helvetica" w:cs="Helvetica"/>
          <w:szCs w:val="24"/>
        </w:rPr>
        <w:t>Brak możliwości aktualizacji oprogramowania prowadzi do znacznego wzrostu ryzyka ataków, a tym samym zagraża BI gromadzonych i przetwarzanych w Jednostce.</w:t>
      </w:r>
    </w:p>
    <w:p w14:paraId="75D6C891"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szCs w:val="24"/>
        </w:rPr>
      </w:pPr>
      <w:r w:rsidRPr="00894EBA">
        <w:rPr>
          <w:rFonts w:ascii="Helvetica" w:hAnsi="Helvetica" w:cs="Helvetica"/>
          <w:szCs w:val="24"/>
        </w:rPr>
        <w:t>Zapewnienie bezpieczeństwa systemów wzmacniały także wdrożone działania w zakresie ochrony antywirusowej oraz antyspamowej. Zasadnym byłoby jednak uwzględnienie w regulacjach przyjętych rozwiązań antyspamowych. Proces ochrony antywirusowej został uregulowany</w:t>
      </w:r>
      <w:r w:rsidRPr="00894EBA">
        <w:rPr>
          <w:rFonts w:ascii="Helvetica" w:hAnsi="Helvetica" w:cs="Helvetica"/>
          <w:b/>
          <w:color w:val="FF0000"/>
          <w:sz w:val="18"/>
          <w:szCs w:val="18"/>
          <w:vertAlign w:val="superscript"/>
        </w:rPr>
        <w:footnoteReference w:id="168"/>
      </w:r>
      <w:r w:rsidRPr="00894EBA">
        <w:rPr>
          <w:rFonts w:ascii="Helvetica" w:hAnsi="Helvetica" w:cs="Helvetica"/>
          <w:szCs w:val="24"/>
        </w:rPr>
        <w:t>.</w:t>
      </w:r>
    </w:p>
    <w:p w14:paraId="4BD95CBC" w14:textId="77777777" w:rsidR="004D1514" w:rsidRPr="00894EBA" w:rsidRDefault="004D1514" w:rsidP="00B17329">
      <w:pPr>
        <w:tabs>
          <w:tab w:val="left" w:pos="851"/>
        </w:tabs>
        <w:suppressAutoHyphens/>
        <w:spacing w:before="60"/>
        <w:ind w:left="567" w:right="538"/>
        <w:jc w:val="both"/>
        <w:outlineLvl w:val="1"/>
        <w:rPr>
          <w:rFonts w:ascii="Helvetica" w:hAnsi="Helvetica" w:cs="Helvetica"/>
          <w:sz w:val="21"/>
          <w:szCs w:val="21"/>
        </w:rPr>
      </w:pPr>
      <w:r w:rsidRPr="00894EBA">
        <w:rPr>
          <w:rFonts w:ascii="Helvetica" w:hAnsi="Helvetica" w:cs="Helvetica"/>
          <w:sz w:val="21"/>
          <w:szCs w:val="21"/>
        </w:rPr>
        <w:t>Oprogramowanie antywirusowe</w:t>
      </w:r>
      <w:r w:rsidRPr="00894EBA">
        <w:rPr>
          <w:rFonts w:ascii="Helvetica" w:hAnsi="Helvetica" w:cs="Helvetica"/>
          <w:i/>
          <w:sz w:val="21"/>
          <w:szCs w:val="21"/>
        </w:rPr>
        <w:t xml:space="preserve"> </w:t>
      </w:r>
      <w:r w:rsidRPr="00894EBA">
        <w:rPr>
          <w:rFonts w:ascii="Helvetica" w:hAnsi="Helvetica" w:cs="Helvetica"/>
          <w:sz w:val="21"/>
          <w:szCs w:val="21"/>
        </w:rPr>
        <w:t>zapewniało automatyczną aktualizację na użytkowanym sprzęcie przez pracowników. Nie była wymagana interakcja użytkownika</w:t>
      </w:r>
      <w:r w:rsidRPr="00894EBA">
        <w:rPr>
          <w:rFonts w:ascii="Helvetica" w:hAnsi="Helvetica" w:cs="Helvetica"/>
          <w:b/>
          <w:color w:val="FF0000"/>
          <w:sz w:val="18"/>
          <w:szCs w:val="18"/>
          <w:vertAlign w:val="superscript"/>
        </w:rPr>
        <w:footnoteReference w:id="169"/>
      </w:r>
      <w:r w:rsidRPr="00894EBA">
        <w:rPr>
          <w:rFonts w:ascii="Helvetica" w:hAnsi="Helvetica" w:cs="Helvetica"/>
          <w:sz w:val="21"/>
          <w:szCs w:val="21"/>
        </w:rPr>
        <w:t>.</w:t>
      </w:r>
      <w:r w:rsidRPr="00894EBA">
        <w:rPr>
          <w:rFonts w:ascii="Helvetica" w:hAnsi="Helvetica" w:cs="Helvetica"/>
          <w:i/>
          <w:sz w:val="21"/>
          <w:szCs w:val="21"/>
        </w:rPr>
        <w:t xml:space="preserve"> </w:t>
      </w:r>
      <w:r w:rsidRPr="00894EBA">
        <w:rPr>
          <w:rFonts w:ascii="Helvetica" w:hAnsi="Helvetica" w:cs="Helvetica"/>
          <w:sz w:val="21"/>
          <w:szCs w:val="21"/>
        </w:rPr>
        <w:t>Natomiast oprogramowanie antyspamowe zapewniało ochronę poczty elektronicznej dzięki integracji wielowarstwowego systemu antyspamowego i funkcji filtrowania reputacji z programami antywirusowymi i antyszpiegowskimi</w:t>
      </w:r>
      <w:r w:rsidRPr="00894EBA">
        <w:rPr>
          <w:rFonts w:ascii="Helvetica" w:hAnsi="Helvetica" w:cs="Helvetica"/>
          <w:i/>
          <w:sz w:val="21"/>
          <w:szCs w:val="21"/>
        </w:rPr>
        <w:t>.</w:t>
      </w:r>
      <w:r w:rsidRPr="00894EBA">
        <w:rPr>
          <w:rFonts w:ascii="Helvetica" w:hAnsi="Helvetica" w:cs="Helvetica"/>
          <w:sz w:val="21"/>
          <w:szCs w:val="21"/>
        </w:rPr>
        <w:t xml:space="preserve"> Wskazano że</w:t>
      </w:r>
      <w:r w:rsidRPr="00894EBA">
        <w:rPr>
          <w:rFonts w:ascii="Helvetica" w:hAnsi="Helvetica" w:cs="Helvetica"/>
          <w:b/>
          <w:color w:val="FF0000"/>
          <w:sz w:val="18"/>
          <w:szCs w:val="18"/>
          <w:vertAlign w:val="superscript"/>
        </w:rPr>
        <w:footnoteReference w:id="170"/>
      </w:r>
      <w:r w:rsidRPr="00894EBA">
        <w:rPr>
          <w:rFonts w:ascii="Helvetica" w:hAnsi="Helvetica" w:cs="Helvetica"/>
          <w:sz w:val="21"/>
          <w:szCs w:val="21"/>
        </w:rPr>
        <w:t>, że PBI IT zostanie przy najbliższej aktualizacji uzupełniona o postanowienia dot. ochrony poczty przed tzw. spamem.</w:t>
      </w:r>
    </w:p>
    <w:p w14:paraId="6CC76E16"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szCs w:val="21"/>
        </w:rPr>
      </w:pPr>
      <w:r w:rsidRPr="00894EBA">
        <w:rPr>
          <w:rFonts w:ascii="Helvetica" w:hAnsi="Helvetica" w:cs="Helvetica"/>
          <w:b/>
          <w:szCs w:val="24"/>
        </w:rPr>
        <w:t xml:space="preserve">[plan ciągłości działania] </w:t>
      </w:r>
      <w:r w:rsidRPr="00894EBA">
        <w:rPr>
          <w:rFonts w:ascii="Helvetica" w:hAnsi="Helvetica" w:cs="Helvetica"/>
          <w:szCs w:val="24"/>
        </w:rPr>
        <w:t>Plan ciągłości działania był w trakcie opracowania.</w:t>
      </w:r>
      <w:r w:rsidRPr="00894EBA">
        <w:rPr>
          <w:rFonts w:ascii="Helvetica" w:hAnsi="Helvetica" w:cs="Helvetica"/>
          <w:b/>
          <w:szCs w:val="24"/>
        </w:rPr>
        <w:t xml:space="preserve"> </w:t>
      </w:r>
      <w:r w:rsidRPr="00894EBA">
        <w:rPr>
          <w:rFonts w:ascii="Helvetica" w:hAnsi="Helvetica" w:cs="Helvetica"/>
          <w:szCs w:val="24"/>
        </w:rPr>
        <w:t xml:space="preserve">Powołano </w:t>
      </w:r>
      <w:r w:rsidRPr="00894EBA">
        <w:rPr>
          <w:rFonts w:ascii="Helvetica" w:eastAsia="Calibri" w:hAnsi="Helvetica" w:cs="Helvetica"/>
          <w:color w:val="000000"/>
          <w:szCs w:val="24"/>
          <w:lang w:eastAsia="en-US"/>
        </w:rPr>
        <w:t>Zespół ds. wypracowania rozwiązań zapewniających ciągłość działania, który przygotował projekt zasad oraz inwentaryzację procesów, następnie prace były kontynuowane przez Zespół ds. zarządzania ryzykiem</w:t>
      </w:r>
      <w:r w:rsidRPr="00894EBA">
        <w:rPr>
          <w:rFonts w:ascii="Helvetica" w:hAnsi="Helvetica" w:cs="Helvetica"/>
          <w:szCs w:val="24"/>
        </w:rPr>
        <w:t xml:space="preserve">. </w:t>
      </w:r>
      <w:r w:rsidRPr="00894EBA">
        <w:rPr>
          <w:rFonts w:ascii="Helvetica" w:hAnsi="Helvetica" w:cs="Helvetica"/>
          <w:szCs w:val="21"/>
        </w:rPr>
        <w:t>Planowano, że prace zakończą się w</w:t>
      </w:r>
      <w:r w:rsidR="00A04CAD">
        <w:rPr>
          <w:rFonts w:ascii="Helvetica" w:hAnsi="Helvetica" w:cs="Helvetica"/>
          <w:szCs w:val="21"/>
        </w:rPr>
        <w:t> </w:t>
      </w:r>
      <w:r w:rsidRPr="00894EBA">
        <w:rPr>
          <w:rFonts w:ascii="Helvetica" w:hAnsi="Helvetica" w:cs="Helvetica"/>
          <w:szCs w:val="21"/>
        </w:rPr>
        <w:t>IV kw. 2021 r.</w:t>
      </w:r>
    </w:p>
    <w:p w14:paraId="39D7415F" w14:textId="77777777" w:rsidR="004D1514" w:rsidRPr="00894EBA" w:rsidRDefault="004D1514" w:rsidP="00B559C5">
      <w:pPr>
        <w:tabs>
          <w:tab w:val="left" w:pos="709"/>
        </w:tabs>
        <w:autoSpaceDE w:val="0"/>
        <w:autoSpaceDN w:val="0"/>
        <w:adjustRightInd w:val="0"/>
        <w:spacing w:before="60"/>
        <w:ind w:left="567" w:right="538"/>
        <w:jc w:val="both"/>
        <w:rPr>
          <w:rFonts w:ascii="Helvetica" w:eastAsia="Calibri" w:hAnsi="Helvetica" w:cs="Helvetica"/>
          <w:color w:val="000000"/>
          <w:sz w:val="21"/>
          <w:szCs w:val="21"/>
          <w:lang w:eastAsia="en-US"/>
        </w:rPr>
      </w:pPr>
      <w:r w:rsidRPr="00894EBA">
        <w:rPr>
          <w:rFonts w:ascii="Helvetica" w:eastAsia="Calibri" w:hAnsi="Helvetica" w:cs="Helvetica"/>
          <w:color w:val="000000"/>
          <w:sz w:val="21"/>
          <w:szCs w:val="21"/>
          <w:lang w:eastAsia="en-US"/>
        </w:rPr>
        <w:t>W pierwszej kolejności prace Zespołu ds. wypracowania rozwiązań zapewniających ciągłość działania dot. ustalenia harmonogramu działań oraz aktualizacji procedury zgłaszania przypadków zachorowania przez pracowników na COVID-19. Zespół ocenił regulacje pod kątem rozwiązań służących zapewnieniu ciągłości działania.</w:t>
      </w:r>
    </w:p>
    <w:p w14:paraId="11F3AB43" w14:textId="77777777" w:rsidR="004D1514" w:rsidRPr="00894EBA" w:rsidRDefault="004D1514" w:rsidP="00B559C5">
      <w:pPr>
        <w:tabs>
          <w:tab w:val="left" w:pos="709"/>
        </w:tabs>
        <w:autoSpaceDE w:val="0"/>
        <w:autoSpaceDN w:val="0"/>
        <w:adjustRightInd w:val="0"/>
        <w:spacing w:before="60"/>
        <w:ind w:left="567" w:right="538"/>
        <w:jc w:val="both"/>
        <w:rPr>
          <w:rFonts w:ascii="Helvetica" w:eastAsia="Calibri" w:hAnsi="Helvetica" w:cs="Helvetica"/>
          <w:color w:val="000000"/>
          <w:sz w:val="21"/>
          <w:szCs w:val="21"/>
          <w:lang w:eastAsia="en-US"/>
        </w:rPr>
      </w:pPr>
      <w:r w:rsidRPr="00894EBA">
        <w:rPr>
          <w:rFonts w:ascii="Helvetica" w:eastAsia="Calibri" w:hAnsi="Helvetica" w:cs="Helvetica"/>
          <w:color w:val="000000"/>
          <w:sz w:val="21"/>
          <w:szCs w:val="21"/>
          <w:lang w:eastAsia="en-US"/>
        </w:rPr>
        <w:t xml:space="preserve">Ustalono, że w Jednostce obowiązują przede wszystkim regulacje związane z zarządzaniem kryzysowym, obronnym oraz w przypadku wystąpienia zdarzeń nadzwyczajnych, tj. pożar, powódź, atak terrorystyczny, demonstracje przed siedzibą, itp. Stwierdzono również, </w:t>
      </w:r>
      <w:r w:rsidR="00A36E3B" w:rsidRPr="00894EBA">
        <w:rPr>
          <w:rFonts w:ascii="Helvetica" w:eastAsia="Calibri" w:hAnsi="Helvetica" w:cs="Helvetica"/>
          <w:color w:val="000000"/>
          <w:sz w:val="21"/>
          <w:szCs w:val="21"/>
          <w:lang w:eastAsia="en-US"/>
        </w:rPr>
        <w:t>że</w:t>
      </w:r>
      <w:r w:rsidR="00A36E3B">
        <w:rPr>
          <w:rFonts w:ascii="Helvetica" w:eastAsia="Calibri" w:hAnsi="Helvetica" w:cs="Helvetica"/>
          <w:color w:val="000000"/>
          <w:sz w:val="21"/>
          <w:szCs w:val="21"/>
          <w:lang w:eastAsia="en-US"/>
        </w:rPr>
        <w:t> </w:t>
      </w:r>
      <w:r w:rsidRPr="00894EBA">
        <w:rPr>
          <w:rFonts w:ascii="Helvetica" w:eastAsia="Calibri" w:hAnsi="Helvetica" w:cs="Helvetica"/>
          <w:color w:val="000000"/>
          <w:sz w:val="21"/>
          <w:szCs w:val="21"/>
          <w:lang w:eastAsia="en-US"/>
        </w:rPr>
        <w:t xml:space="preserve">zidentyfikowane procedury określają głównie zadania </w:t>
      </w:r>
      <w:proofErr w:type="spellStart"/>
      <w:r w:rsidRPr="00894EBA">
        <w:rPr>
          <w:rFonts w:ascii="Helvetica" w:eastAsia="Calibri" w:hAnsi="Helvetica" w:cs="Helvetica"/>
          <w:color w:val="000000"/>
          <w:sz w:val="21"/>
          <w:szCs w:val="21"/>
          <w:lang w:eastAsia="en-US"/>
        </w:rPr>
        <w:t>MRiPS</w:t>
      </w:r>
      <w:proofErr w:type="spellEnd"/>
      <w:r w:rsidRPr="00894EBA">
        <w:rPr>
          <w:rFonts w:ascii="Helvetica" w:eastAsia="Calibri" w:hAnsi="Helvetica" w:cs="Helvetica"/>
          <w:color w:val="000000"/>
          <w:sz w:val="21"/>
          <w:szCs w:val="21"/>
          <w:lang w:eastAsia="en-US"/>
        </w:rPr>
        <w:t xml:space="preserve"> w przypadku wystąpienia stanu wyjątkowego lub też służą ochronie zasobów. Zatem nie dotyczą one bezpośrednio utrzymania ciągłości działania Ministerstwa, zgodnie z przyjętą definicją zachowania ciągłości działania. Prace Zespołu zakończyły się z końcem maja 2021 r. Będą one kontynuowane przez Zespół ds. zarządzania ryzykiem.</w:t>
      </w:r>
    </w:p>
    <w:p w14:paraId="4BFDE355" w14:textId="77777777" w:rsidR="004D1514" w:rsidRPr="00894EBA" w:rsidRDefault="004D1514" w:rsidP="00B559C5">
      <w:pPr>
        <w:tabs>
          <w:tab w:val="left" w:pos="709"/>
        </w:tabs>
        <w:autoSpaceDE w:val="0"/>
        <w:autoSpaceDN w:val="0"/>
        <w:adjustRightInd w:val="0"/>
        <w:spacing w:before="60"/>
        <w:ind w:left="567" w:right="538"/>
        <w:jc w:val="both"/>
        <w:rPr>
          <w:rFonts w:ascii="Helvetica" w:eastAsia="Calibri" w:hAnsi="Helvetica" w:cs="Helvetica"/>
          <w:color w:val="000000"/>
          <w:sz w:val="21"/>
          <w:szCs w:val="21"/>
          <w:lang w:eastAsia="en-US"/>
        </w:rPr>
      </w:pPr>
      <w:r w:rsidRPr="00894EBA">
        <w:rPr>
          <w:rFonts w:ascii="Helvetica" w:eastAsia="Calibri" w:hAnsi="Helvetica" w:cs="Helvetica"/>
          <w:color w:val="000000"/>
          <w:sz w:val="21"/>
          <w:szCs w:val="21"/>
          <w:lang w:eastAsia="en-US"/>
        </w:rPr>
        <w:t>Jednym z efektów prac zespołu ds. ciągłości działania było przygotowanie projektu zasad zapewnienia ciągłości działania oraz inwentaryzacja procesów, które wspierają ciągłość działalności jednostki</w:t>
      </w:r>
      <w:r w:rsidRPr="00894EBA">
        <w:rPr>
          <w:rFonts w:ascii="Helvetica" w:eastAsia="Calibri" w:hAnsi="Helvetica" w:cs="Helvetica"/>
          <w:b/>
          <w:color w:val="FF0000"/>
          <w:sz w:val="18"/>
          <w:szCs w:val="18"/>
          <w:vertAlign w:val="superscript"/>
        </w:rPr>
        <w:footnoteReference w:id="171"/>
      </w:r>
      <w:r w:rsidR="00B559C5" w:rsidRPr="00894EBA">
        <w:rPr>
          <w:rFonts w:ascii="Helvetica" w:eastAsia="Calibri" w:hAnsi="Helvetica" w:cs="Helvetica"/>
          <w:color w:val="000000"/>
          <w:sz w:val="21"/>
          <w:szCs w:val="21"/>
          <w:lang w:eastAsia="en-US"/>
        </w:rPr>
        <w:t>.</w:t>
      </w:r>
    </w:p>
    <w:p w14:paraId="66072458"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szCs w:val="24"/>
        </w:rPr>
      </w:pPr>
      <w:r w:rsidRPr="00894EBA">
        <w:rPr>
          <w:rFonts w:ascii="Helvetica" w:hAnsi="Helvetica" w:cs="Helvetica"/>
          <w:b/>
          <w:szCs w:val="24"/>
        </w:rPr>
        <w:t>[rozliczalność]</w:t>
      </w:r>
      <w:r w:rsidRPr="00894EBA">
        <w:rPr>
          <w:rFonts w:ascii="Helvetica" w:hAnsi="Helvetica" w:cs="Helvetica"/>
          <w:szCs w:val="24"/>
        </w:rPr>
        <w:t xml:space="preserve"> W celu identyfikacji działań niepożądanych prowadzono przegląd logów oraz ich analizę. Brakowało jednak całościowych regulacji wewnętrznych zawierających zasady prowadzenia i wykorzystania dzienników systemów (logów), w tym określających zakres danych podlegających dokumentowaniu w dziennikach.</w:t>
      </w:r>
    </w:p>
    <w:p w14:paraId="3B0A3676" w14:textId="77777777" w:rsidR="004D1514" w:rsidRPr="00894EBA" w:rsidRDefault="004D1514" w:rsidP="00B559C5">
      <w:pPr>
        <w:tabs>
          <w:tab w:val="left" w:pos="709"/>
        </w:tabs>
        <w:spacing w:before="60"/>
        <w:ind w:left="567" w:right="538"/>
        <w:jc w:val="both"/>
        <w:rPr>
          <w:rFonts w:ascii="Helvetica" w:eastAsia="Calibri" w:hAnsi="Helvetica" w:cs="Helvetica"/>
          <w:color w:val="000000"/>
          <w:sz w:val="21"/>
          <w:szCs w:val="21"/>
          <w:lang w:eastAsia="en-US"/>
        </w:rPr>
      </w:pPr>
      <w:r w:rsidRPr="00894EBA">
        <w:rPr>
          <w:rFonts w:ascii="Helvetica" w:hAnsi="Helvetica" w:cs="Helvetica"/>
          <w:sz w:val="21"/>
          <w:szCs w:val="21"/>
        </w:rPr>
        <w:t>W PBI IT wskazano jedynie ogólne postanowienia dot. obowiązku stosowania indywidualnych kont w celu zachowania rozliczalności</w:t>
      </w:r>
      <w:r w:rsidRPr="00894EBA">
        <w:rPr>
          <w:rFonts w:ascii="Helvetica" w:hAnsi="Helvetica" w:cs="Helvetica"/>
          <w:b/>
          <w:color w:val="FF0000"/>
          <w:sz w:val="18"/>
          <w:vertAlign w:val="superscript"/>
        </w:rPr>
        <w:footnoteReference w:id="172"/>
      </w:r>
      <w:r w:rsidRPr="00894EBA">
        <w:rPr>
          <w:rFonts w:ascii="Helvetica" w:hAnsi="Helvetica" w:cs="Helvetica"/>
          <w:sz w:val="21"/>
          <w:szCs w:val="21"/>
        </w:rPr>
        <w:t>, systematycznego przeglądania logów</w:t>
      </w:r>
      <w:r w:rsidRPr="00894EBA">
        <w:rPr>
          <w:rFonts w:ascii="Helvetica" w:hAnsi="Helvetica" w:cs="Helvetica"/>
          <w:b/>
          <w:color w:val="FF0000"/>
          <w:sz w:val="18"/>
          <w:vertAlign w:val="superscript"/>
        </w:rPr>
        <w:footnoteReference w:id="173"/>
      </w:r>
      <w:r w:rsidRPr="00894EBA">
        <w:rPr>
          <w:rFonts w:ascii="Helvetica" w:hAnsi="Helvetica" w:cs="Helvetica"/>
          <w:sz w:val="21"/>
          <w:szCs w:val="21"/>
        </w:rPr>
        <w:t>, możliwości rekonstrukcji istotnych działań użytkowników w celu ograniczenia nadużyć</w:t>
      </w:r>
      <w:r w:rsidRPr="00894EBA">
        <w:rPr>
          <w:rFonts w:ascii="Helvetica" w:hAnsi="Helvetica" w:cs="Helvetica"/>
          <w:b/>
          <w:color w:val="FF0000"/>
          <w:sz w:val="18"/>
          <w:vertAlign w:val="superscript"/>
        </w:rPr>
        <w:footnoteReference w:id="174"/>
      </w:r>
      <w:r w:rsidRPr="00894EBA">
        <w:rPr>
          <w:rFonts w:ascii="Helvetica" w:hAnsi="Helvetica" w:cs="Helvetica"/>
          <w:sz w:val="21"/>
          <w:szCs w:val="21"/>
        </w:rPr>
        <w:t>, obowiązku posiadania dziennika administratora</w:t>
      </w:r>
      <w:r w:rsidRPr="00894EBA">
        <w:rPr>
          <w:rFonts w:ascii="Helvetica" w:hAnsi="Helvetica" w:cs="Helvetica"/>
          <w:b/>
          <w:color w:val="FF0000"/>
          <w:sz w:val="18"/>
          <w:vertAlign w:val="superscript"/>
        </w:rPr>
        <w:footnoteReference w:id="175"/>
      </w:r>
      <w:r w:rsidRPr="00894EBA">
        <w:rPr>
          <w:rFonts w:ascii="Helvetica" w:hAnsi="Helvetica" w:cs="Helvetica"/>
          <w:sz w:val="21"/>
          <w:szCs w:val="21"/>
        </w:rPr>
        <w:t xml:space="preserve"> i rejestracji istotnych/wrażliwych danych</w:t>
      </w:r>
      <w:r w:rsidRPr="00894EBA">
        <w:rPr>
          <w:rFonts w:ascii="Helvetica" w:hAnsi="Helvetica" w:cs="Helvetica"/>
          <w:b/>
          <w:color w:val="FF0000"/>
          <w:sz w:val="18"/>
          <w:vertAlign w:val="superscript"/>
        </w:rPr>
        <w:footnoteReference w:id="176"/>
      </w:r>
      <w:r w:rsidRPr="00894EBA">
        <w:rPr>
          <w:rFonts w:ascii="Helvetica" w:hAnsi="Helvetica" w:cs="Helvetica"/>
          <w:sz w:val="21"/>
          <w:szCs w:val="21"/>
        </w:rPr>
        <w:t>. Wyjaśniono</w:t>
      </w:r>
      <w:r w:rsidRPr="00894EBA">
        <w:rPr>
          <w:rFonts w:ascii="Helvetica" w:hAnsi="Helvetica" w:cs="Helvetica"/>
          <w:b/>
          <w:color w:val="FF0000"/>
          <w:sz w:val="18"/>
          <w:vertAlign w:val="superscript"/>
        </w:rPr>
        <w:footnoteReference w:id="177"/>
      </w:r>
      <w:r w:rsidRPr="00894EBA">
        <w:rPr>
          <w:rFonts w:ascii="Helvetica" w:hAnsi="Helvetica" w:cs="Helvetica"/>
          <w:sz w:val="21"/>
          <w:szCs w:val="21"/>
        </w:rPr>
        <w:t xml:space="preserve">, że decyzja o niewdrożeniu </w:t>
      </w:r>
      <w:r w:rsidRPr="00894EBA">
        <w:rPr>
          <w:rFonts w:ascii="Helvetica" w:eastAsia="Calibri" w:hAnsi="Helvetica" w:cs="Helvetica"/>
          <w:color w:val="000000"/>
          <w:sz w:val="21"/>
          <w:szCs w:val="21"/>
          <w:lang w:eastAsia="en-US"/>
        </w:rPr>
        <w:t xml:space="preserve">regulacji, zawierających zasady prowadzenia i wykorzystania dzienników systemów (logów), w tym określających zakres danych podlegających dokumentowaniu w dziennikach, została podjęta w sposób celowy. Podjęto </w:t>
      </w:r>
      <w:r w:rsidR="00A36E3B" w:rsidRPr="00894EBA">
        <w:rPr>
          <w:rFonts w:ascii="Helvetica" w:eastAsia="Calibri" w:hAnsi="Helvetica" w:cs="Helvetica"/>
          <w:color w:val="000000"/>
          <w:sz w:val="21"/>
          <w:szCs w:val="21"/>
          <w:lang w:eastAsia="en-US"/>
        </w:rPr>
        <w:t>ją</w:t>
      </w:r>
      <w:r w:rsidR="00A36E3B">
        <w:rPr>
          <w:rFonts w:ascii="Helvetica" w:eastAsia="Calibri" w:hAnsi="Helvetica" w:cs="Helvetica"/>
          <w:color w:val="000000"/>
          <w:sz w:val="21"/>
          <w:szCs w:val="21"/>
          <w:lang w:eastAsia="en-US"/>
        </w:rPr>
        <w:t> </w:t>
      </w:r>
      <w:r w:rsidRPr="00894EBA">
        <w:rPr>
          <w:rFonts w:ascii="Helvetica" w:eastAsia="Calibri" w:hAnsi="Helvetica" w:cs="Helvetica"/>
          <w:color w:val="000000"/>
          <w:sz w:val="21"/>
          <w:szCs w:val="21"/>
          <w:lang w:eastAsia="en-US"/>
        </w:rPr>
        <w:t xml:space="preserve">ze względu na liczbę oraz różnorodność eksploatowanych i użytkowanych systemów, </w:t>
      </w:r>
      <w:r w:rsidR="00A36E3B" w:rsidRPr="00894EBA">
        <w:rPr>
          <w:rFonts w:ascii="Helvetica" w:eastAsia="Calibri" w:hAnsi="Helvetica" w:cs="Helvetica"/>
          <w:color w:val="000000"/>
          <w:sz w:val="21"/>
          <w:szCs w:val="21"/>
          <w:lang w:eastAsia="en-US"/>
        </w:rPr>
        <w:t>a</w:t>
      </w:r>
      <w:r w:rsidR="00A36E3B">
        <w:rPr>
          <w:rFonts w:ascii="Helvetica" w:eastAsia="Calibri" w:hAnsi="Helvetica" w:cs="Helvetica"/>
          <w:color w:val="000000"/>
          <w:sz w:val="21"/>
          <w:szCs w:val="21"/>
          <w:lang w:eastAsia="en-US"/>
        </w:rPr>
        <w:t> </w:t>
      </w:r>
      <w:r w:rsidRPr="00894EBA">
        <w:rPr>
          <w:rFonts w:ascii="Helvetica" w:eastAsia="Calibri" w:hAnsi="Helvetica" w:cs="Helvetica"/>
          <w:color w:val="000000"/>
          <w:sz w:val="21"/>
          <w:szCs w:val="21"/>
          <w:lang w:eastAsia="en-US"/>
        </w:rPr>
        <w:t xml:space="preserve">także bieżące potrzeby monitoringu. Przyjęto, że zamieszczenie takich zapisów na poziomie sztywnych postanowień w regulacjach Ministerstwa spowodowałoby usztywnienie i całkowity brak reagowania na aktualne potrzeby i możliwości oraz wiedzę pozyskaną z doświadczenia nabytego w </w:t>
      </w:r>
      <w:r w:rsidR="00B559C5" w:rsidRPr="00894EBA">
        <w:rPr>
          <w:rFonts w:ascii="Helvetica" w:eastAsia="Calibri" w:hAnsi="Helvetica" w:cs="Helvetica"/>
          <w:color w:val="000000"/>
          <w:sz w:val="21"/>
          <w:szCs w:val="21"/>
          <w:lang w:eastAsia="en-US"/>
        </w:rPr>
        <w:t>trakcie realizacji monitoringu.</w:t>
      </w:r>
    </w:p>
    <w:p w14:paraId="11D81553" w14:textId="77777777" w:rsidR="004D1514" w:rsidRPr="00894EBA" w:rsidRDefault="004D1514" w:rsidP="00983826">
      <w:pPr>
        <w:tabs>
          <w:tab w:val="left" w:pos="709"/>
        </w:tabs>
        <w:spacing w:before="60" w:line="300" w:lineRule="atLeast"/>
        <w:jc w:val="both"/>
        <w:rPr>
          <w:rFonts w:ascii="Helvetica" w:hAnsi="Helvetica" w:cs="Helvetica"/>
          <w:szCs w:val="24"/>
        </w:rPr>
      </w:pPr>
      <w:r w:rsidRPr="00894EBA">
        <w:rPr>
          <w:rFonts w:ascii="Helvetica" w:hAnsi="Helvetica" w:cs="Helvetica"/>
          <w:szCs w:val="24"/>
        </w:rPr>
        <w:t xml:space="preserve">Nie można zgodzić się ze stanowiskiem, że ustalenie ogólnych </w:t>
      </w:r>
      <w:r w:rsidRPr="00894EBA">
        <w:rPr>
          <w:rFonts w:ascii="Helvetica" w:hAnsi="Helvetica" w:cs="Helvetica"/>
        </w:rPr>
        <w:t xml:space="preserve">zasad prowadzenia i wykorzystania dzienników systemów, w tym określających minimalny zakres danych podlegających dokumentowaniu w dziennikach spowoduje </w:t>
      </w:r>
      <w:r w:rsidRPr="00894EBA">
        <w:rPr>
          <w:rFonts w:ascii="Helvetica" w:eastAsia="Calibri" w:hAnsi="Helvetica" w:cs="Helvetica"/>
          <w:color w:val="000000"/>
          <w:szCs w:val="24"/>
          <w:lang w:eastAsia="en-US"/>
        </w:rPr>
        <w:t xml:space="preserve">usztywnienie i całkowity brak reagowania na aktualne potrzeby Jednostki. Ogólne regulacje stworzą ramy do efektywnego działania. </w:t>
      </w:r>
      <w:r w:rsidRPr="00894EBA">
        <w:rPr>
          <w:rFonts w:ascii="Helvetica" w:hAnsi="Helvetica" w:cs="Helvetica"/>
          <w:szCs w:val="24"/>
        </w:rPr>
        <w:t>Zakres danych podlegających dokumentowaniu w postaci zapisów w dziennikach systemów w każdej jednostce może być różny i wynikać z jej indywidualnych potrzeb, w szczególności zidentyfikowanych na etapie analizy r</w:t>
      </w:r>
      <w:r w:rsidR="00B17329">
        <w:rPr>
          <w:rFonts w:ascii="Helvetica" w:hAnsi="Helvetica" w:cs="Helvetica"/>
          <w:szCs w:val="24"/>
        </w:rPr>
        <w:t>yzyka. Zatem minimalne wymogi w </w:t>
      </w:r>
      <w:r w:rsidRPr="00894EBA">
        <w:rPr>
          <w:rFonts w:ascii="Helvetica" w:hAnsi="Helvetica" w:cs="Helvetica"/>
          <w:szCs w:val="24"/>
        </w:rPr>
        <w:t>tym zakresie powinny zostać określone.</w:t>
      </w:r>
    </w:p>
    <w:p w14:paraId="29B6DD6E" w14:textId="77777777" w:rsidR="004D1514" w:rsidRPr="00894EBA" w:rsidRDefault="004D1514" w:rsidP="00B559C5">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 xml:space="preserve">DI do monitoringu funkcjonowania zarówno środowiska systemowego, jak i poszczególnych systemów wykorzystywał narzędzia monitorowania zdarzeń i zautomatyzowanej analizy logów systemowych. System monitoringu oparty jest na mechanizmach zbierania i ewentualnej agregacji tych logów. Poszczególne </w:t>
      </w:r>
      <w:proofErr w:type="spellStart"/>
      <w:r w:rsidRPr="00894EBA">
        <w:rPr>
          <w:rFonts w:ascii="Helvetica" w:hAnsi="Helvetica" w:cs="Helvetica"/>
          <w:sz w:val="21"/>
          <w:szCs w:val="21"/>
        </w:rPr>
        <w:t>dashboardy</w:t>
      </w:r>
      <w:proofErr w:type="spellEnd"/>
      <w:r w:rsidRPr="00894EBA">
        <w:rPr>
          <w:rFonts w:ascii="Helvetica" w:hAnsi="Helvetica" w:cs="Helvetica"/>
          <w:sz w:val="21"/>
          <w:szCs w:val="21"/>
        </w:rPr>
        <w:t xml:space="preserve"> oraz wykresy zostały specjalnie zdefiniowane, po przeprowadzeniu wcześniejszej analizy, jakie mierniki i wskaźniki są dla poprawności monitoringu istotne i niezbędne. Mogą być one skalowane i na bieżąco konfigurowane, zgodnie z potrzebami osób monitorujących</w:t>
      </w:r>
      <w:r w:rsidRPr="00894EBA">
        <w:rPr>
          <w:rFonts w:ascii="Helvetica" w:hAnsi="Helvetica" w:cs="Helvetica"/>
          <w:b/>
          <w:color w:val="FF0000"/>
          <w:sz w:val="18"/>
          <w:vertAlign w:val="superscript"/>
        </w:rPr>
        <w:footnoteReference w:id="178"/>
      </w:r>
      <w:r w:rsidR="00B559C5" w:rsidRPr="00894EBA">
        <w:rPr>
          <w:rFonts w:ascii="Helvetica" w:hAnsi="Helvetica" w:cs="Helvetica"/>
          <w:sz w:val="21"/>
          <w:szCs w:val="21"/>
        </w:rPr>
        <w:t>.</w:t>
      </w:r>
    </w:p>
    <w:p w14:paraId="67599B5A" w14:textId="77777777" w:rsidR="004D1514" w:rsidRPr="00894EBA" w:rsidRDefault="004D1514" w:rsidP="00983826">
      <w:pPr>
        <w:tabs>
          <w:tab w:val="left" w:pos="709"/>
        </w:tabs>
        <w:spacing w:before="60" w:line="300" w:lineRule="atLeast"/>
        <w:jc w:val="both"/>
        <w:rPr>
          <w:rFonts w:ascii="Helvetica" w:hAnsi="Helvetica" w:cs="Helvetica"/>
          <w:szCs w:val="24"/>
        </w:rPr>
      </w:pPr>
      <w:r w:rsidRPr="00894EBA">
        <w:rPr>
          <w:rFonts w:ascii="Helvetica" w:hAnsi="Helvetica" w:cs="Helvetica"/>
          <w:szCs w:val="24"/>
        </w:rPr>
        <w:t>Możliwość przypisania określonych działań konkretnej</w:t>
      </w:r>
      <w:r w:rsidR="00B17329">
        <w:rPr>
          <w:rFonts w:ascii="Helvetica" w:hAnsi="Helvetica" w:cs="Helvetica"/>
          <w:szCs w:val="24"/>
        </w:rPr>
        <w:t xml:space="preserve"> osobie oraz umiejscowienie ich </w:t>
      </w:r>
      <w:r w:rsidRPr="00894EBA">
        <w:rPr>
          <w:rFonts w:ascii="Helvetica" w:hAnsi="Helvetica" w:cs="Helvetica"/>
          <w:szCs w:val="24"/>
        </w:rPr>
        <w:t>w czasie zwiększa bezpieczeństwo informacji przetwarzanych w systemach.</w:t>
      </w:r>
    </w:p>
    <w:p w14:paraId="73A9B617" w14:textId="77777777" w:rsidR="004D1514" w:rsidRPr="00894EBA" w:rsidRDefault="004D1514" w:rsidP="00983826">
      <w:pPr>
        <w:tabs>
          <w:tab w:val="left" w:pos="709"/>
        </w:tabs>
        <w:spacing w:before="60" w:line="300" w:lineRule="atLeast"/>
        <w:jc w:val="both"/>
        <w:rPr>
          <w:rFonts w:ascii="Helvetica" w:hAnsi="Helvetica" w:cs="Helvetica"/>
          <w:b/>
        </w:rPr>
      </w:pPr>
      <w:r w:rsidRPr="00894EBA">
        <w:rPr>
          <w:rFonts w:ascii="Helvetica" w:hAnsi="Helvetica" w:cs="Helvetica"/>
          <w:b/>
        </w:rPr>
        <w:t>II. Wymiana informacji w postaci elektronicznej</w:t>
      </w:r>
    </w:p>
    <w:p w14:paraId="50BB8DDC"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bCs/>
          <w:szCs w:val="24"/>
        </w:rPr>
      </w:pPr>
      <w:r w:rsidRPr="00894EBA">
        <w:rPr>
          <w:rFonts w:ascii="Helvetica" w:hAnsi="Helvetica" w:cs="Helvetica"/>
          <w:b/>
          <w:bCs/>
          <w:szCs w:val="24"/>
        </w:rPr>
        <w:t>[Usługi elektroniczne]</w:t>
      </w:r>
      <w:r w:rsidRPr="00894EBA">
        <w:rPr>
          <w:rFonts w:ascii="Helvetica" w:hAnsi="Helvetica" w:cs="Helvetica"/>
          <w:bCs/>
          <w:szCs w:val="24"/>
        </w:rPr>
        <w:t xml:space="preserve"> Ministerstwo świadczyło usługi elektroniczne i zapewniało komunikację elektroniczną przez skrzynkę podawczą na platformie </w:t>
      </w:r>
      <w:proofErr w:type="spellStart"/>
      <w:r w:rsidRPr="00894EBA">
        <w:rPr>
          <w:rFonts w:ascii="Helvetica" w:hAnsi="Helvetica" w:cs="Helvetica"/>
          <w:bCs/>
          <w:szCs w:val="24"/>
        </w:rPr>
        <w:t>ePUAP</w:t>
      </w:r>
      <w:proofErr w:type="spellEnd"/>
      <w:r w:rsidRPr="00894EBA">
        <w:rPr>
          <w:rFonts w:ascii="Helvetica" w:hAnsi="Helvetica" w:cs="Helvetica"/>
          <w:b/>
          <w:bCs/>
          <w:color w:val="FF0000"/>
          <w:sz w:val="18"/>
          <w:szCs w:val="18"/>
          <w:vertAlign w:val="superscript"/>
        </w:rPr>
        <w:footnoteReference w:id="179"/>
      </w:r>
      <w:r w:rsidRPr="00894EBA">
        <w:rPr>
          <w:rFonts w:ascii="Helvetica" w:hAnsi="Helvetica" w:cs="Helvetica"/>
          <w:bCs/>
          <w:szCs w:val="24"/>
        </w:rPr>
        <w:t>.</w:t>
      </w:r>
      <w:r w:rsidRPr="00894EBA">
        <w:rPr>
          <w:rFonts w:ascii="Helvetica" w:hAnsi="Helvetica" w:cs="Helvetica"/>
          <w:bCs/>
          <w:color w:val="00B050"/>
          <w:szCs w:val="24"/>
        </w:rPr>
        <w:t xml:space="preserve"> </w:t>
      </w:r>
      <w:r w:rsidRPr="00894EBA">
        <w:rPr>
          <w:rFonts w:ascii="Helvetica" w:hAnsi="Helvetica" w:cs="Helvetica"/>
          <w:bCs/>
          <w:szCs w:val="24"/>
        </w:rPr>
        <w:t>Spełniono zatem wymogi określone w art. 16 ust. 1a ustawy o informatyzacji.</w:t>
      </w:r>
    </w:p>
    <w:p w14:paraId="463E145A" w14:textId="77777777" w:rsidR="004D1514" w:rsidRPr="00894EBA" w:rsidRDefault="004D1514" w:rsidP="00792E5A">
      <w:pPr>
        <w:tabs>
          <w:tab w:val="left" w:pos="709"/>
        </w:tabs>
        <w:spacing w:before="60"/>
        <w:ind w:left="567" w:right="538"/>
        <w:jc w:val="both"/>
        <w:rPr>
          <w:rFonts w:ascii="Helvetica" w:hAnsi="Helvetica" w:cs="Helvetica"/>
          <w:sz w:val="21"/>
          <w:szCs w:val="21"/>
        </w:rPr>
      </w:pPr>
      <w:proofErr w:type="spellStart"/>
      <w:r w:rsidRPr="00894EBA">
        <w:rPr>
          <w:rFonts w:ascii="Helvetica" w:hAnsi="Helvetica" w:cs="Helvetica"/>
          <w:bCs/>
          <w:sz w:val="21"/>
          <w:szCs w:val="21"/>
        </w:rPr>
        <w:t>MRiPS</w:t>
      </w:r>
      <w:proofErr w:type="spellEnd"/>
      <w:r w:rsidRPr="00894EBA">
        <w:rPr>
          <w:rFonts w:ascii="Helvetica" w:hAnsi="Helvetica" w:cs="Helvetica"/>
          <w:bCs/>
          <w:sz w:val="21"/>
          <w:szCs w:val="21"/>
        </w:rPr>
        <w:t xml:space="preserve"> świadczy 26 usług elektronicznych. Opublikowane zostały opisy procedur obowiązujących przy załatwianiu spraw dr</w:t>
      </w:r>
      <w:r w:rsidR="00792E5A" w:rsidRPr="00894EBA">
        <w:rPr>
          <w:rFonts w:ascii="Helvetica" w:hAnsi="Helvetica" w:cs="Helvetica"/>
          <w:bCs/>
          <w:sz w:val="21"/>
          <w:szCs w:val="21"/>
        </w:rPr>
        <w:t>ogą elektroniczną.</w:t>
      </w:r>
    </w:p>
    <w:p w14:paraId="569F9BF5"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bCs/>
          <w:szCs w:val="24"/>
        </w:rPr>
      </w:pPr>
      <w:r w:rsidRPr="00894EBA">
        <w:rPr>
          <w:rFonts w:ascii="Helvetica" w:hAnsi="Helvetica" w:cs="Helvetica"/>
          <w:b/>
          <w:bCs/>
          <w:szCs w:val="24"/>
        </w:rPr>
        <w:t>[Centralne Repozytorium Wzorów Dokumentów Elektronicznych (CRWDE)]</w:t>
      </w:r>
      <w:r w:rsidRPr="00894EBA">
        <w:rPr>
          <w:rFonts w:ascii="Helvetica" w:hAnsi="Helvetica" w:cs="Helvetica"/>
          <w:bCs/>
          <w:szCs w:val="24"/>
        </w:rPr>
        <w:t xml:space="preserve"> W ramach realizacji 26 usług elektronicznych korzystano z 32 własnych wzorów dokumentów elektronicznych oraz 21 opracowanych i opublikowanych w CRWDE przez inny podmiot publiczny. Jednakże 6 z 32 (19%) własnych wzorów nie zostało przekazanych do CRWDE i nie opublikowano ich na stronie BIP, tym samym nie spełniono obowiązku określonego w art. 19b ust. 3 ustawy o informatyzacji.</w:t>
      </w:r>
    </w:p>
    <w:p w14:paraId="442EE8FC" w14:textId="77777777" w:rsidR="004D1514" w:rsidRPr="00894EBA" w:rsidRDefault="004D1514" w:rsidP="004C026F">
      <w:pPr>
        <w:tabs>
          <w:tab w:val="left" w:pos="709"/>
        </w:tabs>
        <w:spacing w:before="60"/>
        <w:ind w:left="567" w:right="538"/>
        <w:jc w:val="both"/>
        <w:rPr>
          <w:rFonts w:ascii="Helvetica" w:hAnsi="Helvetica" w:cs="Helvetica"/>
          <w:bCs/>
          <w:sz w:val="21"/>
          <w:szCs w:val="21"/>
        </w:rPr>
      </w:pPr>
      <w:r w:rsidRPr="00894EBA">
        <w:rPr>
          <w:rFonts w:ascii="Helvetica" w:hAnsi="Helvetica" w:cs="Helvetica"/>
          <w:bCs/>
          <w:sz w:val="21"/>
          <w:szCs w:val="21"/>
        </w:rPr>
        <w:t>Wyjaśniono</w:t>
      </w:r>
      <w:r w:rsidRPr="00894EBA">
        <w:rPr>
          <w:rFonts w:ascii="Helvetica" w:hAnsi="Helvetica" w:cs="Helvetica"/>
          <w:b/>
          <w:color w:val="FF0000"/>
          <w:sz w:val="18"/>
          <w:vertAlign w:val="superscript"/>
        </w:rPr>
        <w:footnoteReference w:id="180"/>
      </w:r>
      <w:r w:rsidRPr="00894EBA">
        <w:rPr>
          <w:rFonts w:ascii="Helvetica" w:hAnsi="Helvetica" w:cs="Helvetica"/>
          <w:bCs/>
          <w:sz w:val="21"/>
          <w:szCs w:val="21"/>
        </w:rPr>
        <w:t>, że nieprzekazanie 6 wzorów</w:t>
      </w:r>
      <w:r w:rsidRPr="00894EBA">
        <w:rPr>
          <w:rFonts w:ascii="Helvetica" w:hAnsi="Helvetica" w:cs="Helvetica"/>
          <w:b/>
          <w:color w:val="FF0000"/>
          <w:sz w:val="18"/>
          <w:vertAlign w:val="superscript"/>
        </w:rPr>
        <w:footnoteReference w:id="181"/>
      </w:r>
      <w:r w:rsidRPr="00894EBA">
        <w:rPr>
          <w:rFonts w:ascii="Helvetica" w:hAnsi="Helvetica" w:cs="Helvetica"/>
          <w:bCs/>
          <w:sz w:val="21"/>
          <w:szCs w:val="21"/>
        </w:rPr>
        <w:t xml:space="preserve"> do CRWDE wynikało z niedopatrzenia. Wzory te zost</w:t>
      </w:r>
      <w:r w:rsidR="004C026F" w:rsidRPr="00894EBA">
        <w:rPr>
          <w:rFonts w:ascii="Helvetica" w:hAnsi="Helvetica" w:cs="Helvetica"/>
          <w:bCs/>
          <w:sz w:val="21"/>
          <w:szCs w:val="21"/>
        </w:rPr>
        <w:t>aną niezwłocznie przekazane.</w:t>
      </w:r>
    </w:p>
    <w:p w14:paraId="56ACE35D"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i/>
          <w:sz w:val="21"/>
          <w:szCs w:val="21"/>
        </w:rPr>
      </w:pPr>
      <w:r w:rsidRPr="00894EBA">
        <w:rPr>
          <w:rFonts w:ascii="Helvetica" w:hAnsi="Helvetica" w:cs="Helvetica"/>
          <w:b/>
          <w:bCs/>
          <w:szCs w:val="24"/>
        </w:rPr>
        <w:t>[Model usługowy]</w:t>
      </w:r>
      <w:r w:rsidRPr="00894EBA">
        <w:rPr>
          <w:rFonts w:ascii="Helvetica" w:hAnsi="Helvetica" w:cs="Helvetica"/>
          <w:bCs/>
          <w:szCs w:val="24"/>
        </w:rPr>
        <w:t xml:space="preserve"> Proces świadczenia usług elektronicznych przez 3 badane systemy teleinformatyczne realizowany był zgodnie z § 15 ust. 2 Rozporządzenia KRI. Zarządzanie usługami odbywało się bowiem w oparciu o udokumentowane procedury, które zostały ujęte w umowach oraz w specyfikacji technicznej systemów.</w:t>
      </w:r>
    </w:p>
    <w:p w14:paraId="419B3C21" w14:textId="77777777" w:rsidR="004D1514" w:rsidRPr="00894EBA" w:rsidRDefault="004D1514" w:rsidP="00395210">
      <w:pPr>
        <w:tabs>
          <w:tab w:val="left" w:pos="709"/>
        </w:tabs>
        <w:spacing w:before="60"/>
        <w:ind w:left="567" w:right="538"/>
        <w:jc w:val="both"/>
        <w:rPr>
          <w:rFonts w:ascii="Helvetica" w:hAnsi="Helvetica" w:cs="Helvetica"/>
          <w:bCs/>
          <w:sz w:val="21"/>
          <w:szCs w:val="21"/>
        </w:rPr>
      </w:pPr>
      <w:r w:rsidRPr="00894EBA">
        <w:rPr>
          <w:rFonts w:ascii="Helvetica" w:hAnsi="Helvetica" w:cs="Helvetica"/>
          <w:sz w:val="21"/>
          <w:szCs w:val="21"/>
        </w:rPr>
        <w:t>Dla 3 badanych systemów stosuje się rozwiązania oparte na modelu usługowym. Procedury obsługi, odpowiedzialność za utrzymanie usługi od strony technicznej, poziom świadczenia usługi, wskaźniki jej dostępności, a także wskaźniki dostępności i mechanizmy reagowania na ich przekroczenie ujęte są w umowach oraz w specyfikacji technicznej systemów, za pomocą których usługi elektroniczne są realizowane.</w:t>
      </w:r>
    </w:p>
    <w:p w14:paraId="7B5E938E" w14:textId="77777777" w:rsidR="004D1514" w:rsidRPr="00894EBA" w:rsidRDefault="004D1514" w:rsidP="00395210">
      <w:pPr>
        <w:tabs>
          <w:tab w:val="left" w:pos="709"/>
        </w:tabs>
        <w:spacing w:before="60"/>
        <w:ind w:left="567" w:right="538"/>
        <w:jc w:val="both"/>
        <w:rPr>
          <w:rFonts w:ascii="Helvetica" w:hAnsi="Helvetica" w:cs="Helvetica"/>
          <w:bCs/>
          <w:sz w:val="16"/>
          <w:szCs w:val="16"/>
        </w:rPr>
      </w:pPr>
      <w:r w:rsidRPr="00894EBA">
        <w:rPr>
          <w:rFonts w:ascii="Helvetica" w:hAnsi="Helvetica" w:cs="Helvetica"/>
          <w:bCs/>
          <w:sz w:val="21"/>
          <w:szCs w:val="21"/>
        </w:rPr>
        <w:t>W</w:t>
      </w:r>
      <w:r w:rsidRPr="00894EBA">
        <w:rPr>
          <w:rFonts w:ascii="Helvetica" w:hAnsi="Helvetica" w:cs="Helvetica"/>
          <w:bCs/>
          <w:sz w:val="20"/>
        </w:rPr>
        <w:t>yjaśniono</w:t>
      </w:r>
      <w:r w:rsidRPr="00894EBA">
        <w:rPr>
          <w:rFonts w:ascii="Helvetica" w:hAnsi="Helvetica" w:cs="Helvetica"/>
          <w:b/>
          <w:color w:val="FF0000"/>
          <w:sz w:val="18"/>
          <w:vertAlign w:val="superscript"/>
        </w:rPr>
        <w:footnoteReference w:id="182"/>
      </w:r>
      <w:r w:rsidRPr="00894EBA">
        <w:rPr>
          <w:rFonts w:ascii="Helvetica" w:hAnsi="Helvetica" w:cs="Helvetica"/>
          <w:bCs/>
          <w:sz w:val="20"/>
        </w:rPr>
        <w:t xml:space="preserve">, że użytkowane systemy wykorzystujące elektroniczne usługi wymiany danych, budowane są w oparciu o architekturę SOA. Według </w:t>
      </w:r>
      <w:proofErr w:type="spellStart"/>
      <w:r w:rsidRPr="00894EBA">
        <w:rPr>
          <w:rFonts w:ascii="Helvetica" w:hAnsi="Helvetica" w:cs="Helvetica"/>
          <w:bCs/>
          <w:sz w:val="20"/>
        </w:rPr>
        <w:t>MRiPS</w:t>
      </w:r>
      <w:proofErr w:type="spellEnd"/>
      <w:r w:rsidRPr="00894EBA">
        <w:rPr>
          <w:rFonts w:ascii="Helvetica" w:hAnsi="Helvetica" w:cs="Helvetica"/>
          <w:bCs/>
          <w:sz w:val="20"/>
        </w:rPr>
        <w:t xml:space="preserve"> model SOA jest w pełni wdrożony i oparty o platformę integracyjną oraz dwie szyny danych ESB, gdzie wbudowany jest również system zarządzan</w:t>
      </w:r>
      <w:r w:rsidR="00395210" w:rsidRPr="00894EBA">
        <w:rPr>
          <w:rFonts w:ascii="Helvetica" w:hAnsi="Helvetica" w:cs="Helvetica"/>
          <w:bCs/>
          <w:sz w:val="20"/>
        </w:rPr>
        <w:t>ia i udostępniania usług.</w:t>
      </w:r>
    </w:p>
    <w:p w14:paraId="764F990E"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bCs/>
          <w:szCs w:val="24"/>
        </w:rPr>
      </w:pPr>
      <w:r w:rsidRPr="00894EBA">
        <w:rPr>
          <w:rFonts w:ascii="Helvetica" w:hAnsi="Helvetica" w:cs="Helvetica"/>
          <w:b/>
          <w:bCs/>
          <w:szCs w:val="24"/>
        </w:rPr>
        <w:t>[Współpraca systemów teleinformatycznych z innymi systemami]</w:t>
      </w:r>
      <w:r w:rsidRPr="00894EBA">
        <w:rPr>
          <w:rFonts w:ascii="Helvetica" w:hAnsi="Helvetica" w:cs="Helvetica"/>
          <w:bCs/>
          <w:szCs w:val="24"/>
        </w:rPr>
        <w:t xml:space="preserve"> W badanych systemach stosowane były odwołania do rejestrów zawierających dane referencyjne w zakresie niezbędnym do realizacji zadań zgodnie z § 5 ust. 3 pkt 3 Rozporządzenia KRI. Sposób komunikacji z innymi systemami, w tym wyposażenie w składniki sprzętowe i oprogramowanie umożliwiał badanym systemom wymianę danych z innymi systemami, spełniając tym samym wymogi § 16 ust. 1 tego rozporządzenia.</w:t>
      </w:r>
    </w:p>
    <w:p w14:paraId="66AFB2A2" w14:textId="77777777" w:rsidR="004D1514" w:rsidRPr="00894EBA" w:rsidRDefault="004D1514" w:rsidP="00395210">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CSIZS komunikuje się z systemami: Domu Maklerskiego PKO BP (dane o kwotach przyznanych świadczeń 500+); Rejestrami Państwowymi (Ministra Cyfryzacji) – PESEL (dane osobowe); Zakładu Ubezpieczeń Społecznych (dane o skład</w:t>
      </w:r>
      <w:r w:rsidR="006806C0">
        <w:rPr>
          <w:rFonts w:ascii="Helvetica" w:hAnsi="Helvetica" w:cs="Helvetica"/>
          <w:sz w:val="21"/>
          <w:szCs w:val="21"/>
        </w:rPr>
        <w:t>k</w:t>
      </w:r>
      <w:r w:rsidRPr="00894EBA">
        <w:rPr>
          <w:rFonts w:ascii="Helvetica" w:hAnsi="Helvetica" w:cs="Helvetica"/>
          <w:sz w:val="21"/>
          <w:szCs w:val="21"/>
        </w:rPr>
        <w:t>ach na ubezpieczenie zdrowotne i społeczne oraz o świadczeniach z ZUS</w:t>
      </w:r>
      <w:r w:rsidRPr="00894EBA">
        <w:rPr>
          <w:rFonts w:ascii="Helvetica" w:hAnsi="Helvetica" w:cs="Helvetica"/>
          <w:szCs w:val="21"/>
        </w:rPr>
        <w:t>)</w:t>
      </w:r>
      <w:r w:rsidRPr="00894EBA">
        <w:rPr>
          <w:rFonts w:ascii="Helvetica" w:hAnsi="Helvetica" w:cs="Helvetica"/>
          <w:sz w:val="21"/>
          <w:szCs w:val="21"/>
        </w:rPr>
        <w:t xml:space="preserve">; Ministerstwa Finansów (dane o dochodach podatników); Centralną Ewidencją i Informacją o Działalności Gospodarczej (dalej: CEIDG – dane osoby prowadzącej działalność gospodarczą); Krajowym Rejestrem Sądowym (dalej: KRS – dane podmiotu prowadzącego działalność gospodarczą); Aplikacją Centralną Rynku Pracy (dane o bezrobotnych); Narodowego Funduszu Zdrowia (dane o uprawnieniach do świadczeń opieki zdrowotnej); Kasy Rolniczego Ubezpieczenia Społecznego (dane o składkach na ubezpieczenie zdrowotne); Ministerstwa Edukacji i Nauki (dane o uczniach i studentach); </w:t>
      </w:r>
      <w:proofErr w:type="spellStart"/>
      <w:r w:rsidRPr="00894EBA">
        <w:rPr>
          <w:rFonts w:ascii="Helvetica" w:hAnsi="Helvetica" w:cs="Helvetica"/>
          <w:sz w:val="21"/>
          <w:szCs w:val="21"/>
        </w:rPr>
        <w:t>EKSMOoN</w:t>
      </w:r>
      <w:proofErr w:type="spellEnd"/>
      <w:r w:rsidRPr="00894EBA">
        <w:rPr>
          <w:rFonts w:ascii="Helvetica" w:hAnsi="Helvetica" w:cs="Helvetica"/>
          <w:sz w:val="21"/>
          <w:szCs w:val="21"/>
        </w:rPr>
        <w:t xml:space="preserve"> (dane dot. orzeczeń o niepełnosprawności; systemy bankowości elektronicznej, PIU </w:t>
      </w:r>
      <w:proofErr w:type="spellStart"/>
      <w:r w:rsidRPr="00894EBA">
        <w:rPr>
          <w:rFonts w:ascii="Helvetica" w:hAnsi="Helvetica" w:cs="Helvetica"/>
          <w:sz w:val="21"/>
          <w:szCs w:val="21"/>
        </w:rPr>
        <w:t>Emp@tia</w:t>
      </w:r>
      <w:proofErr w:type="spellEnd"/>
      <w:r w:rsidRPr="00894EBA">
        <w:rPr>
          <w:rFonts w:ascii="Helvetica" w:hAnsi="Helvetica" w:cs="Helvetica"/>
          <w:sz w:val="21"/>
          <w:szCs w:val="21"/>
        </w:rPr>
        <w:t>.</w:t>
      </w:r>
    </w:p>
    <w:p w14:paraId="7D64D720" w14:textId="77777777" w:rsidR="004D1514" w:rsidRPr="00894EBA" w:rsidRDefault="004D1514" w:rsidP="00395210">
      <w:pPr>
        <w:tabs>
          <w:tab w:val="left" w:pos="709"/>
        </w:tabs>
        <w:spacing w:before="60"/>
        <w:ind w:left="567" w:right="538"/>
        <w:jc w:val="both"/>
        <w:rPr>
          <w:rFonts w:ascii="Helvetica" w:hAnsi="Helvetica" w:cs="Helvetica"/>
          <w:sz w:val="21"/>
          <w:szCs w:val="21"/>
        </w:rPr>
      </w:pPr>
      <w:r w:rsidRPr="00894EBA">
        <w:rPr>
          <w:rFonts w:ascii="Helvetica" w:hAnsi="Helvetica" w:cs="Helvetica"/>
          <w:sz w:val="21"/>
          <w:szCs w:val="21"/>
        </w:rPr>
        <w:t xml:space="preserve">PIU </w:t>
      </w:r>
      <w:proofErr w:type="spellStart"/>
      <w:r w:rsidRPr="00894EBA">
        <w:rPr>
          <w:rFonts w:ascii="Helvetica" w:hAnsi="Helvetica" w:cs="Helvetica"/>
          <w:sz w:val="21"/>
          <w:szCs w:val="21"/>
        </w:rPr>
        <w:t>Emp@tia</w:t>
      </w:r>
      <w:proofErr w:type="spellEnd"/>
      <w:r w:rsidRPr="00894EBA">
        <w:rPr>
          <w:rFonts w:ascii="Helvetica" w:hAnsi="Helvetica" w:cs="Helvetica"/>
          <w:sz w:val="21"/>
          <w:szCs w:val="21"/>
        </w:rPr>
        <w:t xml:space="preserve"> wymienia dane z CSIZS; Login.gov.pl (dane autoryzacyjne klientów chcących korzystać z usług elektronicznych); Rejestrem Żłobków oraz SI KDR w zakresie częściowego pozyskania danych służących do </w:t>
      </w:r>
      <w:proofErr w:type="spellStart"/>
      <w:r w:rsidRPr="00894EBA">
        <w:rPr>
          <w:rFonts w:ascii="Helvetica" w:hAnsi="Helvetica" w:cs="Helvetica"/>
          <w:sz w:val="21"/>
          <w:szCs w:val="21"/>
        </w:rPr>
        <w:t>autouzupełnienia</w:t>
      </w:r>
      <w:proofErr w:type="spellEnd"/>
      <w:r w:rsidRPr="00894EBA">
        <w:rPr>
          <w:rFonts w:ascii="Helvetica" w:hAnsi="Helvetica" w:cs="Helvetica"/>
          <w:sz w:val="21"/>
          <w:szCs w:val="21"/>
        </w:rPr>
        <w:t xml:space="preserve"> formularzy.</w:t>
      </w:r>
    </w:p>
    <w:p w14:paraId="209DE482" w14:textId="77777777" w:rsidR="004D1514" w:rsidRPr="00894EBA" w:rsidRDefault="004D1514" w:rsidP="00395210">
      <w:pPr>
        <w:tabs>
          <w:tab w:val="left" w:pos="709"/>
        </w:tabs>
        <w:spacing w:before="60"/>
        <w:ind w:left="567" w:right="538"/>
        <w:jc w:val="both"/>
        <w:rPr>
          <w:rFonts w:ascii="Helvetica" w:hAnsi="Helvetica" w:cs="Helvetica"/>
          <w:bCs/>
          <w:sz w:val="16"/>
          <w:szCs w:val="16"/>
        </w:rPr>
      </w:pPr>
      <w:r w:rsidRPr="00894EBA">
        <w:rPr>
          <w:rFonts w:ascii="Helvetica" w:hAnsi="Helvetica" w:cs="Helvetica"/>
          <w:sz w:val="21"/>
          <w:szCs w:val="21"/>
        </w:rPr>
        <w:t xml:space="preserve">SI KDR wymienia dane z systemami: PESEL; CEIDG; Systemem Informacji Oświatowej; KRS; </w:t>
      </w:r>
      <w:proofErr w:type="spellStart"/>
      <w:r w:rsidRPr="00894EBA">
        <w:rPr>
          <w:rFonts w:ascii="Helvetica" w:hAnsi="Helvetica" w:cs="Helvetica"/>
          <w:sz w:val="21"/>
          <w:szCs w:val="21"/>
        </w:rPr>
        <w:t>EKSMOoN</w:t>
      </w:r>
      <w:proofErr w:type="spellEnd"/>
      <w:r w:rsidRPr="00894EBA">
        <w:rPr>
          <w:rFonts w:ascii="Helvetica" w:hAnsi="Helvetica" w:cs="Helvetica"/>
          <w:sz w:val="21"/>
          <w:szCs w:val="21"/>
        </w:rPr>
        <w:t xml:space="preserve"> w zakresie weryfikacji i partnerów programu.</w:t>
      </w:r>
    </w:p>
    <w:p w14:paraId="645408B2"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bCs/>
          <w:szCs w:val="24"/>
        </w:rPr>
      </w:pPr>
      <w:r w:rsidRPr="00894EBA">
        <w:rPr>
          <w:rFonts w:ascii="Helvetica" w:hAnsi="Helvetica" w:cs="Helvetica"/>
          <w:b/>
          <w:bCs/>
          <w:szCs w:val="24"/>
        </w:rPr>
        <w:t>[Formaty danych udostępnianych przez systemy teleinformatyczne]</w:t>
      </w:r>
      <w:r w:rsidRPr="00894EBA">
        <w:rPr>
          <w:rFonts w:ascii="Helvetica" w:hAnsi="Helvetica" w:cs="Helvetica"/>
          <w:bCs/>
          <w:szCs w:val="24"/>
        </w:rPr>
        <w:t xml:space="preserve"> </w:t>
      </w:r>
      <w:r w:rsidRPr="00894EBA">
        <w:rPr>
          <w:rFonts w:ascii="Helvetica" w:hAnsi="Helvetica" w:cs="Helvetica"/>
          <w:szCs w:val="24"/>
        </w:rPr>
        <w:t xml:space="preserve">Sposób kodowania znaków w dokumentach wysyłanych i odbieranych przez badane systemy, a także wymienianych informacji z innymi systemami w drodze teletransmisji, realizowany był zgodnie z § 17 ust. 1 Rozporządzenia KRI. </w:t>
      </w:r>
      <w:r w:rsidRPr="00894EBA">
        <w:rPr>
          <w:rFonts w:ascii="Helvetica" w:hAnsi="Helvetica" w:cs="Helvetica"/>
          <w:bCs/>
          <w:szCs w:val="24"/>
        </w:rPr>
        <w:t>Badane systemy udostępniały zasoby informacyjne, spełniając wymogi § 18 ust. 1 Rozporządzenia KRI.</w:t>
      </w:r>
    </w:p>
    <w:p w14:paraId="06DE7AB8" w14:textId="77777777" w:rsidR="004D1514" w:rsidRPr="00894EBA" w:rsidRDefault="004D1514" w:rsidP="00395210">
      <w:pPr>
        <w:tabs>
          <w:tab w:val="left" w:pos="709"/>
        </w:tabs>
        <w:spacing w:before="60"/>
        <w:ind w:left="567" w:right="538"/>
        <w:jc w:val="both"/>
        <w:rPr>
          <w:rFonts w:ascii="Helvetica" w:hAnsi="Helvetica" w:cs="Helvetica"/>
          <w:bCs/>
          <w:sz w:val="21"/>
          <w:szCs w:val="21"/>
        </w:rPr>
      </w:pPr>
      <w:r w:rsidRPr="00894EBA">
        <w:rPr>
          <w:rFonts w:ascii="Helvetica" w:hAnsi="Helvetica" w:cs="Helvetica"/>
          <w:bCs/>
          <w:sz w:val="21"/>
          <w:szCs w:val="21"/>
        </w:rPr>
        <w:t>W badanych systemach obsługiwane były w szczególności formaty danych: .txt, .pdf, .xls, .</w:t>
      </w:r>
      <w:proofErr w:type="spellStart"/>
      <w:r w:rsidRPr="00894EBA">
        <w:rPr>
          <w:rFonts w:ascii="Helvetica" w:hAnsi="Helvetica" w:cs="Helvetica"/>
          <w:bCs/>
          <w:sz w:val="21"/>
          <w:szCs w:val="21"/>
        </w:rPr>
        <w:t>csv</w:t>
      </w:r>
      <w:proofErr w:type="spellEnd"/>
      <w:r w:rsidRPr="00894EBA">
        <w:rPr>
          <w:rFonts w:ascii="Helvetica" w:hAnsi="Helvetica" w:cs="Helvetica"/>
          <w:bCs/>
          <w:sz w:val="21"/>
          <w:szCs w:val="21"/>
        </w:rPr>
        <w:t>, .jpg, .</w:t>
      </w:r>
      <w:proofErr w:type="spellStart"/>
      <w:r w:rsidRPr="00894EBA">
        <w:rPr>
          <w:rFonts w:ascii="Helvetica" w:hAnsi="Helvetica" w:cs="Helvetica"/>
          <w:bCs/>
          <w:sz w:val="21"/>
          <w:szCs w:val="21"/>
        </w:rPr>
        <w:t>jpeg</w:t>
      </w:r>
      <w:proofErr w:type="spellEnd"/>
      <w:r w:rsidRPr="00894EBA">
        <w:rPr>
          <w:rFonts w:ascii="Helvetica" w:hAnsi="Helvetica" w:cs="Helvetica"/>
          <w:bCs/>
          <w:sz w:val="21"/>
          <w:szCs w:val="21"/>
        </w:rPr>
        <w:t>, .</w:t>
      </w:r>
      <w:proofErr w:type="spellStart"/>
      <w:r w:rsidRPr="00894EBA">
        <w:rPr>
          <w:rFonts w:ascii="Helvetica" w:hAnsi="Helvetica" w:cs="Helvetica"/>
          <w:bCs/>
          <w:sz w:val="21"/>
          <w:szCs w:val="21"/>
        </w:rPr>
        <w:t>png</w:t>
      </w:r>
      <w:proofErr w:type="spellEnd"/>
      <w:r w:rsidRPr="00894EBA">
        <w:rPr>
          <w:rFonts w:ascii="Helvetica" w:hAnsi="Helvetica" w:cs="Helvetica"/>
          <w:bCs/>
          <w:sz w:val="21"/>
          <w:szCs w:val="21"/>
        </w:rPr>
        <w:t>, .zip, .</w:t>
      </w:r>
      <w:proofErr w:type="spellStart"/>
      <w:r w:rsidRPr="00894EBA">
        <w:rPr>
          <w:rFonts w:ascii="Helvetica" w:hAnsi="Helvetica" w:cs="Helvetica"/>
          <w:bCs/>
          <w:sz w:val="21"/>
          <w:szCs w:val="21"/>
        </w:rPr>
        <w:t>xml</w:t>
      </w:r>
      <w:proofErr w:type="spellEnd"/>
      <w:r w:rsidRPr="00894EBA">
        <w:rPr>
          <w:rFonts w:ascii="Helvetica" w:hAnsi="Helvetica" w:cs="Helvetica"/>
          <w:bCs/>
          <w:sz w:val="21"/>
          <w:szCs w:val="21"/>
        </w:rPr>
        <w:t>, .</w:t>
      </w:r>
      <w:proofErr w:type="spellStart"/>
      <w:r w:rsidRPr="00894EBA">
        <w:rPr>
          <w:rFonts w:ascii="Helvetica" w:hAnsi="Helvetica" w:cs="Helvetica"/>
          <w:bCs/>
          <w:sz w:val="21"/>
          <w:szCs w:val="21"/>
        </w:rPr>
        <w:t>xsd</w:t>
      </w:r>
      <w:proofErr w:type="spellEnd"/>
      <w:r w:rsidRPr="00894EBA">
        <w:rPr>
          <w:rFonts w:ascii="Helvetica" w:hAnsi="Helvetica" w:cs="Helvetica"/>
          <w:bCs/>
          <w:sz w:val="21"/>
          <w:szCs w:val="21"/>
        </w:rPr>
        <w:t>, .</w:t>
      </w:r>
      <w:proofErr w:type="spellStart"/>
      <w:r w:rsidRPr="00894EBA">
        <w:rPr>
          <w:rFonts w:ascii="Helvetica" w:hAnsi="Helvetica" w:cs="Helvetica"/>
          <w:bCs/>
          <w:sz w:val="21"/>
          <w:szCs w:val="21"/>
        </w:rPr>
        <w:t>xsl</w:t>
      </w:r>
      <w:proofErr w:type="spellEnd"/>
      <w:r w:rsidRPr="00894EBA">
        <w:rPr>
          <w:rFonts w:ascii="Helvetica" w:hAnsi="Helvetica" w:cs="Helvetica"/>
          <w:bCs/>
          <w:sz w:val="21"/>
          <w:szCs w:val="21"/>
        </w:rPr>
        <w:t>, .</w:t>
      </w:r>
      <w:proofErr w:type="spellStart"/>
      <w:r w:rsidRPr="00894EBA">
        <w:rPr>
          <w:rFonts w:ascii="Helvetica" w:hAnsi="Helvetica" w:cs="Helvetica"/>
          <w:bCs/>
          <w:sz w:val="21"/>
          <w:szCs w:val="21"/>
        </w:rPr>
        <w:t>xslt</w:t>
      </w:r>
      <w:proofErr w:type="spellEnd"/>
      <w:r w:rsidRPr="00894EBA">
        <w:rPr>
          <w:rFonts w:ascii="Helvetica" w:hAnsi="Helvetica" w:cs="Helvetica"/>
          <w:bCs/>
          <w:sz w:val="21"/>
          <w:szCs w:val="21"/>
        </w:rPr>
        <w:t>, .</w:t>
      </w:r>
      <w:proofErr w:type="spellStart"/>
      <w:r w:rsidRPr="00894EBA">
        <w:rPr>
          <w:rFonts w:ascii="Helvetica" w:hAnsi="Helvetica" w:cs="Helvetica"/>
          <w:bCs/>
          <w:sz w:val="21"/>
          <w:szCs w:val="21"/>
        </w:rPr>
        <w:t>XAdES</w:t>
      </w:r>
      <w:proofErr w:type="spellEnd"/>
      <w:r w:rsidRPr="00894EBA">
        <w:rPr>
          <w:rFonts w:ascii="Helvetica" w:hAnsi="Helvetica" w:cs="Helvetica"/>
          <w:bCs/>
          <w:sz w:val="21"/>
          <w:szCs w:val="21"/>
        </w:rPr>
        <w:t>. Jednocześnie wskazano</w:t>
      </w:r>
      <w:r w:rsidRPr="00894EBA">
        <w:rPr>
          <w:rFonts w:ascii="Helvetica" w:hAnsi="Helvetica" w:cs="Helvetica"/>
          <w:b/>
          <w:color w:val="FF0000"/>
          <w:sz w:val="18"/>
          <w:vertAlign w:val="superscript"/>
        </w:rPr>
        <w:footnoteReference w:id="183"/>
      </w:r>
      <w:r w:rsidRPr="00894EBA">
        <w:rPr>
          <w:rFonts w:ascii="Helvetica" w:hAnsi="Helvetica" w:cs="Helvetica"/>
          <w:bCs/>
          <w:sz w:val="21"/>
          <w:szCs w:val="21"/>
        </w:rPr>
        <w:t>, że w przypadku, gdyby użytkownik (obywatel) w ramach usługi elektronicznej chciał przekazać załącznik, ma możliwość złożenia go w dowolnym formacie danych wskazanym w Rozporządzeniu KRI.</w:t>
      </w:r>
    </w:p>
    <w:p w14:paraId="2016A775" w14:textId="77777777" w:rsidR="004D1514" w:rsidRPr="00894EBA" w:rsidRDefault="004D1514" w:rsidP="00983826">
      <w:pPr>
        <w:numPr>
          <w:ilvl w:val="1"/>
          <w:numId w:val="2"/>
        </w:numPr>
        <w:tabs>
          <w:tab w:val="num" w:pos="-1139"/>
          <w:tab w:val="left" w:pos="709"/>
        </w:tabs>
        <w:suppressAutoHyphens/>
        <w:spacing w:before="60" w:line="300" w:lineRule="atLeast"/>
        <w:ind w:left="0" w:firstLine="0"/>
        <w:jc w:val="both"/>
        <w:outlineLvl w:val="1"/>
        <w:rPr>
          <w:rFonts w:ascii="Helvetica" w:hAnsi="Helvetica" w:cs="Helvetica"/>
          <w:bCs/>
          <w:sz w:val="16"/>
          <w:szCs w:val="16"/>
        </w:rPr>
      </w:pPr>
      <w:r w:rsidRPr="00894EBA">
        <w:rPr>
          <w:rFonts w:ascii="Helvetica" w:hAnsi="Helvetica" w:cs="Helvetica"/>
          <w:b/>
          <w:bCs/>
          <w:szCs w:val="24"/>
        </w:rPr>
        <w:t>[Obieg dokumentów w podmiocie]</w:t>
      </w:r>
      <w:r w:rsidRPr="00894EBA">
        <w:rPr>
          <w:rFonts w:ascii="Helvetica" w:hAnsi="Helvetica" w:cs="Helvetica"/>
          <w:bCs/>
          <w:szCs w:val="24"/>
        </w:rPr>
        <w:t xml:space="preserve"> Pozytywnie należy ocenić, że w Ministerstwie podstawowym sposobem dokumentowania czynności kancelaryjnych jest EZD</w:t>
      </w:r>
      <w:r w:rsidRPr="00894EBA">
        <w:rPr>
          <w:rFonts w:ascii="Helvetica" w:hAnsi="Helvetica" w:cs="Helvetica"/>
          <w:b/>
          <w:color w:val="FF0000"/>
          <w:sz w:val="18"/>
          <w:szCs w:val="24"/>
          <w:vertAlign w:val="superscript"/>
        </w:rPr>
        <w:footnoteReference w:id="184"/>
      </w:r>
      <w:r w:rsidRPr="00894EBA">
        <w:rPr>
          <w:rFonts w:ascii="Helvetica" w:hAnsi="Helvetica" w:cs="Helvetica"/>
          <w:bCs/>
          <w:szCs w:val="24"/>
        </w:rPr>
        <w:t>, co jest zgodne z § 20 ust. 2 pkt 9 Rozporządzenia KRI. Wyjątki od tej zas</w:t>
      </w:r>
      <w:r w:rsidR="00395210" w:rsidRPr="00894EBA">
        <w:rPr>
          <w:rFonts w:ascii="Helvetica" w:hAnsi="Helvetica" w:cs="Helvetica"/>
          <w:bCs/>
          <w:szCs w:val="24"/>
        </w:rPr>
        <w:t>ady zostały udokumentowane.</w:t>
      </w:r>
    </w:p>
    <w:p w14:paraId="2022F957" w14:textId="77777777" w:rsidR="00312AA7" w:rsidRPr="00312AA7" w:rsidRDefault="00EC7A7D" w:rsidP="00312AA7">
      <w:pPr>
        <w:pStyle w:val="akapitwgrupie"/>
        <w:spacing w:before="240"/>
        <w:ind w:firstLine="0"/>
        <w:rPr>
          <w:rFonts w:ascii="Helvetica" w:hAnsi="Helvetica" w:cs="Helvetica"/>
        </w:rPr>
      </w:pPr>
      <w:r w:rsidRPr="00894EBA">
        <w:rPr>
          <w:rFonts w:ascii="Helvetica" w:hAnsi="Helvetica" w:cs="Helvetica"/>
        </w:rPr>
        <w:t xml:space="preserve">Biorąc pod uwagę ustalenia i oceny przedstawione w </w:t>
      </w:r>
      <w:r w:rsidRPr="00894EBA">
        <w:rPr>
          <w:rFonts w:ascii="Helvetica" w:hAnsi="Helvetica" w:cs="Helvetica"/>
          <w:i/>
        </w:rPr>
        <w:t>Wystąpieniu</w:t>
      </w:r>
      <w:r w:rsidRPr="00894EBA">
        <w:rPr>
          <w:rFonts w:ascii="Helvetica" w:hAnsi="Helvetica" w:cs="Helvetica"/>
        </w:rPr>
        <w:t>, zalecam Pani Minister:</w:t>
      </w:r>
    </w:p>
    <w:p w14:paraId="78C43D2B" w14:textId="77777777" w:rsidR="00C676DC" w:rsidRPr="00C676DC" w:rsidRDefault="008566AA" w:rsidP="008566AA">
      <w:pPr>
        <w:pStyle w:val="Akapitzlist"/>
        <w:numPr>
          <w:ilvl w:val="0"/>
          <w:numId w:val="27"/>
        </w:numPr>
        <w:spacing w:before="120" w:line="300" w:lineRule="atLeast"/>
        <w:ind w:left="567" w:hanging="425"/>
        <w:jc w:val="both"/>
        <w:rPr>
          <w:rFonts w:ascii="Helvetica" w:hAnsi="Helvetica" w:cs="Helvetica"/>
        </w:rPr>
      </w:pPr>
      <w:r>
        <w:rPr>
          <w:rFonts w:ascii="Helvetica" w:hAnsi="Helvetica" w:cs="Helvetica"/>
        </w:rPr>
        <w:t>Z</w:t>
      </w:r>
      <w:r w:rsidR="0092706D">
        <w:rPr>
          <w:rFonts w:ascii="Helvetica" w:hAnsi="Helvetica" w:cs="Helvetica"/>
        </w:rPr>
        <w:t>mian</w:t>
      </w:r>
      <w:r>
        <w:rPr>
          <w:rFonts w:ascii="Helvetica" w:hAnsi="Helvetica" w:cs="Helvetica"/>
        </w:rPr>
        <w:t>ę</w:t>
      </w:r>
      <w:r w:rsidR="0092706D">
        <w:rPr>
          <w:rFonts w:ascii="Helvetica" w:hAnsi="Helvetica" w:cs="Helvetica"/>
        </w:rPr>
        <w:t xml:space="preserve"> </w:t>
      </w:r>
      <w:r>
        <w:rPr>
          <w:rFonts w:ascii="Helvetica" w:hAnsi="Helvetica" w:cs="Helvetica"/>
        </w:rPr>
        <w:t xml:space="preserve">procesu </w:t>
      </w:r>
      <w:r w:rsidR="0092706D">
        <w:rPr>
          <w:rFonts w:ascii="Helvetica" w:hAnsi="Helvetica" w:cs="Helvetica"/>
        </w:rPr>
        <w:t xml:space="preserve">ustanawiania </w:t>
      </w:r>
      <w:r w:rsidR="005A6274">
        <w:rPr>
          <w:rFonts w:ascii="Helvetica" w:hAnsi="Helvetica" w:cs="Helvetica"/>
        </w:rPr>
        <w:t xml:space="preserve">i eksploatacji </w:t>
      </w:r>
      <w:r w:rsidR="0092706D">
        <w:rPr>
          <w:rFonts w:ascii="Helvetica" w:hAnsi="Helvetica" w:cs="Helvetica"/>
        </w:rPr>
        <w:t xml:space="preserve">kompleksowego, spójnego systemu zarządzania bezpieczeństwem informacji </w:t>
      </w:r>
      <w:r w:rsidR="00AB155E">
        <w:rPr>
          <w:rFonts w:ascii="Helvetica" w:hAnsi="Helvetica" w:cs="Helvetica"/>
        </w:rPr>
        <w:t xml:space="preserve">uwzględniającego </w:t>
      </w:r>
      <w:r w:rsidR="0092706D">
        <w:rPr>
          <w:rFonts w:ascii="Helvetica" w:hAnsi="Helvetica" w:cs="Helvetica"/>
        </w:rPr>
        <w:t>poufność, dostępność, integralność gromadzonych i przetwarzanych informacji, w tym:</w:t>
      </w:r>
    </w:p>
    <w:p w14:paraId="08399855" w14:textId="2424C576" w:rsidR="00312AA7" w:rsidRDefault="00312AA7" w:rsidP="008566AA">
      <w:pPr>
        <w:pStyle w:val="akapitwgrupie"/>
        <w:numPr>
          <w:ilvl w:val="0"/>
          <w:numId w:val="28"/>
        </w:numPr>
        <w:spacing w:before="60"/>
        <w:ind w:left="851" w:hanging="284"/>
        <w:rPr>
          <w:rFonts w:ascii="Helvetica" w:hAnsi="Helvetica" w:cs="Helvetica"/>
          <w:szCs w:val="24"/>
        </w:rPr>
      </w:pPr>
      <w:r>
        <w:rPr>
          <w:rFonts w:ascii="Helvetica" w:hAnsi="Helvetica" w:cs="Helvetica"/>
          <w:szCs w:val="24"/>
        </w:rPr>
        <w:t>ustanowienie systemu</w:t>
      </w:r>
      <w:r w:rsidRPr="004A2452">
        <w:rPr>
          <w:rFonts w:ascii="Helvetica" w:hAnsi="Helvetica" w:cs="Helvetica"/>
          <w:szCs w:val="24"/>
        </w:rPr>
        <w:t xml:space="preserve"> zarządzania</w:t>
      </w:r>
      <w:r>
        <w:rPr>
          <w:rFonts w:ascii="Helvetica" w:hAnsi="Helvetica" w:cs="Helvetica"/>
          <w:szCs w:val="24"/>
        </w:rPr>
        <w:t xml:space="preserve"> ryz</w:t>
      </w:r>
      <w:r w:rsidR="00C676DC">
        <w:rPr>
          <w:rFonts w:ascii="Helvetica" w:hAnsi="Helvetica" w:cs="Helvetica"/>
          <w:szCs w:val="24"/>
        </w:rPr>
        <w:t>y</w:t>
      </w:r>
      <w:r>
        <w:rPr>
          <w:rFonts w:ascii="Helvetica" w:hAnsi="Helvetica" w:cs="Helvetica"/>
          <w:szCs w:val="24"/>
        </w:rPr>
        <w:t xml:space="preserve">kiem zapewniającego cykliczną identyfikację </w:t>
      </w:r>
      <w:proofErr w:type="spellStart"/>
      <w:r>
        <w:rPr>
          <w:rFonts w:ascii="Helvetica" w:hAnsi="Helvetica" w:cs="Helvetica"/>
          <w:szCs w:val="24"/>
        </w:rPr>
        <w:t>ryzyk</w:t>
      </w:r>
      <w:proofErr w:type="spellEnd"/>
      <w:r>
        <w:rPr>
          <w:rFonts w:ascii="Helvetica" w:hAnsi="Helvetica" w:cs="Helvetica"/>
          <w:szCs w:val="24"/>
        </w:rPr>
        <w:t xml:space="preserve"> oraz opracowanie planu postępowania z ryzykiem,</w:t>
      </w:r>
    </w:p>
    <w:p w14:paraId="31B80E18" w14:textId="4B4FB713" w:rsidR="00C40D4D" w:rsidRPr="00C40D4D" w:rsidRDefault="00C40D4D" w:rsidP="00C40D4D">
      <w:pPr>
        <w:pStyle w:val="akapitwgrupie"/>
        <w:numPr>
          <w:ilvl w:val="0"/>
          <w:numId w:val="28"/>
        </w:numPr>
        <w:spacing w:before="60"/>
        <w:ind w:left="851" w:hanging="284"/>
        <w:rPr>
          <w:rFonts w:ascii="Helvetica" w:hAnsi="Helvetica" w:cs="Helvetica"/>
          <w:szCs w:val="24"/>
        </w:rPr>
      </w:pPr>
      <w:r>
        <w:rPr>
          <w:rFonts w:ascii="Helvetica" w:hAnsi="Helvetica" w:cs="Helvetica"/>
        </w:rPr>
        <w:t xml:space="preserve">przegląd oraz uzupełnienie procedur i regulacji wewnętrznych dotyczących </w:t>
      </w:r>
      <w:r w:rsidRPr="00312AA7">
        <w:rPr>
          <w:rFonts w:ascii="Helvetica" w:hAnsi="Helvetica" w:cs="Helvetica"/>
          <w:i/>
        </w:rPr>
        <w:t>SZBI</w:t>
      </w:r>
      <w:r w:rsidRPr="005A6274">
        <w:rPr>
          <w:rFonts w:ascii="Helvetica" w:hAnsi="Helvetica" w:cs="Helvetica"/>
        </w:rPr>
        <w:t>,</w:t>
      </w:r>
    </w:p>
    <w:p w14:paraId="2DB75101" w14:textId="6D35B11E" w:rsidR="00854DAC" w:rsidRPr="00854DAC" w:rsidRDefault="00854DAC" w:rsidP="00854DAC">
      <w:pPr>
        <w:pStyle w:val="akapitwgrupie"/>
        <w:numPr>
          <w:ilvl w:val="0"/>
          <w:numId w:val="28"/>
        </w:numPr>
        <w:spacing w:before="60"/>
        <w:ind w:left="851" w:hanging="284"/>
        <w:rPr>
          <w:rFonts w:ascii="Helvetica" w:hAnsi="Helvetica" w:cs="Helvetica"/>
          <w:szCs w:val="24"/>
        </w:rPr>
      </w:pPr>
      <w:r>
        <w:rPr>
          <w:rFonts w:ascii="Helvetica" w:hAnsi="Helvetica" w:cs="Helvetica"/>
          <w:szCs w:val="24"/>
        </w:rPr>
        <w:t xml:space="preserve">zapewnienie systemowych rozwiązań mających na celu identyfikację wszystkich słabości </w:t>
      </w:r>
      <w:r w:rsidRPr="00F045E3">
        <w:rPr>
          <w:rFonts w:ascii="Helvetica" w:hAnsi="Helvetica" w:cs="Helvetica"/>
          <w:szCs w:val="24"/>
        </w:rPr>
        <w:t>tego</w:t>
      </w:r>
      <w:r>
        <w:rPr>
          <w:rFonts w:ascii="Helvetica" w:hAnsi="Helvetica" w:cs="Helvetica"/>
          <w:i/>
          <w:szCs w:val="24"/>
        </w:rPr>
        <w:t xml:space="preserve"> </w:t>
      </w:r>
      <w:r w:rsidRPr="00B64C6B">
        <w:rPr>
          <w:rFonts w:ascii="Helvetica" w:hAnsi="Helvetica" w:cs="Helvetica"/>
          <w:szCs w:val="24"/>
        </w:rPr>
        <w:t>systemu</w:t>
      </w:r>
      <w:r>
        <w:rPr>
          <w:rFonts w:ascii="Helvetica" w:hAnsi="Helvetica" w:cs="Helvetica"/>
          <w:szCs w:val="24"/>
        </w:rPr>
        <w:t>,</w:t>
      </w:r>
    </w:p>
    <w:p w14:paraId="2495BBC3" w14:textId="63FE4C05" w:rsidR="00893E7C" w:rsidRPr="00893E7C" w:rsidRDefault="000E0084" w:rsidP="008566AA">
      <w:pPr>
        <w:pStyle w:val="akapitwgrupie"/>
        <w:numPr>
          <w:ilvl w:val="0"/>
          <w:numId w:val="28"/>
        </w:numPr>
        <w:spacing w:before="60"/>
        <w:ind w:left="851" w:hanging="284"/>
        <w:rPr>
          <w:rFonts w:ascii="Helvetica" w:hAnsi="Helvetica" w:cs="Helvetica"/>
          <w:szCs w:val="24"/>
        </w:rPr>
      </w:pPr>
      <w:r>
        <w:rPr>
          <w:rFonts w:ascii="Helvetica" w:hAnsi="Helvetica" w:cs="Helvetica"/>
          <w:szCs w:val="24"/>
        </w:rPr>
        <w:t>utworzenie</w:t>
      </w:r>
      <w:r w:rsidR="00893E7C">
        <w:rPr>
          <w:rFonts w:ascii="Helvetica" w:hAnsi="Helvetica" w:cs="Helvetica"/>
          <w:szCs w:val="24"/>
        </w:rPr>
        <w:t xml:space="preserve"> pełnej bazy </w:t>
      </w:r>
      <w:r w:rsidR="00B64C6B">
        <w:rPr>
          <w:rFonts w:ascii="Helvetica" w:hAnsi="Helvetica" w:cs="Helvetica"/>
          <w:szCs w:val="24"/>
        </w:rPr>
        <w:t>konfiguracji CMDB,</w:t>
      </w:r>
    </w:p>
    <w:p w14:paraId="00C30D02" w14:textId="77777777" w:rsidR="008566AA" w:rsidRPr="005A6274" w:rsidRDefault="008566AA" w:rsidP="008566AA">
      <w:pPr>
        <w:pStyle w:val="akapitwgrupie"/>
        <w:numPr>
          <w:ilvl w:val="0"/>
          <w:numId w:val="28"/>
        </w:numPr>
        <w:spacing w:before="60"/>
        <w:ind w:left="851" w:hanging="284"/>
        <w:rPr>
          <w:rFonts w:ascii="Helvetica" w:hAnsi="Helvetica" w:cs="Helvetica"/>
          <w:szCs w:val="24"/>
        </w:rPr>
      </w:pPr>
      <w:r>
        <w:rPr>
          <w:rFonts w:ascii="Helvetica" w:hAnsi="Helvetica" w:cs="Helvetica"/>
          <w:szCs w:val="24"/>
        </w:rPr>
        <w:t>opracowanie planów ciągłości działania na wypadek wystąpienia zdarzeń zagrażających realizacji zadań,</w:t>
      </w:r>
    </w:p>
    <w:p w14:paraId="55D6C1E5" w14:textId="05FAFBF1" w:rsidR="00312AA7" w:rsidRPr="00CB64CC" w:rsidRDefault="002B7F9E" w:rsidP="008566AA">
      <w:pPr>
        <w:pStyle w:val="akapitwgrupie"/>
        <w:numPr>
          <w:ilvl w:val="0"/>
          <w:numId w:val="28"/>
        </w:numPr>
        <w:spacing w:before="60"/>
        <w:ind w:left="851" w:hanging="284"/>
        <w:rPr>
          <w:rFonts w:ascii="Helvetica" w:hAnsi="Helvetica" w:cs="Helvetica"/>
          <w:szCs w:val="24"/>
        </w:rPr>
      </w:pPr>
      <w:r>
        <w:rPr>
          <w:rFonts w:ascii="Helvetica" w:hAnsi="Helvetica" w:cs="Helvetica"/>
          <w:bCs/>
        </w:rPr>
        <w:t xml:space="preserve">wprowadzenie </w:t>
      </w:r>
      <w:r w:rsidR="00B64C6B">
        <w:rPr>
          <w:rFonts w:ascii="Helvetica" w:hAnsi="Helvetica" w:cs="Helvetica"/>
          <w:bCs/>
        </w:rPr>
        <w:t xml:space="preserve">skutecznych </w:t>
      </w:r>
      <w:r w:rsidR="004356CC">
        <w:rPr>
          <w:rFonts w:ascii="Helvetica" w:hAnsi="Helvetica" w:cs="Helvetica"/>
          <w:bCs/>
        </w:rPr>
        <w:t>narzędzi</w:t>
      </w:r>
      <w:r w:rsidR="00B64C6B">
        <w:rPr>
          <w:rFonts w:ascii="Helvetica" w:hAnsi="Helvetica" w:cs="Helvetica"/>
          <w:bCs/>
        </w:rPr>
        <w:t xml:space="preserve"> </w:t>
      </w:r>
      <w:r w:rsidR="006B08CC" w:rsidRPr="00CB64CC">
        <w:rPr>
          <w:rFonts w:ascii="Helvetica" w:hAnsi="Helvetica" w:cs="Helvetica"/>
        </w:rPr>
        <w:t>niezwłoczne</w:t>
      </w:r>
      <w:r w:rsidR="000E0084">
        <w:rPr>
          <w:rFonts w:ascii="Helvetica" w:hAnsi="Helvetica" w:cs="Helvetica"/>
        </w:rPr>
        <w:t>go</w:t>
      </w:r>
      <w:r w:rsidR="006B08CC" w:rsidRPr="00CB64CC">
        <w:rPr>
          <w:rFonts w:ascii="Helvetica" w:hAnsi="Helvetica" w:cs="Helvetica"/>
        </w:rPr>
        <w:t xml:space="preserve"> </w:t>
      </w:r>
      <w:r w:rsidR="000E0084" w:rsidRPr="00CB64CC">
        <w:rPr>
          <w:rFonts w:ascii="Helvetica" w:hAnsi="Helvetica" w:cs="Helvetica"/>
        </w:rPr>
        <w:t>odbierani</w:t>
      </w:r>
      <w:r w:rsidR="000E0084">
        <w:rPr>
          <w:rFonts w:ascii="Helvetica" w:hAnsi="Helvetica" w:cs="Helvetica"/>
        </w:rPr>
        <w:t>a</w:t>
      </w:r>
      <w:r w:rsidR="000E0084" w:rsidRPr="00CB64CC">
        <w:rPr>
          <w:rFonts w:ascii="Helvetica" w:hAnsi="Helvetica" w:cs="Helvetica"/>
        </w:rPr>
        <w:t xml:space="preserve"> </w:t>
      </w:r>
      <w:r w:rsidR="006B08CC" w:rsidRPr="00CB64CC">
        <w:rPr>
          <w:rFonts w:ascii="Helvetica" w:hAnsi="Helvetica" w:cs="Helvetica"/>
        </w:rPr>
        <w:t>uprawnień po zakończeniu zatrudnienia</w:t>
      </w:r>
      <w:r w:rsidR="008566AA">
        <w:rPr>
          <w:rFonts w:ascii="Helvetica" w:hAnsi="Helvetica" w:cs="Helvetica"/>
        </w:rPr>
        <w:t>.</w:t>
      </w:r>
    </w:p>
    <w:p w14:paraId="2AD94290" w14:textId="2225F29D" w:rsidR="0092706D" w:rsidRDefault="0092706D" w:rsidP="008566AA">
      <w:pPr>
        <w:pStyle w:val="Akapitzlist"/>
        <w:numPr>
          <w:ilvl w:val="0"/>
          <w:numId w:val="27"/>
        </w:numPr>
        <w:spacing w:before="120" w:line="300" w:lineRule="atLeast"/>
        <w:ind w:left="567" w:hanging="425"/>
        <w:jc w:val="both"/>
        <w:rPr>
          <w:rFonts w:ascii="Helvetica" w:hAnsi="Helvetica" w:cs="Helvetica"/>
        </w:rPr>
      </w:pPr>
      <w:r w:rsidRPr="006D0B84">
        <w:rPr>
          <w:rFonts w:ascii="Helvetica" w:hAnsi="Helvetica" w:cs="Helvetica"/>
        </w:rPr>
        <w:t>W</w:t>
      </w:r>
      <w:r>
        <w:rPr>
          <w:rFonts w:ascii="Helvetica" w:hAnsi="Helvetica" w:cs="Helvetica"/>
        </w:rPr>
        <w:t>drożenie</w:t>
      </w:r>
      <w:r w:rsidRPr="006D0B84">
        <w:rPr>
          <w:rFonts w:ascii="Helvetica" w:hAnsi="Helvetica" w:cs="Helvetica"/>
        </w:rPr>
        <w:t xml:space="preserve"> narzędzi i mechanizmów zarządczych zapewniających efektywny nadzór </w:t>
      </w:r>
      <w:r w:rsidR="00C40D4D">
        <w:rPr>
          <w:rFonts w:ascii="Helvetica" w:hAnsi="Helvetica" w:cs="Helvetica"/>
        </w:rPr>
        <w:t>w </w:t>
      </w:r>
      <w:r>
        <w:rPr>
          <w:rFonts w:ascii="Helvetica" w:hAnsi="Helvetica" w:cs="Helvetica"/>
        </w:rPr>
        <w:t xml:space="preserve">procesie </w:t>
      </w:r>
      <w:r w:rsidR="00696D71">
        <w:rPr>
          <w:rFonts w:ascii="Helvetica" w:hAnsi="Helvetica" w:cs="Helvetica"/>
        </w:rPr>
        <w:t xml:space="preserve">ustanawiania, </w:t>
      </w:r>
      <w:r>
        <w:rPr>
          <w:rFonts w:ascii="Helvetica" w:hAnsi="Helvetica" w:cs="Helvetica"/>
        </w:rPr>
        <w:t xml:space="preserve">eksploatacji </w:t>
      </w:r>
      <w:r w:rsidR="00696D71">
        <w:rPr>
          <w:rFonts w:ascii="Helvetica" w:hAnsi="Helvetica" w:cs="Helvetica"/>
        </w:rPr>
        <w:t xml:space="preserve">i doskonalenia </w:t>
      </w:r>
      <w:r w:rsidRPr="004341EC">
        <w:rPr>
          <w:rFonts w:ascii="Helvetica" w:hAnsi="Helvetica" w:cs="Helvetica"/>
          <w:i/>
        </w:rPr>
        <w:t>SZBI</w:t>
      </w:r>
      <w:r w:rsidR="00966E46">
        <w:rPr>
          <w:rFonts w:ascii="Helvetica" w:hAnsi="Helvetica" w:cs="Helvetica"/>
        </w:rPr>
        <w:t xml:space="preserve"> </w:t>
      </w:r>
      <w:r w:rsidR="00C40D4D">
        <w:rPr>
          <w:rFonts w:ascii="Helvetica" w:hAnsi="Helvetica" w:cs="Helvetica"/>
        </w:rPr>
        <w:t>oraz</w:t>
      </w:r>
      <w:r w:rsidR="00966E46">
        <w:rPr>
          <w:rFonts w:ascii="Helvetica" w:hAnsi="Helvetica" w:cs="Helvetica"/>
        </w:rPr>
        <w:t xml:space="preserve"> </w:t>
      </w:r>
      <w:r>
        <w:rPr>
          <w:rFonts w:ascii="Helvetica" w:hAnsi="Helvetica" w:cs="Helvetica"/>
        </w:rPr>
        <w:t>dokonywanie okresowej ewaluacji tego procesu.</w:t>
      </w:r>
    </w:p>
    <w:p w14:paraId="6BDB617B" w14:textId="0A39DAA5" w:rsidR="00C442E3" w:rsidRPr="00584E54" w:rsidRDefault="006C3305" w:rsidP="008566AA">
      <w:pPr>
        <w:pStyle w:val="akapitwgrupie"/>
        <w:numPr>
          <w:ilvl w:val="0"/>
          <w:numId w:val="27"/>
        </w:numPr>
        <w:spacing w:before="60"/>
        <w:ind w:left="567" w:hanging="425"/>
        <w:rPr>
          <w:rFonts w:ascii="Helvetica" w:hAnsi="Helvetica" w:cs="Helvetica"/>
          <w:szCs w:val="24"/>
        </w:rPr>
      </w:pPr>
      <w:r>
        <w:rPr>
          <w:rFonts w:ascii="Helvetica" w:hAnsi="Helvetica" w:cs="Helvetica"/>
          <w:szCs w:val="24"/>
        </w:rPr>
        <w:t xml:space="preserve">Prawidłowe </w:t>
      </w:r>
      <w:r w:rsidR="00584E54" w:rsidRPr="00584E54">
        <w:rPr>
          <w:rFonts w:ascii="Helvetica" w:hAnsi="Helvetica" w:cs="Helvetica"/>
          <w:szCs w:val="24"/>
        </w:rPr>
        <w:t>zabezpieczenie interesów Ministerstwa w zawieranych umowach, w tym wprowadzenie</w:t>
      </w:r>
      <w:r w:rsidR="00C40D4D">
        <w:rPr>
          <w:rFonts w:ascii="Helvetica" w:hAnsi="Helvetica" w:cs="Helvetica"/>
          <w:szCs w:val="24"/>
        </w:rPr>
        <w:t xml:space="preserve"> </w:t>
      </w:r>
      <w:r w:rsidR="00F045E3">
        <w:rPr>
          <w:rFonts w:ascii="Helvetica" w:hAnsi="Helvetica" w:cs="Helvetica"/>
          <w:szCs w:val="24"/>
        </w:rPr>
        <w:t xml:space="preserve">przykładowego </w:t>
      </w:r>
      <w:r w:rsidR="00156C75" w:rsidRPr="00584E54">
        <w:rPr>
          <w:rFonts w:ascii="Helvetica" w:hAnsi="Helvetica" w:cs="Helvetica"/>
          <w:szCs w:val="24"/>
        </w:rPr>
        <w:t>katalogu</w:t>
      </w:r>
      <w:r w:rsidR="00C442E3" w:rsidRPr="00584E54">
        <w:rPr>
          <w:rFonts w:ascii="Helvetica" w:hAnsi="Helvetica" w:cs="Helvetica"/>
          <w:szCs w:val="24"/>
        </w:rPr>
        <w:t xml:space="preserve"> postanowień </w:t>
      </w:r>
      <w:r w:rsidR="00C442E3" w:rsidRPr="00584E54">
        <w:rPr>
          <w:rFonts w:ascii="Helvetica" w:hAnsi="Helvetica" w:cs="Helvetica"/>
        </w:rPr>
        <w:t>gwarantując</w:t>
      </w:r>
      <w:r w:rsidR="00C40D4D">
        <w:rPr>
          <w:rFonts w:ascii="Helvetica" w:hAnsi="Helvetica" w:cs="Helvetica"/>
        </w:rPr>
        <w:t xml:space="preserve">ych odpowiedni poziom ochrony i </w:t>
      </w:r>
      <w:r w:rsidR="00C442E3" w:rsidRPr="00584E54">
        <w:rPr>
          <w:rFonts w:ascii="Helvetica" w:hAnsi="Helvetica" w:cs="Helvetica"/>
        </w:rPr>
        <w:t>bezpieczeństwa informacji</w:t>
      </w:r>
      <w:r>
        <w:rPr>
          <w:rFonts w:ascii="Helvetica" w:hAnsi="Helvetica" w:cs="Helvetica"/>
        </w:rPr>
        <w:t>.</w:t>
      </w:r>
    </w:p>
    <w:p w14:paraId="229C4E4E" w14:textId="77777777" w:rsidR="00312AA7" w:rsidRPr="00312AA7" w:rsidRDefault="00312AA7" w:rsidP="008566AA">
      <w:pPr>
        <w:pStyle w:val="akapitwgrupie"/>
        <w:numPr>
          <w:ilvl w:val="0"/>
          <w:numId w:val="27"/>
        </w:numPr>
        <w:spacing w:before="60"/>
        <w:ind w:left="567" w:hanging="425"/>
        <w:rPr>
          <w:rFonts w:ascii="Helvetica" w:hAnsi="Helvetica" w:cs="Helvetica"/>
          <w:szCs w:val="24"/>
        </w:rPr>
      </w:pPr>
      <w:r>
        <w:rPr>
          <w:rFonts w:ascii="Helvetica" w:hAnsi="Helvetica" w:cs="Helvetica"/>
        </w:rPr>
        <w:t>Zintensyfikowani</w:t>
      </w:r>
      <w:r w:rsidR="00C676DC">
        <w:rPr>
          <w:rFonts w:ascii="Helvetica" w:hAnsi="Helvetica" w:cs="Helvetica"/>
        </w:rPr>
        <w:t>e</w:t>
      </w:r>
      <w:r>
        <w:rPr>
          <w:rFonts w:ascii="Helvetica" w:hAnsi="Helvetica" w:cs="Helvetica"/>
        </w:rPr>
        <w:t xml:space="preserve"> </w:t>
      </w:r>
      <w:r w:rsidR="00ED5FD0">
        <w:rPr>
          <w:rFonts w:ascii="Helvetica" w:hAnsi="Helvetica" w:cs="Helvetica"/>
        </w:rPr>
        <w:t xml:space="preserve">działań </w:t>
      </w:r>
      <w:r w:rsidR="00964102">
        <w:rPr>
          <w:rFonts w:ascii="Helvetica" w:hAnsi="Helvetica" w:cs="Helvetica"/>
        </w:rPr>
        <w:t>mających na celu dostosowanie form szkole</w:t>
      </w:r>
      <w:r w:rsidR="00ED5FD0">
        <w:rPr>
          <w:rFonts w:ascii="Helvetica" w:hAnsi="Helvetica" w:cs="Helvetica"/>
        </w:rPr>
        <w:t xml:space="preserve">niowych </w:t>
      </w:r>
      <w:r w:rsidR="00F045E3">
        <w:rPr>
          <w:rFonts w:ascii="Helvetica" w:hAnsi="Helvetica" w:cs="Helvetica"/>
        </w:rPr>
        <w:t>do </w:t>
      </w:r>
      <w:r w:rsidR="00964102">
        <w:rPr>
          <w:rFonts w:ascii="Helvetica" w:hAnsi="Helvetica" w:cs="Helvetica"/>
        </w:rPr>
        <w:t xml:space="preserve">sytuacji epidemiologicznej </w:t>
      </w:r>
      <w:r w:rsidR="009A0017">
        <w:rPr>
          <w:rFonts w:ascii="Helvetica" w:hAnsi="Helvetica" w:cs="Helvetica"/>
        </w:rPr>
        <w:t>dla</w:t>
      </w:r>
      <w:r w:rsidR="00964102">
        <w:rPr>
          <w:rFonts w:ascii="Helvetica" w:hAnsi="Helvetica" w:cs="Helvetica"/>
        </w:rPr>
        <w:t xml:space="preserve"> zapewnienia cykliczności</w:t>
      </w:r>
      <w:r w:rsidR="00ED5FD0">
        <w:rPr>
          <w:rFonts w:ascii="Helvetica" w:hAnsi="Helvetica" w:cs="Helvetica"/>
        </w:rPr>
        <w:t xml:space="preserve"> </w:t>
      </w:r>
      <w:r w:rsidR="00964102">
        <w:rPr>
          <w:rFonts w:ascii="Helvetica" w:hAnsi="Helvetica" w:cs="Helvetica"/>
        </w:rPr>
        <w:t>w</w:t>
      </w:r>
      <w:r w:rsidR="00ED5FD0">
        <w:rPr>
          <w:rFonts w:ascii="Helvetica" w:hAnsi="Helvetica" w:cs="Helvetica"/>
        </w:rPr>
        <w:t> </w:t>
      </w:r>
      <w:r w:rsidR="005A6274">
        <w:rPr>
          <w:rFonts w:ascii="Helvetica" w:hAnsi="Helvetica" w:cs="Helvetica"/>
        </w:rPr>
        <w:t>procesie</w:t>
      </w:r>
      <w:r w:rsidR="00964102">
        <w:rPr>
          <w:rFonts w:ascii="Helvetica" w:hAnsi="Helvetica" w:cs="Helvetica"/>
        </w:rPr>
        <w:t xml:space="preserve"> podnoszenia świadomości pracowników w obszarze bezpieczeństwa informacji.</w:t>
      </w:r>
    </w:p>
    <w:p w14:paraId="6174BA2F" w14:textId="6B4EF518" w:rsidR="004D1514" w:rsidRPr="0092706D" w:rsidRDefault="0092706D" w:rsidP="008566AA">
      <w:pPr>
        <w:pStyle w:val="Akapitzlist"/>
        <w:numPr>
          <w:ilvl w:val="0"/>
          <w:numId w:val="27"/>
        </w:numPr>
        <w:spacing w:before="60" w:line="300" w:lineRule="atLeast"/>
        <w:ind w:left="567" w:hanging="425"/>
        <w:jc w:val="both"/>
        <w:rPr>
          <w:rFonts w:ascii="Helvetica" w:hAnsi="Helvetica" w:cs="Helvetica"/>
        </w:rPr>
      </w:pPr>
      <w:r w:rsidRPr="000E47DA">
        <w:rPr>
          <w:rFonts w:ascii="Helvetica" w:hAnsi="Helvetica" w:cs="Helvetica"/>
          <w:szCs w:val="24"/>
        </w:rPr>
        <w:t xml:space="preserve">Wyeliminowanie pozostałych </w:t>
      </w:r>
      <w:r w:rsidR="00C40D4D">
        <w:rPr>
          <w:rFonts w:ascii="Helvetica" w:hAnsi="Helvetica" w:cs="Helvetica"/>
          <w:szCs w:val="24"/>
        </w:rPr>
        <w:t>problemów</w:t>
      </w:r>
      <w:r w:rsidRPr="000E47DA">
        <w:rPr>
          <w:rFonts w:ascii="Helvetica" w:hAnsi="Helvetica" w:cs="Helvetica"/>
          <w:szCs w:val="24"/>
        </w:rPr>
        <w:t xml:space="preserve"> wskazanych w </w:t>
      </w:r>
      <w:r w:rsidRPr="000E47DA">
        <w:rPr>
          <w:rFonts w:ascii="Helvetica" w:hAnsi="Helvetica" w:cs="Helvetica"/>
          <w:i/>
          <w:szCs w:val="24"/>
        </w:rPr>
        <w:t>Wystąpieniu</w:t>
      </w:r>
      <w:r w:rsidRPr="000E47DA">
        <w:rPr>
          <w:rFonts w:ascii="Helvetica" w:hAnsi="Helvetica" w:cs="Helvetica"/>
          <w:szCs w:val="24"/>
        </w:rPr>
        <w:t>.</w:t>
      </w:r>
    </w:p>
    <w:p w14:paraId="56179196" w14:textId="77777777" w:rsidR="00EC7A7D" w:rsidRPr="00894EBA" w:rsidRDefault="00EC7A7D" w:rsidP="00EC7A7D">
      <w:pPr>
        <w:pStyle w:val="akapitwgrupie"/>
        <w:spacing w:before="120"/>
        <w:ind w:firstLine="0"/>
        <w:rPr>
          <w:rFonts w:ascii="Helvetica" w:hAnsi="Helvetica" w:cs="Helvetica"/>
        </w:rPr>
      </w:pPr>
      <w:r w:rsidRPr="00894EBA">
        <w:rPr>
          <w:rFonts w:ascii="Helvetica" w:hAnsi="Helvetica" w:cs="Helvetica"/>
          <w:lang w:eastAsia="en-US"/>
        </w:rPr>
        <w:t xml:space="preserve">Proszę Panią Minister o przedstawienie, w terminie 60 dni od daty otrzymania </w:t>
      </w:r>
      <w:r w:rsidRPr="00894EBA">
        <w:rPr>
          <w:rFonts w:ascii="Helvetica" w:hAnsi="Helvetica" w:cs="Helvetica"/>
          <w:i/>
          <w:lang w:eastAsia="en-US"/>
        </w:rPr>
        <w:t>Wystąpienia</w:t>
      </w:r>
      <w:r w:rsidRPr="00894EBA">
        <w:rPr>
          <w:rFonts w:ascii="Helvetica" w:hAnsi="Helvetica" w:cs="Helvetica"/>
          <w:lang w:eastAsia="en-US"/>
        </w:rPr>
        <w:t xml:space="preserve">, informacji </w:t>
      </w:r>
      <w:r w:rsidRPr="00894EBA">
        <w:rPr>
          <w:rFonts w:ascii="Helvetica" w:hAnsi="Helvetica" w:cs="Helvetica"/>
        </w:rPr>
        <w:t xml:space="preserve">o sposobie </w:t>
      </w:r>
      <w:r w:rsidRPr="00894EBA">
        <w:rPr>
          <w:rFonts w:ascii="Helvetica" w:hAnsi="Helvetica" w:cs="Helvetica"/>
          <w:lang w:eastAsia="en-US"/>
        </w:rPr>
        <w:t>wykonania zaleceń, wykorzystaniu wniosków lub o przyczynach ich niewykorzystania albo o innym sposobie usunięcia stwierdzonych nieprawidłowości</w:t>
      </w:r>
      <w:r w:rsidRPr="00894EBA">
        <w:rPr>
          <w:rFonts w:ascii="Helvetica" w:hAnsi="Helvetica" w:cs="Helvetica"/>
        </w:rPr>
        <w:t>.</w:t>
      </w:r>
    </w:p>
    <w:p w14:paraId="613912A3" w14:textId="77777777" w:rsidR="00EC7A7D" w:rsidRPr="00894EBA" w:rsidRDefault="00EC7A7D" w:rsidP="00EC7A7D">
      <w:pPr>
        <w:pStyle w:val="akapitwgrupie"/>
        <w:spacing w:before="120"/>
        <w:ind w:firstLine="0"/>
        <w:rPr>
          <w:rFonts w:ascii="Helvetica" w:hAnsi="Helvetica" w:cs="Helvetica"/>
          <w:spacing w:val="-2"/>
        </w:rPr>
      </w:pPr>
      <w:r w:rsidRPr="00894EBA">
        <w:rPr>
          <w:rFonts w:ascii="Helvetica" w:hAnsi="Helvetica" w:cs="Helvetica"/>
          <w:spacing w:val="-2"/>
        </w:rPr>
        <w:t>Informuję, że</w:t>
      </w:r>
      <w:r w:rsidRPr="00894EBA">
        <w:rPr>
          <w:rFonts w:ascii="Helvetica" w:hAnsi="Helvetica" w:cs="Helvetica"/>
          <w:i/>
          <w:spacing w:val="-2"/>
        </w:rPr>
        <w:t xml:space="preserve"> </w:t>
      </w:r>
      <w:r w:rsidRPr="00894EBA">
        <w:rPr>
          <w:rFonts w:ascii="Helvetica" w:hAnsi="Helvetica" w:cs="Helvetica"/>
          <w:spacing w:val="-2"/>
        </w:rPr>
        <w:t xml:space="preserve">od </w:t>
      </w:r>
      <w:r w:rsidRPr="00894EBA">
        <w:rPr>
          <w:rFonts w:ascii="Helvetica" w:hAnsi="Helvetica" w:cs="Helvetica"/>
          <w:i/>
          <w:spacing w:val="-2"/>
        </w:rPr>
        <w:t xml:space="preserve">Wystąpienia </w:t>
      </w:r>
      <w:r w:rsidRPr="00894EBA">
        <w:rPr>
          <w:rFonts w:ascii="Helvetica" w:hAnsi="Helvetica" w:cs="Helvetica"/>
          <w:spacing w:val="-2"/>
        </w:rPr>
        <w:t>nie przysługują środki odwoławcze.</w:t>
      </w:r>
    </w:p>
    <w:p w14:paraId="658CEDAD" w14:textId="77777777" w:rsidR="00EC7A7D" w:rsidRPr="00894EBA" w:rsidRDefault="00EC7A7D" w:rsidP="00EC7A7D">
      <w:pPr>
        <w:pStyle w:val="akapitosobny"/>
        <w:spacing w:line="240" w:lineRule="auto"/>
        <w:rPr>
          <w:rFonts w:ascii="Helvetica" w:hAnsi="Helvetica" w:cs="Helvetica"/>
          <w:sz w:val="18"/>
          <w:szCs w:val="18"/>
          <w:u w:val="single"/>
        </w:rPr>
      </w:pPr>
      <w:r w:rsidRPr="00894EBA">
        <w:rPr>
          <w:rFonts w:ascii="Helvetica" w:hAnsi="Helvetica" w:cs="Helvetica"/>
          <w:sz w:val="18"/>
          <w:szCs w:val="18"/>
          <w:u w:val="single"/>
        </w:rPr>
        <w:t>Podstawa prawna:</w:t>
      </w:r>
    </w:p>
    <w:p w14:paraId="6A86E65A" w14:textId="275EA6C8" w:rsidR="00467E5B" w:rsidRDefault="00EC7A7D" w:rsidP="007E6EB4">
      <w:pPr>
        <w:pStyle w:val="akapitosobny"/>
        <w:spacing w:before="0" w:line="240" w:lineRule="auto"/>
        <w:rPr>
          <w:rFonts w:ascii="Helvetica" w:hAnsi="Helvetica" w:cs="Helvetica"/>
          <w:i/>
          <w:sz w:val="18"/>
          <w:szCs w:val="18"/>
        </w:rPr>
      </w:pPr>
      <w:r w:rsidRPr="00894EBA">
        <w:rPr>
          <w:rFonts w:ascii="Helvetica" w:hAnsi="Helvetica" w:cs="Helvetica"/>
          <w:sz w:val="18"/>
          <w:szCs w:val="18"/>
        </w:rPr>
        <w:t xml:space="preserve">Art. 46 ust. 3, art. 47, 48 i 49 </w:t>
      </w:r>
      <w:r w:rsidR="007E6EB4">
        <w:rPr>
          <w:rFonts w:ascii="Helvetica" w:hAnsi="Helvetica" w:cs="Helvetica"/>
          <w:i/>
          <w:sz w:val="18"/>
          <w:szCs w:val="18"/>
        </w:rPr>
        <w:t>ustawy o kontroli.</w:t>
      </w:r>
    </w:p>
    <w:p w14:paraId="7531018C" w14:textId="59AE41B2" w:rsidR="00DC2195" w:rsidRDefault="00DC2195" w:rsidP="007E6EB4">
      <w:pPr>
        <w:pStyle w:val="akapitosobny"/>
        <w:spacing w:before="0" w:line="240" w:lineRule="auto"/>
        <w:rPr>
          <w:rFonts w:ascii="Helvetica" w:hAnsi="Helvetica" w:cs="Helvetica"/>
          <w:i/>
          <w:sz w:val="18"/>
          <w:szCs w:val="18"/>
        </w:rPr>
      </w:pPr>
    </w:p>
    <w:p w14:paraId="0D1B2A2D" w14:textId="6A510925" w:rsidR="00DC2195" w:rsidRDefault="00DC2195" w:rsidP="007E6EB4">
      <w:pPr>
        <w:pStyle w:val="akapitosobny"/>
        <w:spacing w:before="0" w:line="240" w:lineRule="auto"/>
        <w:rPr>
          <w:rFonts w:ascii="Helvetica" w:hAnsi="Helvetica" w:cs="Helvetica"/>
          <w:i/>
          <w:sz w:val="18"/>
          <w:szCs w:val="18"/>
        </w:rPr>
      </w:pPr>
    </w:p>
    <w:p w14:paraId="41D8CBD9" w14:textId="49C20ED1" w:rsidR="00DC2195" w:rsidRDefault="00DC2195" w:rsidP="007E6EB4">
      <w:pPr>
        <w:pStyle w:val="akapitosobny"/>
        <w:spacing w:before="0" w:line="240" w:lineRule="auto"/>
        <w:rPr>
          <w:rFonts w:ascii="Helvetica" w:hAnsi="Helvetica" w:cs="Helvetica"/>
          <w:i/>
          <w:sz w:val="18"/>
          <w:szCs w:val="18"/>
        </w:rPr>
      </w:pPr>
    </w:p>
    <w:p w14:paraId="34BF3D1F" w14:textId="2E35E148" w:rsidR="00DC2195" w:rsidRPr="00DC2195" w:rsidRDefault="00DC2195" w:rsidP="00DC2195">
      <w:pPr>
        <w:pStyle w:val="akapitosobny"/>
        <w:spacing w:before="0" w:line="240" w:lineRule="auto"/>
        <w:ind w:left="4536"/>
        <w:jc w:val="center"/>
        <w:rPr>
          <w:rFonts w:ascii="Helvetica" w:hAnsi="Helvetica" w:cs="Helvetica"/>
          <w:i/>
          <w:szCs w:val="24"/>
        </w:rPr>
      </w:pPr>
      <w:r w:rsidRPr="00DC2195">
        <w:rPr>
          <w:rFonts w:ascii="Helvetica" w:hAnsi="Helvetica" w:cs="Helvetica"/>
          <w:i/>
          <w:szCs w:val="24"/>
        </w:rPr>
        <w:t>Z poważaniem</w:t>
      </w:r>
    </w:p>
    <w:p w14:paraId="21562B85" w14:textId="2BC4A95C" w:rsidR="00DC2195" w:rsidRPr="00DC2195" w:rsidRDefault="006F4943" w:rsidP="00DC2195">
      <w:pPr>
        <w:pStyle w:val="akapitosobny"/>
        <w:spacing w:line="240" w:lineRule="auto"/>
        <w:ind w:left="4536"/>
        <w:jc w:val="center"/>
        <w:rPr>
          <w:rFonts w:ascii="Helvetica" w:hAnsi="Helvetica" w:cs="Helvetica"/>
          <w:szCs w:val="24"/>
        </w:rPr>
      </w:pPr>
      <w:r>
        <w:rPr>
          <w:rFonts w:ascii="Helvetica" w:hAnsi="Helvetica" w:cs="Helvetica"/>
          <w:szCs w:val="24"/>
        </w:rPr>
        <w:t>Z upoważnienia</w:t>
      </w:r>
      <w:r w:rsidR="00DC2195" w:rsidRPr="00DC2195">
        <w:rPr>
          <w:rFonts w:ascii="Helvetica" w:hAnsi="Helvetica" w:cs="Helvetica"/>
          <w:szCs w:val="24"/>
        </w:rPr>
        <w:t xml:space="preserve"> Ministra Cyfryzacji</w:t>
      </w:r>
    </w:p>
    <w:p w14:paraId="0DD04651" w14:textId="5A2D731D" w:rsidR="00DC2195" w:rsidRPr="006F4943" w:rsidRDefault="00DC2195" w:rsidP="00DC2195">
      <w:pPr>
        <w:pStyle w:val="akapitosobny"/>
        <w:spacing w:line="240" w:lineRule="auto"/>
        <w:ind w:left="4536"/>
        <w:jc w:val="center"/>
        <w:rPr>
          <w:rFonts w:ascii="Helvetica" w:hAnsi="Helvetica" w:cs="Helvetica"/>
          <w:b/>
          <w:szCs w:val="24"/>
        </w:rPr>
      </w:pPr>
      <w:r w:rsidRPr="006F4943">
        <w:rPr>
          <w:rFonts w:ascii="Helvetica" w:hAnsi="Helvetica" w:cs="Helvetica"/>
          <w:b/>
          <w:szCs w:val="24"/>
        </w:rPr>
        <w:t>Janusz Cieszyński</w:t>
      </w:r>
    </w:p>
    <w:p w14:paraId="71AFD60A" w14:textId="7D0294F5" w:rsidR="00DC2195" w:rsidRDefault="00DC2195" w:rsidP="0040798A">
      <w:pPr>
        <w:pStyle w:val="akapitosobny"/>
        <w:spacing w:before="60" w:line="240" w:lineRule="auto"/>
        <w:ind w:left="4536"/>
        <w:jc w:val="center"/>
        <w:rPr>
          <w:rFonts w:ascii="Helvetica" w:hAnsi="Helvetica" w:cs="Helvetica"/>
          <w:szCs w:val="24"/>
        </w:rPr>
      </w:pPr>
      <w:r w:rsidRPr="00DC2195">
        <w:rPr>
          <w:rFonts w:ascii="Helvetica" w:hAnsi="Helvetica" w:cs="Helvetica"/>
          <w:szCs w:val="24"/>
        </w:rPr>
        <w:t>Sekretarz Stanu</w:t>
      </w:r>
    </w:p>
    <w:p w14:paraId="0EEF0600" w14:textId="7FE733DC" w:rsidR="006F4943" w:rsidRPr="00DC2195" w:rsidRDefault="006F4943" w:rsidP="00DC2195">
      <w:pPr>
        <w:pStyle w:val="akapitosobny"/>
        <w:spacing w:before="0" w:line="240" w:lineRule="auto"/>
        <w:ind w:left="4536"/>
        <w:jc w:val="center"/>
        <w:rPr>
          <w:rFonts w:ascii="Helvetica" w:hAnsi="Helvetica" w:cs="Helvetica"/>
          <w:szCs w:val="24"/>
        </w:rPr>
      </w:pPr>
      <w:r>
        <w:rPr>
          <w:rFonts w:ascii="Helvetica" w:hAnsi="Helvetica" w:cs="Helvetica"/>
          <w:szCs w:val="24"/>
        </w:rPr>
        <w:t>w Kancelarii Prezesa Rady Ministrów</w:t>
      </w:r>
    </w:p>
    <w:p w14:paraId="6A054AB0" w14:textId="468D246B" w:rsidR="00DC2195" w:rsidRPr="00DC2195" w:rsidRDefault="00DC2195" w:rsidP="00DC2195">
      <w:pPr>
        <w:pStyle w:val="akapitosobny"/>
        <w:spacing w:before="0" w:line="240" w:lineRule="auto"/>
        <w:ind w:left="4536"/>
        <w:jc w:val="center"/>
        <w:rPr>
          <w:rFonts w:ascii="Helvetica" w:hAnsi="Helvetica" w:cs="Helvetica"/>
          <w:szCs w:val="24"/>
        </w:rPr>
      </w:pPr>
      <w:r w:rsidRPr="00DC2195">
        <w:rPr>
          <w:rFonts w:ascii="Helvetica" w:hAnsi="Helvetica" w:cs="Helvetica"/>
          <w:szCs w:val="24"/>
        </w:rPr>
        <w:t>Pełnomocnik Rządu ds. Cyberbezpieczeństwa</w:t>
      </w:r>
    </w:p>
    <w:p w14:paraId="481B3981" w14:textId="28791CA2" w:rsidR="00DC2195" w:rsidRPr="00DC2195" w:rsidRDefault="00DC2195" w:rsidP="006F4943">
      <w:pPr>
        <w:pStyle w:val="akapitosobny"/>
        <w:spacing w:line="240" w:lineRule="auto"/>
        <w:ind w:left="4536"/>
        <w:jc w:val="center"/>
        <w:rPr>
          <w:rFonts w:ascii="Helvetica" w:hAnsi="Helvetica" w:cs="Helvetica"/>
          <w:i/>
          <w:sz w:val="20"/>
        </w:rPr>
      </w:pPr>
      <w:r w:rsidRPr="00DC2195">
        <w:rPr>
          <w:rFonts w:ascii="Helvetica" w:hAnsi="Helvetica" w:cs="Helvetica"/>
          <w:i/>
          <w:sz w:val="20"/>
        </w:rPr>
        <w:t>/-podpisano kwalifikowanym podpisem elektronicznym-/</w:t>
      </w:r>
    </w:p>
    <w:sectPr w:rsidR="00DC2195" w:rsidRPr="00DC2195" w:rsidSect="00C972ED">
      <w:footerReference w:type="default" r:id="rId10"/>
      <w:headerReference w:type="first" r:id="rId11"/>
      <w:pgSz w:w="11906" w:h="16838" w:code="9"/>
      <w:pgMar w:top="851" w:right="1077" w:bottom="567" w:left="1077" w:header="1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D3D6D8" w14:textId="77777777" w:rsidR="006F4943" w:rsidRDefault="006F4943" w:rsidP="00C37AB1">
      <w:r>
        <w:separator/>
      </w:r>
    </w:p>
  </w:endnote>
  <w:endnote w:type="continuationSeparator" w:id="0">
    <w:p w14:paraId="7383B045" w14:textId="77777777" w:rsidR="006F4943" w:rsidRDefault="006F4943" w:rsidP="00C3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04186" w14:textId="5E059BDA" w:rsidR="006F4943" w:rsidRPr="005A3F1D" w:rsidRDefault="006F4943" w:rsidP="00A4156D">
    <w:pPr>
      <w:pStyle w:val="Stopka"/>
      <w:jc w:val="right"/>
      <w:rPr>
        <w:rFonts w:ascii="Helvetica" w:hAnsi="Helvetica"/>
        <w:b/>
        <w:sz w:val="14"/>
        <w:szCs w:val="14"/>
      </w:rPr>
    </w:pPr>
    <w:r w:rsidRPr="005A3F1D">
      <w:rPr>
        <w:rStyle w:val="Numerstrony"/>
        <w:rFonts w:ascii="Helvetica" w:hAnsi="Helvetica"/>
        <w:b/>
        <w:sz w:val="14"/>
        <w:szCs w:val="14"/>
      </w:rPr>
      <w:t xml:space="preserve">Strona </w:t>
    </w:r>
    <w:r w:rsidRPr="005A3F1D">
      <w:rPr>
        <w:rStyle w:val="Numerstrony"/>
        <w:rFonts w:ascii="Helvetica" w:hAnsi="Helvetica"/>
        <w:b/>
        <w:sz w:val="14"/>
        <w:szCs w:val="14"/>
      </w:rPr>
      <w:fldChar w:fldCharType="begin"/>
    </w:r>
    <w:r w:rsidRPr="005A3F1D">
      <w:rPr>
        <w:rStyle w:val="Numerstrony"/>
        <w:rFonts w:ascii="Helvetica" w:hAnsi="Helvetica"/>
        <w:b/>
        <w:sz w:val="14"/>
        <w:szCs w:val="14"/>
      </w:rPr>
      <w:instrText xml:space="preserve"> PAGE </w:instrText>
    </w:r>
    <w:r w:rsidRPr="005A3F1D">
      <w:rPr>
        <w:rStyle w:val="Numerstrony"/>
        <w:rFonts w:ascii="Helvetica" w:hAnsi="Helvetica"/>
        <w:b/>
        <w:sz w:val="14"/>
        <w:szCs w:val="14"/>
      </w:rPr>
      <w:fldChar w:fldCharType="separate"/>
    </w:r>
    <w:r w:rsidR="00616E31">
      <w:rPr>
        <w:rStyle w:val="Numerstrony"/>
        <w:rFonts w:ascii="Helvetica" w:hAnsi="Helvetica"/>
        <w:b/>
        <w:noProof/>
        <w:sz w:val="14"/>
        <w:szCs w:val="14"/>
      </w:rPr>
      <w:t>21</w:t>
    </w:r>
    <w:r w:rsidRPr="005A3F1D">
      <w:rPr>
        <w:rStyle w:val="Numerstrony"/>
        <w:rFonts w:ascii="Helvetica" w:hAnsi="Helvetica"/>
        <w:b/>
        <w:sz w:val="14"/>
        <w:szCs w:val="14"/>
      </w:rPr>
      <w:fldChar w:fldCharType="end"/>
    </w:r>
    <w:r w:rsidRPr="005A3F1D">
      <w:rPr>
        <w:rStyle w:val="Numerstrony"/>
        <w:rFonts w:ascii="Helvetica" w:hAnsi="Helvetica"/>
        <w:b/>
        <w:sz w:val="14"/>
        <w:szCs w:val="14"/>
      </w:rPr>
      <w:t xml:space="preserve"> z </w:t>
    </w:r>
    <w:r w:rsidRPr="005A3F1D">
      <w:rPr>
        <w:rStyle w:val="Numerstrony"/>
        <w:rFonts w:ascii="Helvetica" w:hAnsi="Helvetica"/>
        <w:b/>
        <w:sz w:val="14"/>
        <w:szCs w:val="14"/>
      </w:rPr>
      <w:fldChar w:fldCharType="begin"/>
    </w:r>
    <w:r w:rsidRPr="005A3F1D">
      <w:rPr>
        <w:rStyle w:val="Numerstrony"/>
        <w:rFonts w:ascii="Helvetica" w:hAnsi="Helvetica"/>
        <w:b/>
        <w:sz w:val="14"/>
        <w:szCs w:val="14"/>
      </w:rPr>
      <w:instrText xml:space="preserve"> NUMPAGES </w:instrText>
    </w:r>
    <w:r w:rsidRPr="005A3F1D">
      <w:rPr>
        <w:rStyle w:val="Numerstrony"/>
        <w:rFonts w:ascii="Helvetica" w:hAnsi="Helvetica"/>
        <w:b/>
        <w:sz w:val="14"/>
        <w:szCs w:val="14"/>
      </w:rPr>
      <w:fldChar w:fldCharType="separate"/>
    </w:r>
    <w:r w:rsidR="00616E31">
      <w:rPr>
        <w:rStyle w:val="Numerstrony"/>
        <w:rFonts w:ascii="Helvetica" w:hAnsi="Helvetica"/>
        <w:b/>
        <w:noProof/>
        <w:sz w:val="14"/>
        <w:szCs w:val="14"/>
      </w:rPr>
      <w:t>27</w:t>
    </w:r>
    <w:r w:rsidRPr="005A3F1D">
      <w:rPr>
        <w:rStyle w:val="Numerstrony"/>
        <w:rFonts w:ascii="Helvetica" w:hAnsi="Helvetica"/>
        <w:b/>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55D8A" w14:textId="77777777" w:rsidR="006F4943" w:rsidRDefault="006F4943" w:rsidP="00C37AB1">
      <w:r>
        <w:separator/>
      </w:r>
    </w:p>
  </w:footnote>
  <w:footnote w:type="continuationSeparator" w:id="0">
    <w:p w14:paraId="1D52332A" w14:textId="77777777" w:rsidR="006F4943" w:rsidRDefault="006F4943" w:rsidP="00C37AB1">
      <w:r>
        <w:continuationSeparator/>
      </w:r>
    </w:p>
  </w:footnote>
  <w:footnote w:id="1">
    <w:p w14:paraId="41D01CB3" w14:textId="77777777" w:rsidR="006F4943" w:rsidRPr="000E5B07" w:rsidRDefault="006F4943" w:rsidP="004D1514">
      <w:pPr>
        <w:pStyle w:val="Tekstprzypisudolnego"/>
        <w:jc w:val="both"/>
        <w:rPr>
          <w:rFonts w:ascii="Helvetica" w:hAnsi="Helvetica" w:cs="Helvetica"/>
          <w:sz w:val="12"/>
          <w:szCs w:val="12"/>
        </w:rPr>
      </w:pPr>
      <w:r w:rsidRPr="000E5B07">
        <w:rPr>
          <w:rStyle w:val="Odwoanieprzypisudolnego"/>
          <w:rFonts w:ascii="Helvetica" w:hAnsi="Helvetica" w:cs="Helvetica"/>
          <w:sz w:val="12"/>
          <w:szCs w:val="12"/>
        </w:rPr>
        <w:footnoteRef/>
      </w:r>
      <w:r w:rsidRPr="000E5B07">
        <w:rPr>
          <w:rFonts w:ascii="Helvetica" w:hAnsi="Helvetica" w:cs="Helvetica"/>
          <w:sz w:val="12"/>
          <w:szCs w:val="12"/>
        </w:rPr>
        <w:t xml:space="preserve"> Kontrolę przeprowadzili pracownicy Kancelarii Prezesa Rady Ministrów:</w:t>
      </w:r>
      <w:r>
        <w:rPr>
          <w:rFonts w:ascii="Helvetica" w:hAnsi="Helvetica" w:cs="Helvetica"/>
          <w:sz w:val="12"/>
          <w:szCs w:val="12"/>
        </w:rPr>
        <w:t xml:space="preserve"> </w:t>
      </w:r>
      <w:r w:rsidRPr="000E5B07">
        <w:rPr>
          <w:rFonts w:ascii="Helvetica" w:hAnsi="Helvetica" w:cs="Helvetica"/>
          <w:sz w:val="12"/>
          <w:szCs w:val="12"/>
        </w:rPr>
        <w:t>Magda Jarosławska, radca, kierownik zespołu kontrolującego,</w:t>
      </w:r>
      <w:r>
        <w:rPr>
          <w:rFonts w:ascii="Helvetica" w:hAnsi="Helvetica" w:cs="Helvetica"/>
          <w:sz w:val="12"/>
          <w:szCs w:val="12"/>
        </w:rPr>
        <w:t xml:space="preserve"> </w:t>
      </w:r>
      <w:r w:rsidRPr="000E5B07">
        <w:rPr>
          <w:rFonts w:ascii="Helvetica" w:hAnsi="Helvetica" w:cs="Helvetica"/>
          <w:sz w:val="12"/>
          <w:szCs w:val="12"/>
        </w:rPr>
        <w:t>Gaweł Lisowski, główny specjalista, członek zespołu kontrolującego.</w:t>
      </w:r>
      <w:r>
        <w:rPr>
          <w:rFonts w:ascii="Helvetica" w:hAnsi="Helvetica" w:cs="Helvetica"/>
          <w:sz w:val="12"/>
          <w:szCs w:val="12"/>
        </w:rPr>
        <w:t xml:space="preserve"> </w:t>
      </w:r>
      <w:r w:rsidRPr="000E5B07">
        <w:rPr>
          <w:rFonts w:ascii="Helvetica" w:hAnsi="Helvetica" w:cs="Helvetica"/>
          <w:sz w:val="12"/>
          <w:szCs w:val="12"/>
        </w:rPr>
        <w:t xml:space="preserve">Czynności kontrolne realizowano w okresie od 27 maja do </w:t>
      </w:r>
      <w:r>
        <w:rPr>
          <w:rFonts w:ascii="Helvetica" w:hAnsi="Helvetica" w:cs="Helvetica"/>
          <w:sz w:val="12"/>
          <w:szCs w:val="12"/>
        </w:rPr>
        <w:t>30</w:t>
      </w:r>
      <w:r w:rsidRPr="000E5B07">
        <w:rPr>
          <w:rFonts w:ascii="Helvetica" w:hAnsi="Helvetica" w:cs="Helvetica"/>
          <w:sz w:val="12"/>
          <w:szCs w:val="12"/>
        </w:rPr>
        <w:t xml:space="preserve"> lipca 2021 r. W związku ze stanem epidemii spowodowanym zakażeniami wirusem SARS-CoV-2 kontrolę prowadzono hybrydowo, tj. część czynności zrealizowano w siedzibie Ministerstwa przy ul. Nowogrodzkiej 1/3/5, 00-513 Warszawa, a część poza nią.</w:t>
      </w:r>
      <w:r>
        <w:rPr>
          <w:rFonts w:ascii="Helvetica" w:hAnsi="Helvetica" w:cs="Helvetica"/>
          <w:sz w:val="12"/>
          <w:szCs w:val="12"/>
        </w:rPr>
        <w:t xml:space="preserve"> </w:t>
      </w:r>
      <w:r w:rsidRPr="000E63C8">
        <w:rPr>
          <w:rFonts w:ascii="Helvetica" w:hAnsi="Helvetica" w:cs="Helvetica"/>
          <w:sz w:val="12"/>
          <w:szCs w:val="12"/>
        </w:rPr>
        <w:t xml:space="preserve">Kontrolerzy spełniają wymagania określone w art. 28 ust. 1 </w:t>
      </w:r>
      <w:r w:rsidRPr="000E63C8">
        <w:rPr>
          <w:rFonts w:ascii="Helvetica" w:hAnsi="Helvetica" w:cs="Helvetica"/>
          <w:i/>
          <w:sz w:val="12"/>
          <w:szCs w:val="12"/>
        </w:rPr>
        <w:t>ustawy o informatyzacji</w:t>
      </w:r>
      <w:r w:rsidRPr="000E63C8">
        <w:rPr>
          <w:rFonts w:ascii="Helvetica" w:hAnsi="Helvetica" w:cs="Helvetica"/>
          <w:sz w:val="12"/>
          <w:szCs w:val="12"/>
        </w:rPr>
        <w:t>, w tym posiadają jeden z certyfikatów wymienionych w załączniku do Rozporządzenia Ministra Spraw Wewnętrznych i</w:t>
      </w:r>
      <w:r>
        <w:rPr>
          <w:rFonts w:ascii="Helvetica" w:hAnsi="Helvetica" w:cs="Helvetica"/>
          <w:sz w:val="12"/>
          <w:szCs w:val="12"/>
        </w:rPr>
        <w:t> </w:t>
      </w:r>
      <w:r w:rsidRPr="000E63C8">
        <w:rPr>
          <w:rFonts w:ascii="Helvetica" w:hAnsi="Helvetica" w:cs="Helvetica"/>
          <w:sz w:val="12"/>
          <w:szCs w:val="12"/>
        </w:rPr>
        <w:t>Administracji z 10 września 2010 r. w sprawie wykazu certyfikatów uprawniających do prowadzenia kontroli projektów informatycznych i systemów teleinformatycznych (Dz. U. Nr 177, poz. 1195).</w:t>
      </w:r>
    </w:p>
  </w:footnote>
  <w:footnote w:id="2">
    <w:p w14:paraId="67E9D6FE" w14:textId="77777777" w:rsidR="006F4943" w:rsidRPr="000E63C8" w:rsidRDefault="006F4943" w:rsidP="004D1514">
      <w:pPr>
        <w:pStyle w:val="przykadosobny0"/>
        <w:spacing w:before="0"/>
        <w:ind w:left="0" w:right="0"/>
        <w:rPr>
          <w:rFonts w:ascii="Helvetica" w:hAnsi="Helvetica"/>
          <w:sz w:val="12"/>
          <w:szCs w:val="12"/>
        </w:rPr>
      </w:pPr>
      <w:r w:rsidRPr="000E63C8">
        <w:rPr>
          <w:rStyle w:val="Odwoanieprzypisudolnego"/>
          <w:rFonts w:ascii="Helvetica" w:hAnsi="Helvetica" w:cs="Courier New"/>
          <w:sz w:val="12"/>
          <w:szCs w:val="12"/>
        </w:rPr>
        <w:footnoteRef/>
      </w:r>
      <w:r w:rsidRPr="000E63C8">
        <w:rPr>
          <w:rFonts w:ascii="Helvetica" w:hAnsi="Helvetica" w:cs="Courier New"/>
          <w:sz w:val="12"/>
          <w:szCs w:val="12"/>
        </w:rPr>
        <w:t xml:space="preserve"> </w:t>
      </w:r>
      <w:proofErr w:type="spellStart"/>
      <w:r w:rsidRPr="000E63C8">
        <w:rPr>
          <w:rFonts w:ascii="Helvetica" w:hAnsi="Helvetica" w:cs="Helvetica"/>
          <w:sz w:val="12"/>
          <w:szCs w:val="12"/>
        </w:rPr>
        <w:t>MRiPS</w:t>
      </w:r>
      <w:proofErr w:type="spellEnd"/>
      <w:r w:rsidRPr="000E63C8">
        <w:rPr>
          <w:rFonts w:ascii="Helvetica" w:hAnsi="Helvetica" w:cs="Helvetica"/>
          <w:sz w:val="12"/>
          <w:szCs w:val="12"/>
        </w:rPr>
        <w:t xml:space="preserve"> powstało 6 października 2020 r. w drodze przekształcenia Ministerstwa Rodziny, Pracy i Polityki Społecznej (na podstawie rozporządzenia Rady Ministrów z dnia 7 października 2020 r. w sprawie utworzenia Ministerstwa Rodziny i Polityki Społecznej (Dz. U. poz. 1735). Do dnia zakończenia czynności kontrolnych w jego skład wchodziło 19 komórek organizacyjnych obsługujących sprawy z działów administracji rządowej </w:t>
      </w:r>
      <w:r w:rsidRPr="000E63C8">
        <w:rPr>
          <w:rFonts w:ascii="Helvetica" w:hAnsi="Helvetica" w:cs="Helvetica"/>
          <w:i/>
          <w:sz w:val="12"/>
          <w:szCs w:val="12"/>
        </w:rPr>
        <w:t>zabezpieczenie społeczne</w:t>
      </w:r>
      <w:r w:rsidRPr="000E63C8">
        <w:rPr>
          <w:rFonts w:ascii="Helvetica" w:hAnsi="Helvetica" w:cs="Helvetica"/>
          <w:sz w:val="12"/>
          <w:szCs w:val="12"/>
        </w:rPr>
        <w:t xml:space="preserve"> oraz </w:t>
      </w:r>
      <w:r w:rsidRPr="000E63C8">
        <w:rPr>
          <w:rFonts w:ascii="Helvetica" w:hAnsi="Helvetica" w:cs="Helvetica"/>
          <w:i/>
          <w:sz w:val="12"/>
          <w:szCs w:val="12"/>
        </w:rPr>
        <w:t>rodzina</w:t>
      </w:r>
      <w:r w:rsidRPr="000E63C8">
        <w:rPr>
          <w:rFonts w:ascii="Helvetica" w:hAnsi="Helvetica" w:cs="Helvetica"/>
          <w:sz w:val="12"/>
          <w:szCs w:val="12"/>
        </w:rPr>
        <w:t>. Na mocy rozporządzenia Rady Ministrów z dnia 12 sierpnia 2021</w:t>
      </w:r>
      <w:r>
        <w:rPr>
          <w:rFonts w:ascii="Helvetica" w:hAnsi="Helvetica" w:cs="Helvetica"/>
          <w:sz w:val="12"/>
          <w:szCs w:val="12"/>
        </w:rPr>
        <w:t xml:space="preserve"> r. w </w:t>
      </w:r>
      <w:r w:rsidRPr="000E63C8">
        <w:rPr>
          <w:rFonts w:ascii="Helvetica" w:hAnsi="Helvetica" w:cs="Helvetica"/>
          <w:sz w:val="12"/>
          <w:szCs w:val="12"/>
        </w:rPr>
        <w:t xml:space="preserve">sprawie przekształcenia Ministerstwa Rodziny i Polityki Społecznej (Dz. U. poz. 1471) dotychczasowy zakres działania Ministerstwa został rozszerzony i objął także dział </w:t>
      </w:r>
      <w:r w:rsidRPr="000E63C8">
        <w:rPr>
          <w:rFonts w:ascii="Helvetica" w:hAnsi="Helvetica" w:cs="Helvetica"/>
          <w:i/>
          <w:sz w:val="12"/>
          <w:szCs w:val="12"/>
        </w:rPr>
        <w:t>praca</w:t>
      </w:r>
      <w:r w:rsidRPr="000E63C8">
        <w:rPr>
          <w:rFonts w:ascii="Helvetica" w:hAnsi="Helvetica" w:cs="Helvetica"/>
          <w:sz w:val="12"/>
          <w:szCs w:val="12"/>
        </w:rPr>
        <w:t>.</w:t>
      </w:r>
    </w:p>
  </w:footnote>
  <w:footnote w:id="3">
    <w:p w14:paraId="10E9B18E"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Z możliwością zasięgania informacji dot. funkcjonowania systemu zarządzania bezpieczeństwem informacji w Ministerstwie Rodziny, Pracy i Polityki Społecznej w latach 2019-2020, jeżeli podjęte działania w tym okresie miały wpływ na funk</w:t>
      </w:r>
      <w:r>
        <w:rPr>
          <w:rFonts w:ascii="Helvetica" w:hAnsi="Helvetica" w:cs="Helvetica"/>
          <w:sz w:val="12"/>
          <w:szCs w:val="12"/>
        </w:rPr>
        <w:t>cjonowanie tego systemu w </w:t>
      </w:r>
      <w:proofErr w:type="spellStart"/>
      <w:r>
        <w:rPr>
          <w:rFonts w:ascii="Helvetica" w:hAnsi="Helvetica" w:cs="Helvetica"/>
          <w:sz w:val="12"/>
          <w:szCs w:val="12"/>
        </w:rPr>
        <w:t>MRiPS</w:t>
      </w:r>
      <w:proofErr w:type="spellEnd"/>
      <w:r>
        <w:rPr>
          <w:rFonts w:ascii="Helvetica" w:hAnsi="Helvetica" w:cs="Helvetica"/>
          <w:sz w:val="12"/>
          <w:szCs w:val="12"/>
        </w:rPr>
        <w:t>.</w:t>
      </w:r>
    </w:p>
  </w:footnote>
  <w:footnote w:id="4">
    <w:p w14:paraId="704D61E9" w14:textId="77777777" w:rsidR="006F4943" w:rsidRPr="000E63C8" w:rsidRDefault="006F4943" w:rsidP="004D1514">
      <w:pPr>
        <w:pStyle w:val="Tekstprzypisudolnego"/>
        <w:jc w:val="both"/>
        <w:rPr>
          <w:rFonts w:ascii="Helvetica" w:hAnsi="Helvetica"/>
          <w:sz w:val="12"/>
          <w:szCs w:val="12"/>
        </w:rPr>
      </w:pPr>
      <w:r w:rsidRPr="000E63C8">
        <w:rPr>
          <w:rStyle w:val="Odwoanieprzypisudolnego"/>
          <w:rFonts w:ascii="Helvetica" w:hAnsi="Helvetica" w:cs="Courier New"/>
          <w:sz w:val="12"/>
          <w:szCs w:val="12"/>
        </w:rPr>
        <w:footnoteRef/>
      </w:r>
      <w:r w:rsidRPr="000E63C8">
        <w:rPr>
          <w:rFonts w:ascii="Helvetica" w:hAnsi="Helvetica" w:cs="Courier New"/>
          <w:sz w:val="12"/>
          <w:szCs w:val="12"/>
        </w:rPr>
        <w:t xml:space="preserve"> </w:t>
      </w:r>
      <w:r w:rsidRPr="000E63C8">
        <w:rPr>
          <w:rFonts w:ascii="Helvetica" w:hAnsi="Helvetica"/>
          <w:sz w:val="12"/>
          <w:szCs w:val="12"/>
        </w:rPr>
        <w:t>Dz. U. z 2021 r., poz. 6</w:t>
      </w:r>
      <w:r w:rsidRPr="006942A6">
        <w:rPr>
          <w:rFonts w:ascii="Helvetica" w:hAnsi="Helvetica" w:cs="Helvetica"/>
          <w:sz w:val="12"/>
          <w:szCs w:val="12"/>
        </w:rPr>
        <w:t>70, t. j. ze zm. W okresie objętym kontrolą obowiązywał tekst jednolity opublikowany w Dz. U. z 2020 r. poz. 346.</w:t>
      </w:r>
    </w:p>
  </w:footnote>
  <w:footnote w:id="5">
    <w:p w14:paraId="63B212DD" w14:textId="77777777" w:rsidR="006F4943" w:rsidRPr="000E63C8" w:rsidRDefault="006F4943" w:rsidP="004D1514">
      <w:pPr>
        <w:pStyle w:val="Tekstprzypisudolnego"/>
        <w:jc w:val="both"/>
        <w:rPr>
          <w:rFonts w:ascii="Helvetica" w:hAnsi="Helvetica"/>
          <w:sz w:val="12"/>
          <w:szCs w:val="12"/>
        </w:rPr>
      </w:pPr>
      <w:r w:rsidRPr="000E63C8">
        <w:rPr>
          <w:rStyle w:val="Odwoanieprzypisudolnego"/>
          <w:rFonts w:ascii="Helvetica" w:hAnsi="Helvetica" w:cs="Courier New"/>
          <w:sz w:val="12"/>
          <w:szCs w:val="12"/>
        </w:rPr>
        <w:footnoteRef/>
      </w:r>
      <w:r w:rsidRPr="000E63C8">
        <w:rPr>
          <w:rFonts w:ascii="Helvetica" w:hAnsi="Helvetica" w:cs="Courier New"/>
          <w:sz w:val="12"/>
          <w:szCs w:val="12"/>
        </w:rPr>
        <w:t xml:space="preserve"> </w:t>
      </w:r>
      <w:r w:rsidRPr="000E63C8">
        <w:rPr>
          <w:rFonts w:ascii="Helvetica" w:hAnsi="Helvetica"/>
          <w:sz w:val="12"/>
          <w:szCs w:val="12"/>
        </w:rPr>
        <w:t>Dz. U</w:t>
      </w:r>
      <w:r w:rsidRPr="006942A6">
        <w:rPr>
          <w:rFonts w:ascii="Helvetica" w:hAnsi="Helvetica" w:cs="Helvetica"/>
          <w:sz w:val="12"/>
          <w:szCs w:val="12"/>
        </w:rPr>
        <w:t>. z 2020 r., poz. 224 t. j.</w:t>
      </w:r>
    </w:p>
  </w:footnote>
  <w:footnote w:id="6">
    <w:p w14:paraId="418AA5CA" w14:textId="77777777" w:rsidR="006F4943" w:rsidRPr="00642364" w:rsidRDefault="006F4943" w:rsidP="004D1514">
      <w:pPr>
        <w:pStyle w:val="Tekstprzypisudolnego"/>
        <w:rPr>
          <w:rFonts w:ascii="Helvetica" w:hAnsi="Helvetica" w:cs="Helvetica"/>
          <w:sz w:val="12"/>
          <w:szCs w:val="12"/>
        </w:rPr>
      </w:pPr>
      <w:r w:rsidRPr="00642364">
        <w:rPr>
          <w:rStyle w:val="Odwoanieprzypisudolnego"/>
          <w:rFonts w:ascii="Helvetica" w:hAnsi="Helvetica" w:cs="Helvetica"/>
          <w:sz w:val="12"/>
          <w:szCs w:val="12"/>
        </w:rPr>
        <w:footnoteRef/>
      </w:r>
      <w:r w:rsidRPr="00642364">
        <w:rPr>
          <w:rFonts w:ascii="Helvetica" w:hAnsi="Helvetica" w:cs="Helvetica"/>
          <w:sz w:val="12"/>
          <w:szCs w:val="12"/>
        </w:rPr>
        <w:t xml:space="preserve"> http://serwis/maximo/ui/login</w:t>
      </w:r>
      <w:r w:rsidRPr="00B64278">
        <w:rPr>
          <w:rStyle w:val="Hipercze"/>
          <w:rFonts w:ascii="Helvetica" w:hAnsi="Helvetica" w:cs="Helvetica"/>
          <w:color w:val="auto"/>
          <w:sz w:val="12"/>
          <w:szCs w:val="12"/>
          <w:u w:val="none"/>
        </w:rPr>
        <w:t>.</w:t>
      </w:r>
    </w:p>
  </w:footnote>
  <w:footnote w:id="7">
    <w:p w14:paraId="7F0719BC" w14:textId="77777777" w:rsidR="006F4943" w:rsidRPr="000E63C8" w:rsidRDefault="006F4943" w:rsidP="004D1514">
      <w:pPr>
        <w:pStyle w:val="Przykad"/>
        <w:spacing w:before="0"/>
        <w:ind w:left="0" w:right="0"/>
        <w:rPr>
          <w:rFonts w:ascii="Helvetica" w:hAnsi="Helvetica" w:cs="Helvetica"/>
          <w:bCs/>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Do Systemu Inwentaryzacji Systemów Teleinformatycznych został zgłoszony także system Adopcja, jednak nie był to system teleinformatyczny, a system dziedzinowy, wewnętrzny dedykowany do obsługi procesu adopcyjnego.</w:t>
      </w:r>
    </w:p>
  </w:footnote>
  <w:footnote w:id="8">
    <w:p w14:paraId="4E733BF4" w14:textId="77777777" w:rsidR="006F4943" w:rsidRPr="000E63C8" w:rsidRDefault="006F4943" w:rsidP="004D1514">
      <w:pPr>
        <w:pStyle w:val="akapitosobny"/>
        <w:spacing w:before="0" w:line="240" w:lineRule="aut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Wybór próby nastąpił metodą doboru celowego, przy uwzględnieniu następujących kryteriów: istotność systemu dla działalności Ministerstwa; nakłady finansowe na system; podmiotowy zakres stosowania; zasięg terytorialny systemu (krajowy, lokalny); liczba użytkowników systemu.</w:t>
      </w:r>
    </w:p>
  </w:footnote>
  <w:footnote w:id="9">
    <w:p w14:paraId="35CFE6D1"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Ustawa z 5 grudnia 2014 r. (Dz. z 2020 r. poz. 1348, t. j. ze zm.).</w:t>
      </w:r>
    </w:p>
  </w:footnote>
  <w:footnote w:id="10">
    <w:p w14:paraId="03D6BE57"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Wprowadzoną zarządzeniem nr 1 Dyrektora Generalnego Ministerstwa Rodziny, Pracy i Polityki Społecznej z dnia 9 stycznia 2020 r. </w:t>
      </w:r>
      <w:r w:rsidRPr="000E63C8">
        <w:rPr>
          <w:rFonts w:ascii="Helvetica" w:hAnsi="Helvetica" w:cs="Helvetica"/>
          <w:i/>
          <w:sz w:val="12"/>
          <w:szCs w:val="12"/>
        </w:rPr>
        <w:t xml:space="preserve">w sprawie wprowadzenia Polityki Bezpieczeństwa Informacji w obszarze IT </w:t>
      </w:r>
      <w:proofErr w:type="spellStart"/>
      <w:r w:rsidRPr="000E63C8">
        <w:rPr>
          <w:rFonts w:ascii="Helvetica" w:hAnsi="Helvetica" w:cs="Helvetica"/>
          <w:i/>
          <w:sz w:val="12"/>
          <w:szCs w:val="12"/>
        </w:rPr>
        <w:t>MRPiPS</w:t>
      </w:r>
      <w:proofErr w:type="spellEnd"/>
      <w:r w:rsidRPr="000E63C8">
        <w:rPr>
          <w:rFonts w:ascii="Helvetica" w:hAnsi="Helvetica" w:cs="Helvetica"/>
          <w:sz w:val="12"/>
          <w:szCs w:val="12"/>
        </w:rPr>
        <w:t>.</w:t>
      </w:r>
    </w:p>
  </w:footnote>
  <w:footnote w:id="11">
    <w:p w14:paraId="6050BDFC" w14:textId="77777777" w:rsidR="006F4943" w:rsidRPr="000E63C8" w:rsidRDefault="006F4943" w:rsidP="004D1514">
      <w:pPr>
        <w:pStyle w:val="Tekstprzypisudolnego"/>
        <w:jc w:val="both"/>
        <w:rPr>
          <w:rFonts w:ascii="Helvetica" w:hAnsi="Helvetica"/>
          <w:sz w:val="12"/>
          <w:szCs w:val="12"/>
        </w:rPr>
      </w:pPr>
      <w:r w:rsidRPr="000E63C8">
        <w:rPr>
          <w:rStyle w:val="Odwoanieprzypisudolnego"/>
          <w:rFonts w:ascii="Helvetica" w:hAnsi="Helvetica" w:cs="Courier New"/>
          <w:sz w:val="12"/>
          <w:szCs w:val="12"/>
        </w:rPr>
        <w:footnoteRef/>
      </w:r>
      <w:r w:rsidRPr="000E63C8">
        <w:rPr>
          <w:rFonts w:ascii="Helvetica" w:hAnsi="Helvetica" w:cs="Courier New"/>
          <w:sz w:val="12"/>
          <w:szCs w:val="12"/>
        </w:rPr>
        <w:t xml:space="preserve"> </w:t>
      </w:r>
      <w:r w:rsidRPr="000E63C8">
        <w:rPr>
          <w:rFonts w:ascii="Helvetica" w:hAnsi="Helvetica"/>
          <w:sz w:val="12"/>
          <w:szCs w:val="12"/>
        </w:rPr>
        <w:t xml:space="preserve">Rozporządzenie Rady Ministrów z dnia 12 kwietnia 2012 r. </w:t>
      </w:r>
      <w:r w:rsidRPr="000E63C8">
        <w:rPr>
          <w:rFonts w:ascii="Helvetica" w:hAnsi="Helvetica"/>
          <w:bCs/>
          <w:sz w:val="12"/>
          <w:szCs w:val="12"/>
        </w:rPr>
        <w:t>w sprawie Krajowych Ram Interoperacyjności, minimalnych wymagań dla rejestrów publicznych i wymiany informacji w postaci elektronicznej oraz minimalnych wymagań dla systemów teleinformatycznych (</w:t>
      </w:r>
      <w:r w:rsidRPr="000E63C8">
        <w:rPr>
          <w:rFonts w:ascii="Helvetica" w:hAnsi="Helvetica"/>
          <w:sz w:val="12"/>
          <w:szCs w:val="12"/>
        </w:rPr>
        <w:t>Dz. U. z 2017 r., poz. 2247 t. j.). Wejście w życie 31 maja 2012 r.</w:t>
      </w:r>
    </w:p>
  </w:footnote>
  <w:footnote w:id="12">
    <w:p w14:paraId="14955719"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Załącznik nr 3 do PBI IT.</w:t>
      </w:r>
    </w:p>
  </w:footnote>
  <w:footnote w:id="13">
    <w:p w14:paraId="403B18CC"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Wyjaśnienia z 1 lipca 2021 r., znak: DI.III.081.5.13.2021.PW.</w:t>
      </w:r>
    </w:p>
  </w:footnote>
  <w:footnote w:id="14">
    <w:p w14:paraId="36332539"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Zgodnie z normą PN-EN ISO/IEC 27001 minimalnymi wymogami w zakresie ustanowienia polityki </w:t>
      </w:r>
      <w:r>
        <w:rPr>
          <w:rFonts w:ascii="Helvetica" w:hAnsi="Helvetica" w:cs="Helvetica"/>
          <w:sz w:val="12"/>
          <w:szCs w:val="12"/>
        </w:rPr>
        <w:t xml:space="preserve">BI </w:t>
      </w:r>
      <w:r w:rsidRPr="000E63C8">
        <w:rPr>
          <w:rFonts w:ascii="Helvetica" w:hAnsi="Helvetica" w:cs="Helvetica"/>
          <w:sz w:val="12"/>
          <w:szCs w:val="12"/>
        </w:rPr>
        <w:t xml:space="preserve">jest wdrożenie takiego dokumentu, który zawiera cele bezpieczeństwa informacji (nie tylko bezpieczeństwa informatycznego) lub tworzy ramy do ustanowienia bezpieczeństwa informacji oraz zawiera zobowiązanie do ciągłego doskonalenia całego </w:t>
      </w:r>
      <w:r w:rsidRPr="000E63C8">
        <w:rPr>
          <w:rFonts w:ascii="Helvetica" w:hAnsi="Helvetica" w:cs="Helvetica"/>
          <w:i/>
          <w:sz w:val="12"/>
          <w:szCs w:val="12"/>
        </w:rPr>
        <w:t>SZBI</w:t>
      </w:r>
      <w:r w:rsidRPr="000E63C8">
        <w:rPr>
          <w:rFonts w:ascii="Helvetica" w:hAnsi="Helvetica" w:cs="Helvetica"/>
          <w:sz w:val="12"/>
          <w:szCs w:val="12"/>
        </w:rPr>
        <w:t>.</w:t>
      </w:r>
    </w:p>
  </w:footnote>
  <w:footnote w:id="15">
    <w:p w14:paraId="6327D0C0"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10 czerwca 2021 r., znak: BKA-II.081.23.10.2021.IK.</w:t>
      </w:r>
    </w:p>
  </w:footnote>
  <w:footnote w:id="16">
    <w:p w14:paraId="098035D0"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Wyjaśnienia z 11 sierpnia 2021 r., znak: BKA-II.081.23.29.2021.IK.</w:t>
      </w:r>
    </w:p>
  </w:footnote>
  <w:footnote w:id="17">
    <w:p w14:paraId="169D1ACC"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10 czerwca 2021 r., znak: BKA-II.081.23.5.2021.IK.</w:t>
      </w:r>
    </w:p>
  </w:footnote>
  <w:footnote w:id="18">
    <w:p w14:paraId="2419BA5C" w14:textId="77777777" w:rsidR="006F4943" w:rsidRPr="000E63C8" w:rsidRDefault="006F4943" w:rsidP="004D1514">
      <w:pPr>
        <w:pStyle w:val="Tekstprzypisudolnego"/>
        <w:rPr>
          <w:rFonts w:ascii="Helvetica" w:hAnsi="Helvetica" w:cs="Helvetica"/>
          <w:i/>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t>
      </w:r>
      <w:r w:rsidRPr="000E63C8">
        <w:rPr>
          <w:rFonts w:ascii="Helvetica" w:hAnsi="Helvetica" w:cs="Helvetica"/>
          <w:i/>
          <w:sz w:val="12"/>
          <w:szCs w:val="12"/>
        </w:rPr>
        <w:t xml:space="preserve">Wzór wniosku o dostęp do zasobów informatycznych </w:t>
      </w:r>
      <w:proofErr w:type="spellStart"/>
      <w:r w:rsidRPr="000E63C8">
        <w:rPr>
          <w:rFonts w:ascii="Helvetica" w:hAnsi="Helvetica" w:cs="Helvetica"/>
          <w:i/>
          <w:sz w:val="12"/>
          <w:szCs w:val="12"/>
        </w:rPr>
        <w:t>MRPiPS</w:t>
      </w:r>
      <w:proofErr w:type="spellEnd"/>
      <w:r w:rsidRPr="000E63C8">
        <w:rPr>
          <w:rFonts w:ascii="Helvetica" w:hAnsi="Helvetica" w:cs="Helvetica"/>
          <w:i/>
          <w:sz w:val="12"/>
          <w:szCs w:val="12"/>
        </w:rPr>
        <w:t>.</w:t>
      </w:r>
    </w:p>
  </w:footnote>
  <w:footnote w:id="19">
    <w:p w14:paraId="0A0F2262"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Aktualnie Ministerstwo Rozwoju i Technologii.</w:t>
      </w:r>
    </w:p>
  </w:footnote>
  <w:footnote w:id="20">
    <w:p w14:paraId="01A6BD9B"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t>
      </w:r>
      <w:r w:rsidRPr="000E63C8">
        <w:rPr>
          <w:rFonts w:ascii="Helvetica" w:hAnsi="Helvetica" w:cs="Helvetica"/>
          <w:i/>
          <w:sz w:val="12"/>
          <w:szCs w:val="12"/>
        </w:rPr>
        <w:t>Postępowanie w przypadku wyłączenia zasilania</w:t>
      </w:r>
      <w:r w:rsidRPr="000E63C8">
        <w:rPr>
          <w:rFonts w:ascii="Helvetica" w:hAnsi="Helvetica" w:cs="Helvetica"/>
          <w:sz w:val="12"/>
          <w:szCs w:val="12"/>
        </w:rPr>
        <w:t>.</w:t>
      </w:r>
    </w:p>
  </w:footnote>
  <w:footnote w:id="21">
    <w:p w14:paraId="74C49907"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10 czerwca 2021 r., znak: BKA-II.081.23.5.2021.IK.</w:t>
      </w:r>
    </w:p>
  </w:footnote>
  <w:footnote w:id="22">
    <w:p w14:paraId="352FAAD0"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t>
      </w:r>
      <w:r w:rsidRPr="000E63C8">
        <w:rPr>
          <w:rFonts w:ascii="Helvetica" w:hAnsi="Helvetica" w:cs="Helvetica"/>
          <w:i/>
          <w:sz w:val="12"/>
          <w:szCs w:val="12"/>
        </w:rPr>
        <w:t xml:space="preserve">Funkcjonowanie środowiska testowego w </w:t>
      </w:r>
      <w:proofErr w:type="spellStart"/>
      <w:r w:rsidRPr="000E63C8">
        <w:rPr>
          <w:rFonts w:ascii="Helvetica" w:hAnsi="Helvetica" w:cs="Helvetica"/>
          <w:i/>
          <w:sz w:val="12"/>
          <w:szCs w:val="12"/>
        </w:rPr>
        <w:t>MRPiPS</w:t>
      </w:r>
      <w:proofErr w:type="spellEnd"/>
      <w:r w:rsidRPr="000E63C8">
        <w:rPr>
          <w:rFonts w:ascii="Helvetica" w:hAnsi="Helvetica" w:cs="Helvetica"/>
          <w:i/>
          <w:sz w:val="12"/>
          <w:szCs w:val="12"/>
        </w:rPr>
        <w:t>.</w:t>
      </w:r>
    </w:p>
  </w:footnote>
  <w:footnote w:id="23">
    <w:p w14:paraId="00B8C9F4"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Wyjaśnienia z 10 czerwca 2021 r., znak: BKA-II.081.23.5.2021.IK.</w:t>
      </w:r>
    </w:p>
  </w:footnote>
  <w:footnote w:id="24">
    <w:p w14:paraId="4C2847B1"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Zarządzeniem nr 11 Dyrektora Generalnego z dnia 18 listopada 2019 r. w sprawie zniesienia Komitetu Sterującego Bezpieczeństwem Informacji w obszarze IT.</w:t>
      </w:r>
    </w:p>
  </w:footnote>
  <w:footnote w:id="25">
    <w:p w14:paraId="40533807"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Załącznik nr 5 do PBI IT.</w:t>
      </w:r>
    </w:p>
  </w:footnote>
  <w:footnote w:id="26">
    <w:p w14:paraId="53994AF8"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 7 ust. 6 części II załącznika nr 1 do PBI IT.</w:t>
      </w:r>
    </w:p>
  </w:footnote>
  <w:footnote w:id="27">
    <w:p w14:paraId="3ADDF18C"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Zgodnie z </w:t>
      </w:r>
      <w:r w:rsidRPr="000E63C8">
        <w:rPr>
          <w:rFonts w:ascii="Helvetica" w:hAnsi="Helvetica" w:cs="Helvetica"/>
          <w:i/>
          <w:sz w:val="12"/>
          <w:szCs w:val="12"/>
        </w:rPr>
        <w:t xml:space="preserve">Wykazem serwerowni i punktów dystrybucyjnych w </w:t>
      </w:r>
      <w:proofErr w:type="spellStart"/>
      <w:r w:rsidRPr="000E63C8">
        <w:rPr>
          <w:rFonts w:ascii="Helvetica" w:hAnsi="Helvetica" w:cs="Helvetica"/>
          <w:i/>
          <w:sz w:val="12"/>
          <w:szCs w:val="12"/>
        </w:rPr>
        <w:t>MRiPS</w:t>
      </w:r>
      <w:proofErr w:type="spellEnd"/>
      <w:r w:rsidRPr="000E63C8">
        <w:rPr>
          <w:rFonts w:ascii="Helvetica" w:hAnsi="Helvetica" w:cs="Helvetica"/>
          <w:sz w:val="12"/>
          <w:szCs w:val="12"/>
        </w:rPr>
        <w:t>.</w:t>
      </w:r>
    </w:p>
  </w:footnote>
  <w:footnote w:id="28">
    <w:p w14:paraId="6F885F73"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Wyjaśnienia z 3 sierpnia 2021 r., znak: BKA-II.081.23.25.2021.IK.</w:t>
      </w:r>
    </w:p>
  </w:footnote>
  <w:footnote w:id="29">
    <w:p w14:paraId="5DC2A594"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Rozporządzenie Parlamentu Europejskiego i Rady (UE) 2016/679 z dnia 27 kwietnia 2016 r. w sprawie ochrony osób fizycznych w związku z przetwarzaniem danych osobowych i</w:t>
      </w:r>
      <w:r>
        <w:rPr>
          <w:rFonts w:ascii="Helvetica" w:hAnsi="Helvetica" w:cs="Helvetica"/>
          <w:sz w:val="12"/>
          <w:szCs w:val="12"/>
        </w:rPr>
        <w:t> </w:t>
      </w:r>
      <w:r w:rsidRPr="000E63C8">
        <w:rPr>
          <w:rFonts w:ascii="Helvetica" w:hAnsi="Helvetica" w:cs="Helvetica"/>
          <w:sz w:val="12"/>
          <w:szCs w:val="12"/>
        </w:rPr>
        <w:t>w</w:t>
      </w:r>
      <w:r>
        <w:rPr>
          <w:rFonts w:ascii="Helvetica" w:hAnsi="Helvetica" w:cs="Helvetica"/>
          <w:sz w:val="12"/>
          <w:szCs w:val="12"/>
        </w:rPr>
        <w:t> </w:t>
      </w:r>
      <w:r w:rsidRPr="000E63C8">
        <w:rPr>
          <w:rFonts w:ascii="Helvetica" w:hAnsi="Helvetica" w:cs="Helvetica"/>
          <w:sz w:val="12"/>
          <w:szCs w:val="12"/>
        </w:rPr>
        <w:t xml:space="preserve">sprawie swobodnego przepływu takich danych oraz uchylenia dyrektywy 95/46/W (Dz. Urz. UE.L nr 199, str. 1, ze </w:t>
      </w:r>
      <w:proofErr w:type="spellStart"/>
      <w:r w:rsidRPr="000E63C8">
        <w:rPr>
          <w:rFonts w:ascii="Helvetica" w:hAnsi="Helvetica" w:cs="Helvetica"/>
          <w:sz w:val="12"/>
          <w:szCs w:val="12"/>
        </w:rPr>
        <w:t>sprost</w:t>
      </w:r>
      <w:proofErr w:type="spellEnd"/>
      <w:r w:rsidRPr="000E63C8">
        <w:rPr>
          <w:rFonts w:ascii="Helvetica" w:hAnsi="Helvetica" w:cs="Helvetica"/>
          <w:sz w:val="12"/>
          <w:szCs w:val="12"/>
        </w:rPr>
        <w:t>.).</w:t>
      </w:r>
    </w:p>
  </w:footnote>
  <w:footnote w:id="30">
    <w:p w14:paraId="0F5700B3"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27 lipca 2021 r., znak: BKA-II.081.23.20.2021.IK.</w:t>
      </w:r>
    </w:p>
  </w:footnote>
  <w:footnote w:id="31">
    <w:p w14:paraId="17C29604"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Załącznik nr 21 do PBI IT.</w:t>
      </w:r>
    </w:p>
  </w:footnote>
  <w:footnote w:id="32">
    <w:p w14:paraId="1F01D9C4"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Pkt. A.8.2 załącznika A normy.</w:t>
      </w:r>
    </w:p>
  </w:footnote>
  <w:footnote w:id="33">
    <w:p w14:paraId="250C0487"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27 lipca 2021 r., znak: BKA-II.081.23.20.2021.IK.</w:t>
      </w:r>
    </w:p>
  </w:footnote>
  <w:footnote w:id="34">
    <w:p w14:paraId="59167E17"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Pisma z 10 czerwca 2021 r., znak: BKA-II.081.23.5.2021.IK.</w:t>
      </w:r>
    </w:p>
  </w:footnote>
  <w:footnote w:id="35">
    <w:p w14:paraId="4EF02A65"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11 sierpnia 2021 r., znak: BKA-II.081.23.29.2021.IK.</w:t>
      </w:r>
    </w:p>
  </w:footnote>
  <w:footnote w:id="36">
    <w:p w14:paraId="6E975010" w14:textId="77777777" w:rsidR="006F4943" w:rsidRPr="000E63C8" w:rsidRDefault="006F4943" w:rsidP="004D1514">
      <w:pPr>
        <w:pStyle w:val="Nagwek"/>
        <w:jc w:val="both"/>
        <w:rPr>
          <w:b/>
          <w:sz w:val="12"/>
          <w:szCs w:val="12"/>
        </w:rPr>
      </w:pPr>
      <w:r w:rsidRPr="000E63C8">
        <w:rPr>
          <w:rStyle w:val="Odwoanieprzypisudolnego"/>
          <w:rFonts w:ascii="Helvetica" w:hAnsi="Helvetica" w:cs="Courier New"/>
          <w:sz w:val="12"/>
          <w:szCs w:val="12"/>
        </w:rPr>
        <w:footnoteRef/>
      </w:r>
      <w:r w:rsidRPr="000E63C8">
        <w:rPr>
          <w:rFonts w:ascii="Helvetica" w:hAnsi="Helvetica" w:cs="Courier New"/>
          <w:sz w:val="12"/>
          <w:szCs w:val="12"/>
        </w:rPr>
        <w:t xml:space="preserve"> </w:t>
      </w:r>
      <w:r w:rsidRPr="000E63C8">
        <w:rPr>
          <w:rFonts w:ascii="Helvetica" w:hAnsi="Helvetica"/>
          <w:sz w:val="12"/>
          <w:szCs w:val="12"/>
        </w:rPr>
        <w:t xml:space="preserve">Pismo z 5 sierpnia 2019 r., znak: COA.WK.588.1.2019.MF, </w:t>
      </w:r>
      <w:r w:rsidRPr="000E63C8">
        <w:rPr>
          <w:rFonts w:ascii="Helvetica" w:hAnsi="Helvetica"/>
          <w:i/>
          <w:sz w:val="12"/>
          <w:szCs w:val="12"/>
        </w:rPr>
        <w:t>Informacja o najważniejszych i najczęściej powtarzających się nieprawidłowościach stwierdzonych w wyniku kontroli przeprowadzonych przez KPRM w zakresie wykorzystania systemów teleinformatycznych do realizacji zadań publicznych.</w:t>
      </w:r>
    </w:p>
  </w:footnote>
  <w:footnote w:id="37">
    <w:p w14:paraId="3DE75AD1"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Wyjaśnienia z 11 sierpnia 2021 r., znak: BKA-II.081.23.29.2021.IK.</w:t>
      </w:r>
    </w:p>
  </w:footnote>
  <w:footnote w:id="38">
    <w:p w14:paraId="6F93D811"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Wyjaśnienia z 15 czerwca 2021 r., znak: BKA-II.081.23.7.2021.IK.</w:t>
      </w:r>
    </w:p>
  </w:footnote>
  <w:footnote w:id="39">
    <w:p w14:paraId="15D503B5" w14:textId="77777777" w:rsidR="006F4943" w:rsidRPr="000E63C8" w:rsidRDefault="006F4943" w:rsidP="004D1514">
      <w:pPr>
        <w:pStyle w:val="Tekstprzypisudolnego"/>
        <w:rPr>
          <w:rFonts w:ascii="Helvetica" w:hAnsi="Helvetica" w:cs="Helvetica"/>
          <w:sz w:val="12"/>
          <w:szCs w:val="12"/>
        </w:rPr>
      </w:pPr>
      <w:r w:rsidRPr="00D20EF5">
        <w:rPr>
          <w:rStyle w:val="Odwoanieprzypisudolnego"/>
          <w:rFonts w:ascii="Helvetica" w:hAnsi="Helvetica" w:cs="Helvetica"/>
          <w:sz w:val="12"/>
          <w:szCs w:val="12"/>
        </w:rPr>
        <w:footnoteRef/>
      </w:r>
      <w:r w:rsidRPr="00D20EF5">
        <w:rPr>
          <w:rFonts w:ascii="Helvetica" w:hAnsi="Helvetica" w:cs="Helvetica"/>
          <w:sz w:val="12"/>
          <w:szCs w:val="12"/>
        </w:rPr>
        <w:t xml:space="preserve"> Prace rozpoczęły się w czerwcu.</w:t>
      </w:r>
    </w:p>
  </w:footnote>
  <w:footnote w:id="40">
    <w:p w14:paraId="27FBF03A"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Zarządzenie nr 10 Ministra Rodziny i Polityki Społecznej z dnia 10 marca 2021 r. w sprawie kontroli zarządczej w </w:t>
      </w:r>
      <w:proofErr w:type="spellStart"/>
      <w:r w:rsidRPr="000E63C8">
        <w:rPr>
          <w:rFonts w:ascii="Helvetica" w:hAnsi="Helvetica" w:cs="Helvetica"/>
          <w:sz w:val="12"/>
          <w:szCs w:val="12"/>
        </w:rPr>
        <w:t>MRiPS</w:t>
      </w:r>
      <w:proofErr w:type="spellEnd"/>
      <w:r w:rsidRPr="000E63C8">
        <w:rPr>
          <w:rFonts w:ascii="Helvetica" w:hAnsi="Helvetica" w:cs="Helvetica"/>
          <w:sz w:val="12"/>
          <w:szCs w:val="12"/>
        </w:rPr>
        <w:t xml:space="preserve"> oraz obowiązków jednostek podległych i nadzorowanych w</w:t>
      </w:r>
      <w:r>
        <w:rPr>
          <w:rFonts w:ascii="Helvetica" w:hAnsi="Helvetica" w:cs="Helvetica"/>
          <w:sz w:val="12"/>
          <w:szCs w:val="12"/>
        </w:rPr>
        <w:t> </w:t>
      </w:r>
      <w:r w:rsidRPr="000E63C8">
        <w:rPr>
          <w:rFonts w:ascii="Helvetica" w:hAnsi="Helvetica" w:cs="Helvetica"/>
          <w:sz w:val="12"/>
          <w:szCs w:val="12"/>
        </w:rPr>
        <w:t>ramach kontroli zarządczej.</w:t>
      </w:r>
    </w:p>
  </w:footnote>
  <w:footnote w:id="41">
    <w:p w14:paraId="073BA0C3"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color w:val="FF0000"/>
          <w:sz w:val="12"/>
          <w:szCs w:val="12"/>
        </w:rPr>
        <w:t xml:space="preserve"> </w:t>
      </w:r>
      <w:r w:rsidRPr="000E63C8">
        <w:rPr>
          <w:rFonts w:ascii="Helvetica" w:hAnsi="Helvetica" w:cs="Helvetica"/>
          <w:sz w:val="12"/>
          <w:szCs w:val="12"/>
        </w:rPr>
        <w:t>Przy czym oceny zidentyfikowanego ryzyka w obszarze danych osobowych również dokonuje się pod względem wpływu na realizację celów i zadań z uwzględnieniem kryteriów wskazanych w zarządzeniu.</w:t>
      </w:r>
    </w:p>
  </w:footnote>
  <w:footnote w:id="42">
    <w:p w14:paraId="15931B74"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CSIZS, </w:t>
      </w:r>
      <w:proofErr w:type="spellStart"/>
      <w:r w:rsidRPr="000E63C8">
        <w:rPr>
          <w:rFonts w:ascii="Helvetica" w:hAnsi="Helvetica" w:cs="Helvetica"/>
          <w:sz w:val="12"/>
          <w:szCs w:val="12"/>
        </w:rPr>
        <w:t>EKSMOoN</w:t>
      </w:r>
      <w:proofErr w:type="spellEnd"/>
      <w:r w:rsidRPr="000E63C8">
        <w:rPr>
          <w:rFonts w:ascii="Helvetica" w:hAnsi="Helvetica" w:cs="Helvetica"/>
          <w:sz w:val="12"/>
          <w:szCs w:val="12"/>
        </w:rPr>
        <w:t xml:space="preserve">, PIU </w:t>
      </w:r>
      <w:proofErr w:type="spellStart"/>
      <w:r w:rsidRPr="000E63C8">
        <w:rPr>
          <w:rFonts w:ascii="Helvetica" w:hAnsi="Helvetica" w:cs="Helvetica"/>
          <w:sz w:val="12"/>
          <w:szCs w:val="12"/>
        </w:rPr>
        <w:t>Emp@tia</w:t>
      </w:r>
      <w:proofErr w:type="spellEnd"/>
      <w:r w:rsidRPr="000E63C8">
        <w:rPr>
          <w:rFonts w:ascii="Helvetica" w:hAnsi="Helvetica" w:cs="Helvetica"/>
          <w:sz w:val="12"/>
          <w:szCs w:val="12"/>
        </w:rPr>
        <w:t>, Rejestr Żłobków, SI KDR, RJPS.</w:t>
      </w:r>
    </w:p>
  </w:footnote>
  <w:footnote w:id="43">
    <w:p w14:paraId="4790F6F9"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9 lipca 2021 r., znak: BKA-II.081.23.14.2021.IK.</w:t>
      </w:r>
    </w:p>
  </w:footnote>
  <w:footnote w:id="44">
    <w:p w14:paraId="1F5F9363"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Metodyka oraz przeprowadzona na jej po</w:t>
      </w:r>
      <w:r>
        <w:rPr>
          <w:rFonts w:ascii="Helvetica" w:hAnsi="Helvetica" w:cs="Helvetica"/>
          <w:sz w:val="12"/>
          <w:szCs w:val="12"/>
        </w:rPr>
        <w:t>d</w:t>
      </w:r>
      <w:r w:rsidRPr="000E63C8">
        <w:rPr>
          <w:rFonts w:ascii="Helvetica" w:hAnsi="Helvetica" w:cs="Helvetica"/>
          <w:sz w:val="12"/>
          <w:szCs w:val="12"/>
        </w:rPr>
        <w:t>stawie analiza ryzyka stanowiły załącznik nr 25 do PBI IT.</w:t>
      </w:r>
    </w:p>
  </w:footnote>
  <w:footnote w:id="45">
    <w:p w14:paraId="30A60A24" w14:textId="77777777" w:rsidR="006F4943" w:rsidRPr="000E63C8" w:rsidRDefault="006F4943" w:rsidP="004D1514">
      <w:pPr>
        <w:pStyle w:val="Tekstprzypisudolnego"/>
        <w:jc w:val="both"/>
        <w:rPr>
          <w:sz w:val="12"/>
          <w:szCs w:val="12"/>
        </w:rPr>
      </w:pPr>
      <w:r w:rsidRPr="000E63C8">
        <w:rPr>
          <w:rStyle w:val="Odwoanieprzypisudolnego"/>
          <w:rFonts w:ascii="Helvetica" w:hAnsi="Helvetica" w:cs="Helvetica"/>
          <w:sz w:val="12"/>
          <w:szCs w:val="12"/>
        </w:rPr>
        <w:footnoteRef/>
      </w:r>
      <w:r w:rsidRPr="000E63C8">
        <w:rPr>
          <w:sz w:val="12"/>
          <w:szCs w:val="12"/>
        </w:rPr>
        <w:t xml:space="preserve"> </w:t>
      </w:r>
      <w:r w:rsidRPr="000E63C8">
        <w:rPr>
          <w:rFonts w:ascii="Helvetica" w:hAnsi="Helvetica" w:cs="Helvetica"/>
          <w:i/>
          <w:sz w:val="12"/>
          <w:szCs w:val="12"/>
        </w:rPr>
        <w:t>Sprawozdanie z przeprowadzenia czynności eksperckich</w:t>
      </w:r>
      <w:r w:rsidRPr="000E63C8">
        <w:rPr>
          <w:rFonts w:ascii="Helvetica" w:hAnsi="Helvetica" w:cs="Helvetica"/>
          <w:sz w:val="12"/>
          <w:szCs w:val="12"/>
        </w:rPr>
        <w:t xml:space="preserve"> z 2 grudnia 2020 r., sporządzone przez firmę Grant Thornton Sp. z o.o. Sp. k.</w:t>
      </w:r>
    </w:p>
  </w:footnote>
  <w:footnote w:id="46">
    <w:p w14:paraId="6CDFE45D" w14:textId="77777777" w:rsidR="006F4943" w:rsidRPr="000E63C8" w:rsidRDefault="006F4943" w:rsidP="004D1514">
      <w:pPr>
        <w:pStyle w:val="Tekstprzypisudolnego"/>
        <w:rPr>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Próby wykrycia usług sieciowych/urządzeń sieciowych dostępnych z poziomu Internetu.</w:t>
      </w:r>
    </w:p>
  </w:footnote>
  <w:footnote w:id="47">
    <w:p w14:paraId="6448A318"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M.in. przeglądów </w:t>
      </w:r>
      <w:r w:rsidRPr="000E63C8">
        <w:rPr>
          <w:rFonts w:ascii="Helvetica" w:hAnsi="Helvetica" w:cs="Helvetica"/>
          <w:i/>
          <w:sz w:val="12"/>
          <w:szCs w:val="12"/>
        </w:rPr>
        <w:t>SZBI</w:t>
      </w:r>
      <w:r w:rsidRPr="000E63C8">
        <w:rPr>
          <w:rFonts w:ascii="Helvetica" w:hAnsi="Helvetica" w:cs="Helvetica"/>
          <w:sz w:val="12"/>
          <w:szCs w:val="12"/>
        </w:rPr>
        <w:t>, analizy ryzyka, posiadania aktualnych informacji w zakresie sprzętu i oprogramowania, zarządzania uprawnieniami, organizacji szkoleń, pracy na odległość, umów w zakresie serwisu i rozwoju systemów informatycznych /teleinformatycznych, zarządzania incydentami, tworzenia i testowania kopii zapasowych, projektowania, wdrażania, wprowadzania zmian systemów teleinformatycznych, zabezpieczeń organizacyjno-technicznych dostępu do informacji, rozliczalności działań użytkowników, tworzenia planów ciągłości działania oraz realizacji usług elektronicznych.</w:t>
      </w:r>
    </w:p>
  </w:footnote>
  <w:footnote w:id="48">
    <w:p w14:paraId="51A5AB5B" w14:textId="77777777" w:rsidR="006F4943" w:rsidRPr="000E63C8" w:rsidRDefault="006F4943" w:rsidP="004D1514">
      <w:pPr>
        <w:pStyle w:val="Tekstprzypisudolnego"/>
        <w:jc w:val="both"/>
        <w:rPr>
          <w:rFonts w:ascii="Helvetica" w:hAnsi="Helvetica"/>
          <w:sz w:val="12"/>
          <w:szCs w:val="12"/>
        </w:rPr>
      </w:pPr>
      <w:r w:rsidRPr="000E63C8">
        <w:rPr>
          <w:rStyle w:val="Odwoanieprzypisudolnego"/>
          <w:rFonts w:ascii="Helvetica" w:hAnsi="Helvetica" w:cs="Courier New"/>
          <w:sz w:val="12"/>
          <w:szCs w:val="12"/>
        </w:rPr>
        <w:footnoteRef/>
      </w:r>
      <w:r w:rsidRPr="000E63C8">
        <w:rPr>
          <w:rFonts w:ascii="Helvetica" w:hAnsi="Helvetica" w:cs="Courier New"/>
          <w:sz w:val="12"/>
          <w:szCs w:val="12"/>
        </w:rPr>
        <w:t xml:space="preserve"> </w:t>
      </w:r>
      <w:r>
        <w:rPr>
          <w:rFonts w:ascii="Helvetica" w:hAnsi="Helvetica" w:cs="Courier New"/>
          <w:sz w:val="12"/>
          <w:szCs w:val="12"/>
        </w:rPr>
        <w:t>Wyjaśnienia z 6 lipca 2021 r., znak; BKA-II.081.23.10.2021.IK.</w:t>
      </w:r>
    </w:p>
  </w:footnote>
  <w:footnote w:id="49">
    <w:p w14:paraId="5BABA184"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Wspólne stanowisko </w:t>
      </w:r>
      <w:r>
        <w:rPr>
          <w:rFonts w:ascii="Helvetica" w:hAnsi="Helvetica" w:cs="Helvetica"/>
          <w:sz w:val="12"/>
          <w:szCs w:val="12"/>
        </w:rPr>
        <w:t>D</w:t>
      </w:r>
      <w:r w:rsidRPr="000E63C8">
        <w:rPr>
          <w:rFonts w:ascii="Helvetica" w:hAnsi="Helvetica" w:cs="Helvetica"/>
          <w:sz w:val="12"/>
          <w:szCs w:val="12"/>
        </w:rPr>
        <w:t xml:space="preserve">epartamentu Informatyki </w:t>
      </w:r>
      <w:proofErr w:type="spellStart"/>
      <w:r w:rsidRPr="000E63C8">
        <w:rPr>
          <w:rFonts w:ascii="Helvetica" w:hAnsi="Helvetica" w:cs="Helvetica"/>
          <w:sz w:val="12"/>
          <w:szCs w:val="12"/>
        </w:rPr>
        <w:t>MAiC</w:t>
      </w:r>
      <w:proofErr w:type="spellEnd"/>
      <w:r w:rsidRPr="000E63C8">
        <w:rPr>
          <w:rFonts w:ascii="Helvetica" w:hAnsi="Helvetica" w:cs="Helvetica"/>
          <w:sz w:val="12"/>
          <w:szCs w:val="12"/>
        </w:rPr>
        <w:t xml:space="preserve"> oraz Departamentu Audytu Sektora Finansów Publicznych MF, opublikowane pod adresem: https://mf-arch2.mf.gov.pl/web/bip/ministerstwo-finansow.</w:t>
      </w:r>
    </w:p>
  </w:footnote>
  <w:footnote w:id="50">
    <w:p w14:paraId="62602E86" w14:textId="77777777" w:rsidR="006F4943" w:rsidRPr="00CA6317" w:rsidRDefault="006F4943" w:rsidP="004D1514">
      <w:pPr>
        <w:pStyle w:val="Tekstprzypisudolnego"/>
        <w:rPr>
          <w:rFonts w:ascii="Helvetica" w:hAnsi="Helvetica" w:cs="Helvetica"/>
          <w:sz w:val="12"/>
          <w:szCs w:val="12"/>
        </w:rPr>
      </w:pPr>
      <w:r w:rsidRPr="00CA6317">
        <w:rPr>
          <w:rStyle w:val="Odwoanieprzypisudolnego"/>
          <w:rFonts w:ascii="Helvetica" w:hAnsi="Helvetica" w:cs="Helvetica"/>
          <w:sz w:val="12"/>
          <w:szCs w:val="12"/>
        </w:rPr>
        <w:footnoteRef/>
      </w:r>
      <w:r w:rsidRPr="00CA6317">
        <w:rPr>
          <w:rFonts w:ascii="Helvetica" w:hAnsi="Helvetica" w:cs="Helvetica"/>
          <w:sz w:val="12"/>
          <w:szCs w:val="12"/>
        </w:rPr>
        <w:t xml:space="preserve"> Badanie bezpieczeństwa infrastruktury IT z wykorzystaniem specjalistycznego narzędzia do badania podatności.</w:t>
      </w:r>
    </w:p>
  </w:footnote>
  <w:footnote w:id="51">
    <w:p w14:paraId="1EE5C843"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Dot. </w:t>
      </w:r>
      <w:r w:rsidRPr="000E63C8">
        <w:rPr>
          <w:rFonts w:ascii="Helvetica" w:hAnsi="Helvetica" w:cs="Helvetica"/>
          <w:i/>
          <w:sz w:val="12"/>
          <w:szCs w:val="12"/>
        </w:rPr>
        <w:t>przygotowania systemów do skanowania podatności, skanowanie podatności, definiowanie planu naprawczego, wdrożenie planu naprawczego, ponownego skanowania podatności.</w:t>
      </w:r>
    </w:p>
  </w:footnote>
  <w:footnote w:id="52">
    <w:p w14:paraId="7040764C"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13 lipca 2021 r., znak: DI.III.081.5.16.2021.PW.</w:t>
      </w:r>
    </w:p>
  </w:footnote>
  <w:footnote w:id="53">
    <w:p w14:paraId="74073825"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Zakres danych zestawienia sprzętu komputerowego: rodzaj, nazwa, pełna nazwa, nr inwentarzowy, nr fabryczny, nazwisko i imię, dep./biuro, lokalizacja, wartość, data zakupu lub przekazania, system operacyjny (zakupiony), system zainstalowany.</w:t>
      </w:r>
    </w:p>
  </w:footnote>
  <w:footnote w:id="54">
    <w:p w14:paraId="5401CB11"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Ewidencje prowadzone przez poszczególne komórki </w:t>
      </w:r>
      <w:proofErr w:type="spellStart"/>
      <w:r w:rsidRPr="000E63C8">
        <w:rPr>
          <w:rFonts w:ascii="Helvetica" w:hAnsi="Helvetica" w:cs="Helvetica"/>
          <w:sz w:val="12"/>
          <w:szCs w:val="12"/>
        </w:rPr>
        <w:t>MRiPS</w:t>
      </w:r>
      <w:proofErr w:type="spellEnd"/>
      <w:r w:rsidRPr="000E63C8">
        <w:rPr>
          <w:rFonts w:ascii="Helvetica" w:hAnsi="Helvetica" w:cs="Helvetica"/>
          <w:sz w:val="12"/>
          <w:szCs w:val="12"/>
        </w:rPr>
        <w:t>. Kontroli poddano ewidencje z 7 komórek organizacyjnych, tj.: z Departamentu Analiz Ekonomicznych; Departamentu Informatyki; Departamentu Polityki Rodzinnej; Departamentu Prawnego; Biura Administracyjnego; Biura Ministra; Biura Pełnomocnika Rządu do Spraw Równego Traktowania.</w:t>
      </w:r>
    </w:p>
  </w:footnote>
  <w:footnote w:id="55">
    <w:p w14:paraId="63D82D1B"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11 sierpnia 2021 r., znak: BKA-II.081.23.29.2021.IK.</w:t>
      </w:r>
    </w:p>
  </w:footnote>
  <w:footnote w:id="56">
    <w:p w14:paraId="77474E28"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Z 15 grudnia 2015 r.</w:t>
      </w:r>
      <w:r>
        <w:rPr>
          <w:rFonts w:ascii="Helvetica" w:hAnsi="Helvetica" w:cs="Helvetica"/>
          <w:sz w:val="12"/>
          <w:szCs w:val="12"/>
        </w:rPr>
        <w:t>, strona 23.</w:t>
      </w:r>
      <w:r w:rsidRPr="000E63C8">
        <w:rPr>
          <w:rFonts w:ascii="Helvetica" w:hAnsi="Helvetica" w:cs="Helvetica"/>
          <w:sz w:val="12"/>
          <w:szCs w:val="12"/>
        </w:rPr>
        <w:t xml:space="preserve"> Opublikowane na: </w:t>
      </w:r>
      <w:hyperlink r:id="rId1" w:history="1">
        <w:r w:rsidRPr="00AA3AE3">
          <w:rPr>
            <w:rStyle w:val="Hipercze"/>
            <w:rFonts w:ascii="Helvetica" w:hAnsi="Helvetica" w:cs="Helvetica"/>
            <w:sz w:val="12"/>
            <w:szCs w:val="12"/>
          </w:rPr>
          <w:t>https://mc.bip.gov.pl/wytyczne/wytyczne-dla-kontroli-dzialania-systemow-teleinformatycznych-uzywanych-do-realizacji-zadan-publicznych.html</w:t>
        </w:r>
      </w:hyperlink>
      <w:r w:rsidRPr="000E63C8">
        <w:rPr>
          <w:rFonts w:ascii="Helvetica" w:hAnsi="Helvetica" w:cs="Helvetica"/>
          <w:sz w:val="12"/>
          <w:szCs w:val="12"/>
        </w:rPr>
        <w:t>.</w:t>
      </w:r>
    </w:p>
  </w:footnote>
  <w:footnote w:id="57">
    <w:p w14:paraId="058E3D36"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 8 ust. 1 część I załącznika nr 1 do PBI IT.</w:t>
      </w:r>
    </w:p>
  </w:footnote>
  <w:footnote w:id="58">
    <w:p w14:paraId="3CCEEAA7"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Słownik terminów i skrótów w części I załącznika nr 1 do PBI IT.</w:t>
      </w:r>
    </w:p>
  </w:footnote>
  <w:footnote w:id="59">
    <w:p w14:paraId="690CDEAF"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DI.III.081.5.13.2021.PW z 1 lipca 2021 r.</w:t>
      </w:r>
    </w:p>
  </w:footnote>
  <w:footnote w:id="60">
    <w:p w14:paraId="2DC7CD7F"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28 lipca 2021 r., znak: DI.III.081.5.26.2021.PW.</w:t>
      </w:r>
    </w:p>
  </w:footnote>
  <w:footnote w:id="61">
    <w:p w14:paraId="65234685"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28 lipca 2021 r., znak: DI.III.081.5.26.2021.PW.</w:t>
      </w:r>
    </w:p>
  </w:footnote>
  <w:footnote w:id="62">
    <w:p w14:paraId="15553DCD"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Łącznie z pracownikami przeniesionymi w trybie art. 64 ustawy z dnia 21 listopada 2008 r. o służbie cywilnej (Dz. u. z 2021 r. poz. 1233, tj.), w przypadku których jako datę zakończenia stosunku pracy uznano ostatni dzień, w którym członek ksc figurował jako pracownik </w:t>
      </w:r>
      <w:proofErr w:type="spellStart"/>
      <w:r w:rsidRPr="000E63C8">
        <w:rPr>
          <w:rFonts w:ascii="Helvetica" w:hAnsi="Helvetica" w:cs="Helvetica"/>
          <w:sz w:val="12"/>
          <w:szCs w:val="12"/>
        </w:rPr>
        <w:t>MRiPS</w:t>
      </w:r>
      <w:proofErr w:type="spellEnd"/>
      <w:r w:rsidRPr="000E63C8">
        <w:rPr>
          <w:rFonts w:ascii="Helvetica" w:hAnsi="Helvetica" w:cs="Helvetica"/>
          <w:sz w:val="12"/>
          <w:szCs w:val="12"/>
        </w:rPr>
        <w:t>.</w:t>
      </w:r>
    </w:p>
  </w:footnote>
  <w:footnote w:id="63">
    <w:p w14:paraId="0230A104"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Postanowienia końcowe załącznika nr 5 do PBI IT.</w:t>
      </w:r>
    </w:p>
  </w:footnote>
  <w:footnote w:id="64">
    <w:p w14:paraId="1E9DCB21"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28 lipca 2021 r., znak: DI.III.081.5.26.2021.PW.</w:t>
      </w:r>
    </w:p>
  </w:footnote>
  <w:footnote w:id="65">
    <w:p w14:paraId="26867F11"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28 lipca 2021 r., znak: DI.III.081.5.26.2021.PW.</w:t>
      </w:r>
    </w:p>
  </w:footnote>
  <w:footnote w:id="66">
    <w:p w14:paraId="10C583FF"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 22 ust. 23 część II załącznika nr 1 do PBI IT.</w:t>
      </w:r>
    </w:p>
  </w:footnote>
  <w:footnote w:id="67">
    <w:p w14:paraId="046598CB"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PIU </w:t>
      </w:r>
      <w:proofErr w:type="spellStart"/>
      <w:r w:rsidRPr="000E63C8">
        <w:rPr>
          <w:rFonts w:ascii="Helvetica" w:hAnsi="Helvetica" w:cs="Helvetica"/>
          <w:sz w:val="12"/>
          <w:szCs w:val="12"/>
        </w:rPr>
        <w:t>Emp@tia</w:t>
      </w:r>
      <w:proofErr w:type="spellEnd"/>
      <w:r w:rsidRPr="000E63C8">
        <w:rPr>
          <w:rFonts w:ascii="Helvetica" w:hAnsi="Helvetica" w:cs="Helvetica"/>
          <w:sz w:val="12"/>
          <w:szCs w:val="12"/>
        </w:rPr>
        <w:t>, SI KDR, CSIZS.</w:t>
      </w:r>
    </w:p>
  </w:footnote>
  <w:footnote w:id="68">
    <w:p w14:paraId="48A35E57"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Za pośrednictwem CSIZS można zalogować się także do PIU </w:t>
      </w:r>
      <w:proofErr w:type="spellStart"/>
      <w:r w:rsidRPr="000E63C8">
        <w:rPr>
          <w:rFonts w:ascii="Helvetica" w:hAnsi="Helvetica" w:cs="Helvetica"/>
          <w:sz w:val="12"/>
          <w:szCs w:val="12"/>
        </w:rPr>
        <w:t>Emp@tii</w:t>
      </w:r>
      <w:proofErr w:type="spellEnd"/>
      <w:r w:rsidRPr="000E63C8">
        <w:rPr>
          <w:rFonts w:ascii="Helvetica" w:hAnsi="Helvetica" w:cs="Helvetica"/>
          <w:sz w:val="12"/>
          <w:szCs w:val="12"/>
        </w:rPr>
        <w:t>.</w:t>
      </w:r>
    </w:p>
  </w:footnote>
  <w:footnote w:id="69">
    <w:p w14:paraId="3E670B18"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11 sierpnia 2021 r., znak: BKA-II.081.23.29.2021.IK</w:t>
      </w:r>
      <w:r>
        <w:rPr>
          <w:rFonts w:ascii="Helvetica" w:hAnsi="Helvetica" w:cs="Helvetica"/>
          <w:sz w:val="12"/>
          <w:szCs w:val="12"/>
        </w:rPr>
        <w:t>.</w:t>
      </w:r>
    </w:p>
  </w:footnote>
  <w:footnote w:id="70">
    <w:p w14:paraId="1221693E" w14:textId="77777777" w:rsidR="006F4943" w:rsidRPr="000E63C8" w:rsidRDefault="006F4943" w:rsidP="004D1514">
      <w:pPr>
        <w:pStyle w:val="Tekstprzypisudolnego"/>
        <w:jc w:val="both"/>
        <w:rPr>
          <w:rFonts w:ascii="Helvetica" w:hAnsi="Helvetica" w:cs="Helvetica"/>
          <w:b/>
          <w:sz w:val="12"/>
          <w:szCs w:val="12"/>
        </w:rPr>
      </w:pPr>
      <w:r w:rsidRPr="000960A6">
        <w:rPr>
          <w:rStyle w:val="Odwoanieprzypisudolnego"/>
          <w:rFonts w:ascii="Helvetica" w:hAnsi="Helvetica" w:cs="Helvetica"/>
          <w:sz w:val="12"/>
          <w:szCs w:val="12"/>
        </w:rPr>
        <w:footnoteRef/>
      </w:r>
      <w:r w:rsidRPr="000E63C8">
        <w:rPr>
          <w:rFonts w:ascii="Helvetica" w:hAnsi="Helvetica" w:cs="Helvetica"/>
          <w:sz w:val="12"/>
          <w:szCs w:val="12"/>
        </w:rPr>
        <w:t xml:space="preserve"> </w:t>
      </w:r>
      <w:r>
        <w:rPr>
          <w:rFonts w:ascii="Helvetica" w:hAnsi="Helvetica" w:cs="Helvetica"/>
          <w:sz w:val="12"/>
          <w:szCs w:val="12"/>
        </w:rPr>
        <w:t>Pierwsza d</w:t>
      </w:r>
      <w:r w:rsidRPr="000E63C8">
        <w:rPr>
          <w:rFonts w:ascii="Helvetica" w:hAnsi="Helvetica" w:cs="Helvetica"/>
          <w:sz w:val="12"/>
          <w:szCs w:val="12"/>
        </w:rPr>
        <w:t>efinicj</w:t>
      </w:r>
      <w:r>
        <w:rPr>
          <w:rFonts w:ascii="Helvetica" w:hAnsi="Helvetica" w:cs="Helvetica"/>
          <w:sz w:val="12"/>
          <w:szCs w:val="12"/>
        </w:rPr>
        <w:t>a</w:t>
      </w:r>
      <w:r w:rsidRPr="000E63C8">
        <w:rPr>
          <w:rFonts w:ascii="Helvetica" w:hAnsi="Helvetica" w:cs="Helvetica"/>
          <w:sz w:val="12"/>
          <w:szCs w:val="12"/>
        </w:rPr>
        <w:t xml:space="preserve"> incydentu znajduj</w:t>
      </w:r>
      <w:r>
        <w:rPr>
          <w:rFonts w:ascii="Helvetica" w:hAnsi="Helvetica" w:cs="Helvetica"/>
          <w:sz w:val="12"/>
          <w:szCs w:val="12"/>
        </w:rPr>
        <w:t>e</w:t>
      </w:r>
      <w:r w:rsidRPr="000E63C8">
        <w:rPr>
          <w:rFonts w:ascii="Helvetica" w:hAnsi="Helvetica" w:cs="Helvetica"/>
          <w:sz w:val="12"/>
          <w:szCs w:val="12"/>
        </w:rPr>
        <w:t xml:space="preserve"> się w części I </w:t>
      </w:r>
      <w:r w:rsidRPr="000E63C8">
        <w:rPr>
          <w:rFonts w:ascii="Helvetica" w:hAnsi="Helvetica" w:cs="Helvetica"/>
          <w:i/>
          <w:iCs/>
          <w:sz w:val="12"/>
          <w:szCs w:val="12"/>
        </w:rPr>
        <w:t xml:space="preserve">Pojęcia i przepisy regulujące PBI (IT) </w:t>
      </w:r>
      <w:r w:rsidRPr="000E63C8">
        <w:rPr>
          <w:rFonts w:ascii="Helvetica" w:hAnsi="Helvetica" w:cs="Helvetica"/>
          <w:sz w:val="12"/>
          <w:szCs w:val="12"/>
        </w:rPr>
        <w:t>zał. nr 1, druga w zał. nr 13 do PBI IT określającym procedurę zgłaszania incydentów związanych z</w:t>
      </w:r>
      <w:r>
        <w:rPr>
          <w:rFonts w:ascii="Helvetica" w:hAnsi="Helvetica" w:cs="Helvetica"/>
          <w:sz w:val="12"/>
          <w:szCs w:val="12"/>
        </w:rPr>
        <w:t> </w:t>
      </w:r>
      <w:r w:rsidRPr="000E63C8">
        <w:rPr>
          <w:rFonts w:ascii="Helvetica" w:hAnsi="Helvetica" w:cs="Helvetica"/>
          <w:sz w:val="12"/>
          <w:szCs w:val="12"/>
        </w:rPr>
        <w:t>bezpieczeństwem informacji oraz trzecia w zał. nr 19 do PBI IT określającym procedurę zgłaszania incydentów i ataków związanych z cyberbezpieczeństwem.</w:t>
      </w:r>
    </w:p>
  </w:footnote>
  <w:footnote w:id="71">
    <w:p w14:paraId="26CF3AFA" w14:textId="77777777" w:rsidR="006F4943" w:rsidRPr="000E63C8" w:rsidRDefault="006F4943" w:rsidP="004D1514">
      <w:pPr>
        <w:pStyle w:val="Tekstprzypisudolnego"/>
        <w:jc w:val="both"/>
        <w:rPr>
          <w:rFonts w:ascii="Helvetica" w:hAnsi="Helvetica" w:cs="Helvetica"/>
          <w:b/>
          <w:sz w:val="12"/>
          <w:szCs w:val="12"/>
        </w:rPr>
      </w:pPr>
      <w:r w:rsidRPr="000960A6">
        <w:rPr>
          <w:rStyle w:val="Odwoanieprzypisudolnego"/>
          <w:rFonts w:ascii="Helvetica" w:hAnsi="Helvetica" w:cs="Helvetica"/>
          <w:sz w:val="12"/>
          <w:szCs w:val="12"/>
        </w:rPr>
        <w:footnoteRef/>
      </w:r>
      <w:r w:rsidRPr="000E63C8">
        <w:rPr>
          <w:rFonts w:ascii="Helvetica" w:hAnsi="Helvetica" w:cs="Helvetica"/>
          <w:sz w:val="12"/>
          <w:szCs w:val="12"/>
        </w:rPr>
        <w:t xml:space="preserve"> Pkt 2 załącznika nr 13 do PBI IT.</w:t>
      </w:r>
    </w:p>
  </w:footnote>
  <w:footnote w:id="72">
    <w:p w14:paraId="77165F49" w14:textId="77777777" w:rsidR="006F4943" w:rsidRPr="000E63C8" w:rsidRDefault="006F4943" w:rsidP="004D1514">
      <w:pPr>
        <w:pStyle w:val="Tekstprzypisudolnego"/>
        <w:jc w:val="both"/>
        <w:rPr>
          <w:rFonts w:ascii="Helvetica" w:hAnsi="Helvetica" w:cs="Helvetica"/>
          <w:b/>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22 lipca 2021 r., znak: DI.III.081.5.24.2021.PW.</w:t>
      </w:r>
    </w:p>
  </w:footnote>
  <w:footnote w:id="73">
    <w:p w14:paraId="305264E3" w14:textId="77777777" w:rsidR="006F4943" w:rsidRPr="000E63C8" w:rsidRDefault="006F4943" w:rsidP="004D1514">
      <w:pPr>
        <w:pStyle w:val="Tekstprzypisudolnego"/>
        <w:jc w:val="both"/>
        <w:rPr>
          <w:rFonts w:ascii="Helvetica" w:hAnsi="Helvetica" w:cs="Helvetica"/>
          <w:b/>
          <w:sz w:val="12"/>
          <w:szCs w:val="12"/>
        </w:rPr>
      </w:pPr>
      <w:r w:rsidRPr="000960A6">
        <w:rPr>
          <w:rStyle w:val="Odwoanieprzypisudolnego"/>
          <w:rFonts w:ascii="Helvetica" w:hAnsi="Helvetica" w:cs="Helvetica"/>
          <w:sz w:val="12"/>
          <w:szCs w:val="12"/>
        </w:rPr>
        <w:footnoteRef/>
      </w:r>
      <w:r w:rsidRPr="000E63C8">
        <w:rPr>
          <w:rFonts w:ascii="Helvetica" w:hAnsi="Helvetica" w:cs="Helvetica"/>
          <w:sz w:val="12"/>
          <w:szCs w:val="12"/>
        </w:rPr>
        <w:t xml:space="preserve"> Pismo z 22 lipca 2021 r., znak: DI.III.081.5.24.2021.PW.</w:t>
      </w:r>
    </w:p>
  </w:footnote>
  <w:footnote w:id="74">
    <w:p w14:paraId="63F52B8F" w14:textId="77777777" w:rsidR="006F4943" w:rsidRPr="000E63C8" w:rsidRDefault="006F4943" w:rsidP="004D1514">
      <w:pPr>
        <w:pStyle w:val="Tekstprzypisudolnego"/>
        <w:rPr>
          <w:rFonts w:ascii="Helvetica" w:hAnsi="Helvetica" w:cs="Helvetica"/>
          <w:b/>
          <w:sz w:val="12"/>
          <w:szCs w:val="12"/>
        </w:rPr>
      </w:pPr>
      <w:r w:rsidRPr="000960A6">
        <w:rPr>
          <w:rStyle w:val="Odwoanieprzypisudolnego"/>
          <w:rFonts w:ascii="Helvetica" w:hAnsi="Helvetica" w:cs="Helvetica"/>
          <w:sz w:val="12"/>
          <w:szCs w:val="12"/>
        </w:rPr>
        <w:footnoteRef/>
      </w:r>
      <w:r w:rsidRPr="000E63C8">
        <w:rPr>
          <w:rFonts w:ascii="Helvetica" w:hAnsi="Helvetica" w:cs="Helvetica"/>
          <w:sz w:val="12"/>
          <w:szCs w:val="12"/>
        </w:rPr>
        <w:t xml:space="preserve"> Tj. odłączeni</w:t>
      </w:r>
      <w:r>
        <w:rPr>
          <w:rFonts w:ascii="Helvetica" w:hAnsi="Helvetica" w:cs="Helvetica"/>
          <w:sz w:val="12"/>
          <w:szCs w:val="12"/>
        </w:rPr>
        <w:t>a</w:t>
      </w:r>
      <w:r w:rsidRPr="000E63C8">
        <w:rPr>
          <w:rFonts w:ascii="Helvetica" w:hAnsi="Helvetica" w:cs="Helvetica"/>
          <w:sz w:val="12"/>
          <w:szCs w:val="12"/>
        </w:rPr>
        <w:t xml:space="preserve"> działu </w:t>
      </w:r>
      <w:r w:rsidRPr="000E63C8">
        <w:rPr>
          <w:rFonts w:ascii="Helvetica" w:hAnsi="Helvetica" w:cs="Helvetica"/>
          <w:i/>
          <w:sz w:val="12"/>
          <w:szCs w:val="12"/>
        </w:rPr>
        <w:t>praca</w:t>
      </w:r>
      <w:r w:rsidRPr="000E63C8">
        <w:rPr>
          <w:rFonts w:ascii="Helvetica" w:hAnsi="Helvetica" w:cs="Helvetica"/>
          <w:sz w:val="12"/>
          <w:szCs w:val="12"/>
        </w:rPr>
        <w:t>.</w:t>
      </w:r>
    </w:p>
  </w:footnote>
  <w:footnote w:id="75">
    <w:p w14:paraId="4F94F7A5" w14:textId="77777777" w:rsidR="006F4943" w:rsidRPr="000E63C8" w:rsidRDefault="006F4943" w:rsidP="004D1514">
      <w:pPr>
        <w:pStyle w:val="Tekstprzypisudolnego"/>
        <w:jc w:val="both"/>
        <w:rPr>
          <w:rFonts w:ascii="Helvetica" w:hAnsi="Helvetica" w:cs="Helvetica"/>
          <w:b/>
          <w:sz w:val="12"/>
          <w:szCs w:val="12"/>
        </w:rPr>
      </w:pPr>
      <w:r w:rsidRPr="000960A6">
        <w:rPr>
          <w:rStyle w:val="Odwoanieprzypisudolnego"/>
          <w:rFonts w:ascii="Helvetica" w:hAnsi="Helvetica" w:cs="Helvetica"/>
          <w:sz w:val="12"/>
          <w:szCs w:val="12"/>
        </w:rPr>
        <w:footnoteRef/>
      </w:r>
      <w:r w:rsidRPr="000E63C8">
        <w:rPr>
          <w:rFonts w:ascii="Helvetica" w:hAnsi="Helvetica" w:cs="Helvetica"/>
          <w:sz w:val="12"/>
          <w:szCs w:val="12"/>
        </w:rPr>
        <w:t xml:space="preserve"> Pismo z 28 lipca 2021 r., znak: DI.III.081.5.26.2021.PW.</w:t>
      </w:r>
    </w:p>
  </w:footnote>
  <w:footnote w:id="76">
    <w:p w14:paraId="20ED67F5" w14:textId="77777777" w:rsidR="006F4943" w:rsidRPr="000E63C8" w:rsidRDefault="006F4943" w:rsidP="004D1514">
      <w:pPr>
        <w:pStyle w:val="Tekstprzypisudolnego"/>
        <w:jc w:val="both"/>
        <w:rPr>
          <w:rFonts w:ascii="Helvetica" w:hAnsi="Helvetica" w:cs="Helvetica"/>
          <w:sz w:val="12"/>
          <w:szCs w:val="12"/>
        </w:rPr>
      </w:pPr>
      <w:r w:rsidRPr="000960A6">
        <w:rPr>
          <w:rStyle w:val="Odwoanieprzypisudolnego"/>
          <w:rFonts w:ascii="Helvetica" w:hAnsi="Helvetica" w:cs="Helvetica"/>
          <w:sz w:val="12"/>
          <w:szCs w:val="12"/>
        </w:rPr>
        <w:footnoteRef/>
      </w:r>
      <w:r w:rsidRPr="000E63C8">
        <w:rPr>
          <w:rFonts w:ascii="Helvetica" w:hAnsi="Helvetica" w:cs="Helvetica"/>
          <w:sz w:val="12"/>
          <w:szCs w:val="12"/>
        </w:rPr>
        <w:t xml:space="preserve"> Pismo z 3 sierpnia 2021 r., znak: BKA-II.081.23.26.2021.IK</w:t>
      </w:r>
      <w:r w:rsidRPr="00B64C66">
        <w:rPr>
          <w:rFonts w:ascii="Helvetica" w:hAnsi="Helvetica" w:cs="Helvetica"/>
          <w:sz w:val="12"/>
          <w:szCs w:val="12"/>
        </w:rPr>
        <w:t>.</w:t>
      </w:r>
    </w:p>
  </w:footnote>
  <w:footnote w:id="77">
    <w:p w14:paraId="4EB9F4E0" w14:textId="77777777" w:rsidR="006F4943" w:rsidRPr="000E63C8" w:rsidRDefault="006F4943" w:rsidP="004D1514">
      <w:pPr>
        <w:pStyle w:val="Tekstprzypisudolnego"/>
        <w:jc w:val="both"/>
        <w:rPr>
          <w:rFonts w:ascii="Helvetica" w:hAnsi="Helvetica" w:cs="Helvetica"/>
          <w:b/>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22 lipca 2021 r., znak: DI.III.081.5.24.2021.PW.</w:t>
      </w:r>
    </w:p>
  </w:footnote>
  <w:footnote w:id="78">
    <w:p w14:paraId="4EF40B2B"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22 lipca 2021 r., znak: DI.III.081.5.24.2021.PW.</w:t>
      </w:r>
    </w:p>
  </w:footnote>
  <w:footnote w:id="79">
    <w:p w14:paraId="035D49A4" w14:textId="77777777" w:rsidR="006F4943" w:rsidRPr="000E63C8" w:rsidRDefault="006F4943" w:rsidP="004D1514">
      <w:pPr>
        <w:pStyle w:val="Tekstprzypisudolnego"/>
        <w:jc w:val="both"/>
        <w:rPr>
          <w:rFonts w:ascii="Helvetica" w:hAnsi="Helvetica" w:cs="Helvetica"/>
          <w:b/>
          <w:sz w:val="12"/>
          <w:szCs w:val="12"/>
        </w:rPr>
      </w:pPr>
      <w:r w:rsidRPr="000960A6">
        <w:rPr>
          <w:rStyle w:val="Odwoanieprzypisudolnego"/>
          <w:rFonts w:ascii="Helvetica" w:hAnsi="Helvetica" w:cs="Helvetica"/>
          <w:sz w:val="12"/>
          <w:szCs w:val="12"/>
        </w:rPr>
        <w:footnoteRef/>
      </w:r>
      <w:r w:rsidRPr="000E63C8">
        <w:rPr>
          <w:rFonts w:ascii="Helvetica" w:hAnsi="Helvetica" w:cs="Helvetica"/>
          <w:sz w:val="12"/>
          <w:szCs w:val="12"/>
        </w:rPr>
        <w:t xml:space="preserve"> Pismo z 3 sierpnia 2021 r., znak: BKA-II.081.23.26.2021.IK.</w:t>
      </w:r>
    </w:p>
  </w:footnote>
  <w:footnote w:id="80">
    <w:p w14:paraId="2CDEC3F7" w14:textId="77777777" w:rsidR="006F4943" w:rsidRPr="000E63C8" w:rsidRDefault="006F4943" w:rsidP="004D1514">
      <w:pPr>
        <w:pStyle w:val="Tekstprzypisudolnego"/>
        <w:rPr>
          <w:rFonts w:ascii="Helvetica" w:hAnsi="Helvetica" w:cs="Helvetica"/>
          <w:b/>
          <w:sz w:val="12"/>
          <w:szCs w:val="12"/>
        </w:rPr>
      </w:pPr>
      <w:r w:rsidRPr="000960A6">
        <w:rPr>
          <w:rStyle w:val="Odwoanieprzypisudolnego"/>
          <w:rFonts w:ascii="Helvetica" w:hAnsi="Helvetica" w:cs="Helvetica"/>
          <w:sz w:val="12"/>
          <w:szCs w:val="12"/>
        </w:rPr>
        <w:footnoteRef/>
      </w:r>
      <w:r w:rsidRPr="000E63C8">
        <w:rPr>
          <w:rFonts w:ascii="Helvetica" w:hAnsi="Helvetica" w:cs="Helvetica"/>
          <w:sz w:val="12"/>
          <w:szCs w:val="12"/>
        </w:rPr>
        <w:t xml:space="preserve"> Wyjaśnienia z 22 lipca 2021 r., znak: DI.III.081.5.24.2021.PW.</w:t>
      </w:r>
    </w:p>
  </w:footnote>
  <w:footnote w:id="81">
    <w:p w14:paraId="791094B9" w14:textId="77777777" w:rsidR="006F4943" w:rsidRPr="00E019B0" w:rsidRDefault="006F4943" w:rsidP="004D1514">
      <w:pPr>
        <w:pStyle w:val="Tekstprzypisudolnego"/>
        <w:rPr>
          <w:rFonts w:ascii="Helvetica" w:hAnsi="Helvetica" w:cs="Helvetica"/>
          <w:sz w:val="12"/>
          <w:szCs w:val="12"/>
        </w:rPr>
      </w:pPr>
      <w:r w:rsidRPr="00E019B0">
        <w:rPr>
          <w:rStyle w:val="Odwoanieprzypisudolnego"/>
          <w:rFonts w:ascii="Helvetica" w:hAnsi="Helvetica" w:cs="Helvetica"/>
          <w:sz w:val="12"/>
          <w:szCs w:val="12"/>
        </w:rPr>
        <w:footnoteRef/>
      </w:r>
      <w:r w:rsidRPr="00E019B0">
        <w:rPr>
          <w:rFonts w:ascii="Helvetica" w:hAnsi="Helvetica" w:cs="Helvetica"/>
          <w:sz w:val="12"/>
          <w:szCs w:val="12"/>
        </w:rPr>
        <w:t xml:space="preserve"> Osoba biorąca udział w tym szkoleniu na dzień 27 maja 2021 r. nie była już pracownikiem </w:t>
      </w:r>
      <w:proofErr w:type="spellStart"/>
      <w:r w:rsidRPr="00E019B0">
        <w:rPr>
          <w:rFonts w:ascii="Helvetica" w:hAnsi="Helvetica" w:cs="Helvetica"/>
          <w:sz w:val="12"/>
          <w:szCs w:val="12"/>
        </w:rPr>
        <w:t>MRiPS</w:t>
      </w:r>
      <w:proofErr w:type="spellEnd"/>
      <w:r w:rsidRPr="00E019B0">
        <w:rPr>
          <w:rFonts w:ascii="Helvetica" w:hAnsi="Helvetica" w:cs="Helvetica"/>
          <w:sz w:val="12"/>
          <w:szCs w:val="12"/>
        </w:rPr>
        <w:t>.</w:t>
      </w:r>
    </w:p>
  </w:footnote>
  <w:footnote w:id="82">
    <w:p w14:paraId="0C266DAE" w14:textId="77777777" w:rsidR="006F4943" w:rsidRPr="00946330" w:rsidRDefault="006F4943" w:rsidP="004D1514">
      <w:pPr>
        <w:pStyle w:val="Tekstprzypisudolnego"/>
        <w:rPr>
          <w:rFonts w:ascii="Helvetica" w:hAnsi="Helvetica" w:cs="Helvetica"/>
          <w:sz w:val="13"/>
          <w:szCs w:val="13"/>
        </w:rPr>
      </w:pPr>
      <w:r w:rsidRPr="00E019B0">
        <w:rPr>
          <w:rStyle w:val="Odwoanieprzypisudolnego"/>
          <w:rFonts w:ascii="Helvetica" w:hAnsi="Helvetica" w:cs="Helvetica"/>
          <w:sz w:val="12"/>
          <w:szCs w:val="12"/>
        </w:rPr>
        <w:footnoteRef/>
      </w:r>
      <w:r w:rsidRPr="00E019B0">
        <w:rPr>
          <w:rFonts w:ascii="Helvetica" w:hAnsi="Helvetica" w:cs="Helvetica"/>
          <w:sz w:val="12"/>
          <w:szCs w:val="12"/>
        </w:rPr>
        <w:t xml:space="preserve"> Osoby biorące udział w tym szkoleniu na dzień 27 maja 2021 r. nie były już pracownikami </w:t>
      </w:r>
      <w:proofErr w:type="spellStart"/>
      <w:r w:rsidRPr="00E019B0">
        <w:rPr>
          <w:rFonts w:ascii="Helvetica" w:hAnsi="Helvetica" w:cs="Helvetica"/>
          <w:sz w:val="12"/>
          <w:szCs w:val="12"/>
        </w:rPr>
        <w:t>MRiPS</w:t>
      </w:r>
      <w:proofErr w:type="spellEnd"/>
      <w:r w:rsidRPr="00E019B0">
        <w:rPr>
          <w:rFonts w:ascii="Helvetica" w:hAnsi="Helvetica" w:cs="Helvetica"/>
          <w:sz w:val="12"/>
          <w:szCs w:val="12"/>
        </w:rPr>
        <w:t>.</w:t>
      </w:r>
    </w:p>
  </w:footnote>
  <w:footnote w:id="83">
    <w:p w14:paraId="394A520D"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30 lipca 2021 r., znak: BKA-II.081.23.23.2021.IK.</w:t>
      </w:r>
    </w:p>
  </w:footnote>
  <w:footnote w:id="84">
    <w:p w14:paraId="733A8C25"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Załącznik nr 2 do PBI IT.</w:t>
      </w:r>
    </w:p>
  </w:footnote>
  <w:footnote w:id="85">
    <w:p w14:paraId="281F55F6"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sz w:val="12"/>
          <w:szCs w:val="12"/>
        </w:rPr>
        <w:t xml:space="preserve"> </w:t>
      </w:r>
      <w:r w:rsidRPr="000E63C8">
        <w:rPr>
          <w:rFonts w:ascii="Helvetica" w:hAnsi="Helvetica" w:cs="Helvetica"/>
          <w:sz w:val="12"/>
          <w:szCs w:val="12"/>
        </w:rPr>
        <w:t xml:space="preserve">W szczególności dot. zał. nr 5 (pracownicy zobowiązani do przestrzegania praw dostępu do informatycznego systemu </w:t>
      </w:r>
      <w:proofErr w:type="spellStart"/>
      <w:r w:rsidRPr="000E63C8">
        <w:rPr>
          <w:rFonts w:ascii="Helvetica" w:hAnsi="Helvetica" w:cs="Helvetica"/>
          <w:sz w:val="12"/>
          <w:szCs w:val="12"/>
        </w:rPr>
        <w:t>MRPiPS</w:t>
      </w:r>
      <w:proofErr w:type="spellEnd"/>
      <w:r w:rsidRPr="000E63C8">
        <w:rPr>
          <w:rFonts w:ascii="Helvetica" w:hAnsi="Helvetica" w:cs="Helvetica"/>
          <w:sz w:val="12"/>
          <w:szCs w:val="12"/>
        </w:rPr>
        <w:t xml:space="preserve"> oraz bezpośredni przełożeni zaangażowani w proces dostępu do zasobów IT), zał. nr 8 (użytkownicy urządzeń mobilnych), zał. nr 9 (użytkownicy i przełożeni pracowników w zakresie zdalnego dostępu), zał. nr 10 (wszyscy pracownicy w</w:t>
      </w:r>
      <w:r>
        <w:rPr>
          <w:rFonts w:ascii="Helvetica" w:hAnsi="Helvetica" w:cs="Helvetica"/>
          <w:sz w:val="12"/>
          <w:szCs w:val="12"/>
        </w:rPr>
        <w:t> </w:t>
      </w:r>
      <w:r w:rsidRPr="000E63C8">
        <w:rPr>
          <w:rFonts w:ascii="Helvetica" w:hAnsi="Helvetica" w:cs="Helvetica"/>
          <w:sz w:val="12"/>
          <w:szCs w:val="12"/>
        </w:rPr>
        <w:t>zakresie podjęcia decyzji co do zniszczenia dokumentów lub informacji zwykłych oraz nieuprawnionego lub celowego zniszczenia nośników/sprzętu/dokumentów), zał. nr 11 (każdy kto otrzymał do użytku urządzenie do podpisu elektronicznego), zał. nr 13 (każda osoba, w celu zgłoszenia incydentu), zał. nr 14 (pracownicy, którzy otrzymali dostęp do komputera nieobecnego pracownika), zał. nr 15 (pracownicy w zakresie obowiązku wylogowania się z systemów informatycznych, wyłączenia z zasilania stacji roboczych oraz pozostałego sprzętu biurowego), zał. nr 18 (pracownicy w zakresie zgłaszania podejrzenia naruszenia i obowiązków w tej sytuacji), zał. nr 19 (pracownicy w zakresie zgłaszania incydentów i ataków), zał. nr</w:t>
      </w:r>
      <w:r>
        <w:rPr>
          <w:rFonts w:ascii="Helvetica" w:hAnsi="Helvetica" w:cs="Helvetica"/>
          <w:sz w:val="12"/>
          <w:szCs w:val="12"/>
        </w:rPr>
        <w:t> </w:t>
      </w:r>
      <w:r w:rsidRPr="000E63C8">
        <w:rPr>
          <w:rFonts w:ascii="Helvetica" w:hAnsi="Helvetica" w:cs="Helvetica"/>
          <w:sz w:val="12"/>
          <w:szCs w:val="12"/>
        </w:rPr>
        <w:t>20 (pracownicy Departamentu Polityki Rodzinnej w zakresie pozyskiwania i zawierania umów z Partnerami KDR, przekazywania informacji o Partnerach oraz koordynowania pracy urzędów wojewódzkich), zał. nr 21 (pracownicy w zakresie poprawnego przetwarzania informacji), zał. 23-25 (pracownicy D</w:t>
      </w:r>
      <w:r>
        <w:rPr>
          <w:rFonts w:ascii="Helvetica" w:hAnsi="Helvetica" w:cs="Helvetica"/>
          <w:sz w:val="12"/>
          <w:szCs w:val="12"/>
        </w:rPr>
        <w:t xml:space="preserve">epartamentu Pomocy i Integracji </w:t>
      </w:r>
      <w:r w:rsidRPr="000E63C8">
        <w:rPr>
          <w:rFonts w:ascii="Helvetica" w:hAnsi="Helvetica" w:cs="Helvetica"/>
          <w:sz w:val="12"/>
          <w:szCs w:val="12"/>
        </w:rPr>
        <w:t>S</w:t>
      </w:r>
      <w:r>
        <w:rPr>
          <w:rFonts w:ascii="Helvetica" w:hAnsi="Helvetica" w:cs="Helvetica"/>
          <w:sz w:val="12"/>
          <w:szCs w:val="12"/>
        </w:rPr>
        <w:t>połecznej</w:t>
      </w:r>
      <w:r w:rsidRPr="000E63C8">
        <w:rPr>
          <w:rFonts w:ascii="Helvetica" w:hAnsi="Helvetica" w:cs="Helvetica"/>
          <w:sz w:val="12"/>
          <w:szCs w:val="12"/>
        </w:rPr>
        <w:t xml:space="preserve"> w zakresie zarządzania Systemem Centralnym FEAD).</w:t>
      </w:r>
    </w:p>
  </w:footnote>
  <w:footnote w:id="86">
    <w:p w14:paraId="55319535"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Dobór oświadczeń składanych przez pracowników korpusu służby cywilnej odbył się w oparciu o metodę losową ze stałym interwałem n+10. Wybrano 37 spośród 372 pracowników (10%), rozpoczynając od poz. nr 1 z przekazanego wykaz</w:t>
      </w:r>
      <w:r>
        <w:rPr>
          <w:rFonts w:ascii="Helvetica" w:hAnsi="Helvetica" w:cs="Helvetica"/>
          <w:sz w:val="12"/>
          <w:szCs w:val="12"/>
        </w:rPr>
        <w:t>u</w:t>
      </w:r>
      <w:r w:rsidRPr="000E63C8">
        <w:rPr>
          <w:rFonts w:ascii="Helvetica" w:hAnsi="Helvetica" w:cs="Helvetica"/>
          <w:sz w:val="12"/>
          <w:szCs w:val="12"/>
        </w:rPr>
        <w:t xml:space="preserve"> pracowników. W przypadku pracowników zatrudnionych poza korpusem służby cywilnej zastosowano dobór celowy uwzględniający charakter stanowiska, tj. wytypowano stanowiska mające dostęp do systemu informatycznego </w:t>
      </w:r>
      <w:proofErr w:type="spellStart"/>
      <w:r w:rsidRPr="000E63C8">
        <w:rPr>
          <w:rFonts w:ascii="Helvetica" w:hAnsi="Helvetica" w:cs="Helvetica"/>
          <w:sz w:val="12"/>
          <w:szCs w:val="12"/>
        </w:rPr>
        <w:t>MRiPS</w:t>
      </w:r>
      <w:proofErr w:type="spellEnd"/>
      <w:r w:rsidRPr="000E63C8">
        <w:rPr>
          <w:rFonts w:ascii="Helvetica" w:hAnsi="Helvetica" w:cs="Helvetica"/>
          <w:sz w:val="12"/>
          <w:szCs w:val="12"/>
        </w:rPr>
        <w:t>.</w:t>
      </w:r>
    </w:p>
  </w:footnote>
  <w:footnote w:id="87">
    <w:p w14:paraId="6A360019" w14:textId="77777777" w:rsidR="006F4943" w:rsidRPr="002435DE" w:rsidRDefault="006F4943" w:rsidP="004D1514">
      <w:pPr>
        <w:pStyle w:val="Tekstprzypisudolnego"/>
        <w:rPr>
          <w:rFonts w:ascii="Helvetica" w:hAnsi="Helvetica" w:cs="Helvetica"/>
          <w:sz w:val="12"/>
          <w:szCs w:val="12"/>
        </w:rPr>
      </w:pPr>
      <w:r w:rsidRPr="002435DE">
        <w:rPr>
          <w:rStyle w:val="Odwoanieprzypisudolnego"/>
          <w:rFonts w:ascii="Helvetica" w:hAnsi="Helvetica" w:cs="Helvetica"/>
          <w:sz w:val="12"/>
          <w:szCs w:val="12"/>
        </w:rPr>
        <w:footnoteRef/>
      </w:r>
      <w:r w:rsidRPr="002435DE">
        <w:rPr>
          <w:rFonts w:ascii="Helvetica" w:hAnsi="Helvetica" w:cs="Helvetica"/>
          <w:sz w:val="12"/>
          <w:szCs w:val="12"/>
        </w:rPr>
        <w:t xml:space="preserve"> Zatrudnionych na 27 maja 2021 r.</w:t>
      </w:r>
    </w:p>
  </w:footnote>
  <w:footnote w:id="88">
    <w:p w14:paraId="34AEA3DD"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Wszystkie osoby świadczące pracę w Ministerstwie na dzień sporządzania zestawienia (27 maja 2021 r.).</w:t>
      </w:r>
    </w:p>
  </w:footnote>
  <w:footnote w:id="89">
    <w:p w14:paraId="2AD11487"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27.07.2021 r., znak: BKA-II.081.23.20.2021.IK.</w:t>
      </w:r>
    </w:p>
  </w:footnote>
  <w:footnote w:id="90">
    <w:p w14:paraId="320D3E35" w14:textId="77777777" w:rsidR="006F4943" w:rsidRPr="0023336A" w:rsidRDefault="006F4943" w:rsidP="004D1514">
      <w:pPr>
        <w:pStyle w:val="Tekstprzypisudolnego"/>
        <w:jc w:val="both"/>
        <w:rPr>
          <w:rFonts w:ascii="Helvetica" w:hAnsi="Helvetica"/>
          <w:sz w:val="12"/>
          <w:szCs w:val="12"/>
        </w:rPr>
      </w:pPr>
      <w:r w:rsidRPr="000960A6">
        <w:rPr>
          <w:rStyle w:val="Odwoanieprzypisudolnego"/>
          <w:rFonts w:ascii="Helvetica" w:hAnsi="Helvetica" w:cs="Helvetica"/>
          <w:sz w:val="12"/>
          <w:szCs w:val="12"/>
        </w:rPr>
        <w:footnoteRef/>
      </w:r>
      <w:r w:rsidRPr="0023336A">
        <w:rPr>
          <w:rFonts w:ascii="Helvetica" w:hAnsi="Helvetica"/>
          <w:sz w:val="12"/>
          <w:szCs w:val="12"/>
        </w:rPr>
        <w:t xml:space="preserve"> Z wyjątkiem jednej umowy o dzieło (nr DI.WI.3.2021 </w:t>
      </w:r>
      <w:proofErr w:type="spellStart"/>
      <w:r w:rsidRPr="0023336A">
        <w:rPr>
          <w:rFonts w:ascii="Helvetica" w:hAnsi="Helvetica"/>
          <w:sz w:val="12"/>
          <w:szCs w:val="12"/>
        </w:rPr>
        <w:t>Hostlab</w:t>
      </w:r>
      <w:proofErr w:type="spellEnd"/>
      <w:r w:rsidRPr="0023336A">
        <w:rPr>
          <w:rFonts w:ascii="Helvetica" w:hAnsi="Helvetica"/>
          <w:sz w:val="12"/>
          <w:szCs w:val="12"/>
        </w:rPr>
        <w:t xml:space="preserve"> Olczak i Wspólnicy Sp. J.), która nie wymagała takich postanowień. Uzasadnione było to jej krótkim terminem realizacji (2</w:t>
      </w:r>
      <w:r>
        <w:rPr>
          <w:rFonts w:ascii="Helvetica" w:hAnsi="Helvetica"/>
          <w:sz w:val="12"/>
          <w:szCs w:val="12"/>
        </w:rPr>
        <w:t> </w:t>
      </w:r>
      <w:r w:rsidRPr="0023336A">
        <w:rPr>
          <w:rFonts w:ascii="Helvetica" w:hAnsi="Helvetica"/>
          <w:sz w:val="12"/>
          <w:szCs w:val="12"/>
        </w:rPr>
        <w:t>miesiące) i wprowadzeniem zabezpieczeń w postaci kar umownych.</w:t>
      </w:r>
    </w:p>
  </w:footnote>
  <w:footnote w:id="91">
    <w:p w14:paraId="411855D0" w14:textId="77777777" w:rsidR="006F4943" w:rsidRPr="002652BB" w:rsidRDefault="006F4943" w:rsidP="004D1514">
      <w:pPr>
        <w:jc w:val="both"/>
        <w:rPr>
          <w:rFonts w:ascii="Helvetica" w:hAnsi="Helvetica" w:cs="Helvetica"/>
          <w:sz w:val="12"/>
          <w:szCs w:val="12"/>
        </w:rPr>
      </w:pPr>
      <w:r w:rsidRPr="002652BB">
        <w:rPr>
          <w:rStyle w:val="Odwoanieprzypisudolnego"/>
          <w:rFonts w:ascii="Helvetica" w:hAnsi="Helvetica" w:cs="Helvetica"/>
          <w:sz w:val="12"/>
          <w:szCs w:val="12"/>
        </w:rPr>
        <w:footnoteRef/>
      </w:r>
      <w:r w:rsidRPr="002652BB">
        <w:rPr>
          <w:rFonts w:ascii="Helvetica" w:hAnsi="Helvetica" w:cs="Helvetica"/>
          <w:sz w:val="12"/>
          <w:szCs w:val="12"/>
        </w:rPr>
        <w:t xml:space="preserve"> </w:t>
      </w:r>
      <w:r w:rsidRPr="002652BB">
        <w:rPr>
          <w:rFonts w:ascii="Helvetica" w:hAnsi="Helvetica" w:cs="Helvetica"/>
          <w:spacing w:val="-2"/>
          <w:sz w:val="12"/>
          <w:szCs w:val="12"/>
        </w:rPr>
        <w:t xml:space="preserve">Zestawienie 56 umów obowiązujących w </w:t>
      </w:r>
      <w:proofErr w:type="spellStart"/>
      <w:r w:rsidRPr="002652BB">
        <w:rPr>
          <w:rFonts w:ascii="Helvetica" w:hAnsi="Helvetica" w:cs="Helvetica"/>
          <w:spacing w:val="-2"/>
          <w:sz w:val="12"/>
          <w:szCs w:val="12"/>
        </w:rPr>
        <w:t>MRiPS</w:t>
      </w:r>
      <w:proofErr w:type="spellEnd"/>
      <w:r w:rsidRPr="002652BB">
        <w:rPr>
          <w:rFonts w:ascii="Helvetica" w:hAnsi="Helvetica" w:cs="Helvetica"/>
          <w:spacing w:val="-2"/>
          <w:sz w:val="12"/>
          <w:szCs w:val="12"/>
        </w:rPr>
        <w:t xml:space="preserve"> na serwis i rozwój systemów, w tym oprogramowania</w:t>
      </w:r>
      <w:r w:rsidRPr="002652BB">
        <w:rPr>
          <w:rFonts w:ascii="Helvetica" w:hAnsi="Helvetica" w:cs="Helvetica"/>
          <w:sz w:val="12"/>
          <w:szCs w:val="12"/>
        </w:rPr>
        <w:t xml:space="preserve"> (przekazane przy piśmie z 2 czerwca 2021 r., znak: BKA-II.081.23.3.2021.IK) oraz 1</w:t>
      </w:r>
      <w:r>
        <w:rPr>
          <w:rFonts w:ascii="Helvetica" w:hAnsi="Helvetica" w:cs="Helvetica"/>
          <w:sz w:val="12"/>
          <w:szCs w:val="12"/>
        </w:rPr>
        <w:t> </w:t>
      </w:r>
      <w:r w:rsidRPr="002652BB">
        <w:rPr>
          <w:rFonts w:ascii="Helvetica" w:hAnsi="Helvetica" w:cs="Helvetica"/>
          <w:sz w:val="12"/>
          <w:szCs w:val="12"/>
        </w:rPr>
        <w:t>umowa nr DI/WI/1/2019 z 21 lutego 2019 r. dot. naprawy, konserwacji i czyszczenia urządzeń IT (przekazana przy piśmie z 3 sierpnia 2021 r., znak: BKA-II.081.23.25.2021.IK).</w:t>
      </w:r>
    </w:p>
  </w:footnote>
  <w:footnote w:id="92">
    <w:p w14:paraId="5DA0EF3E" w14:textId="31A792F5" w:rsidR="006F4943" w:rsidRPr="002652BB" w:rsidRDefault="006F4943" w:rsidP="004D1514">
      <w:pPr>
        <w:pStyle w:val="Tekstprzypisudolnego"/>
        <w:jc w:val="both"/>
        <w:rPr>
          <w:rFonts w:ascii="Helvetica" w:hAnsi="Helvetica" w:cs="Helvetica"/>
          <w:sz w:val="12"/>
          <w:szCs w:val="12"/>
        </w:rPr>
      </w:pPr>
      <w:r w:rsidRPr="000960A6">
        <w:rPr>
          <w:rStyle w:val="Odwoanieprzypisudolnego"/>
          <w:rFonts w:ascii="Helvetica" w:hAnsi="Helvetica" w:cs="Helvetica"/>
          <w:sz w:val="12"/>
          <w:szCs w:val="12"/>
        </w:rPr>
        <w:footnoteRef/>
      </w:r>
      <w:r w:rsidRPr="002652BB">
        <w:rPr>
          <w:rFonts w:ascii="Helvetica" w:hAnsi="Helvetica" w:cs="Helvetica"/>
          <w:sz w:val="12"/>
          <w:szCs w:val="12"/>
        </w:rPr>
        <w:t xml:space="preserve"> Umowy: nr 28.DI.PN.2019.2020 </w:t>
      </w:r>
      <w:proofErr w:type="spellStart"/>
      <w:r w:rsidRPr="002652BB">
        <w:rPr>
          <w:rFonts w:ascii="Helvetica" w:hAnsi="Helvetica" w:cs="Helvetica"/>
          <w:sz w:val="12"/>
          <w:szCs w:val="12"/>
        </w:rPr>
        <w:t>Integrated</w:t>
      </w:r>
      <w:proofErr w:type="spellEnd"/>
      <w:r w:rsidRPr="002652BB">
        <w:rPr>
          <w:rFonts w:ascii="Helvetica" w:hAnsi="Helvetica" w:cs="Helvetica"/>
          <w:sz w:val="12"/>
          <w:szCs w:val="12"/>
        </w:rPr>
        <w:t xml:space="preserve"> Solutions </w:t>
      </w:r>
      <w:proofErr w:type="spellStart"/>
      <w:r w:rsidRPr="002652BB">
        <w:rPr>
          <w:rFonts w:ascii="Helvetica" w:hAnsi="Helvetica" w:cs="Helvetica"/>
          <w:sz w:val="12"/>
          <w:szCs w:val="12"/>
        </w:rPr>
        <w:t>Sp</w:t>
      </w:r>
      <w:proofErr w:type="spellEnd"/>
      <w:r w:rsidRPr="002652BB">
        <w:rPr>
          <w:rFonts w:ascii="Helvetica" w:hAnsi="Helvetica" w:cs="Helvetica"/>
          <w:sz w:val="12"/>
          <w:szCs w:val="12"/>
        </w:rPr>
        <w:t xml:space="preserve"> z o.o.; nr 32.DI.PN.2019.2020 S&amp;T Poland Sp. z </w:t>
      </w:r>
      <w:proofErr w:type="spellStart"/>
      <w:r w:rsidRPr="002652BB">
        <w:rPr>
          <w:rFonts w:ascii="Helvetica" w:hAnsi="Helvetica" w:cs="Helvetica"/>
          <w:sz w:val="12"/>
          <w:szCs w:val="12"/>
        </w:rPr>
        <w:t>o.o</w:t>
      </w:r>
      <w:proofErr w:type="spellEnd"/>
      <w:r w:rsidRPr="002652BB">
        <w:rPr>
          <w:rFonts w:ascii="Helvetica" w:hAnsi="Helvetica" w:cs="Helvetica"/>
          <w:sz w:val="12"/>
          <w:szCs w:val="12"/>
        </w:rPr>
        <w:t xml:space="preserve">; nr 13.DI.PN.2018 IT Solution </w:t>
      </w:r>
      <w:proofErr w:type="spellStart"/>
      <w:r w:rsidRPr="002652BB">
        <w:rPr>
          <w:rFonts w:ascii="Helvetica" w:hAnsi="Helvetica" w:cs="Helvetica"/>
          <w:sz w:val="12"/>
          <w:szCs w:val="12"/>
        </w:rPr>
        <w:t>Factor</w:t>
      </w:r>
      <w:proofErr w:type="spellEnd"/>
      <w:r w:rsidRPr="002652BB">
        <w:rPr>
          <w:rFonts w:ascii="Helvetica" w:hAnsi="Helvetica" w:cs="Helvetica"/>
          <w:sz w:val="12"/>
          <w:szCs w:val="12"/>
        </w:rPr>
        <w:t xml:space="preserve"> Sp. z o.o.; nr</w:t>
      </w:r>
      <w:r w:rsidRPr="002652BB">
        <w:rPr>
          <w:rFonts w:ascii="Helvetica" w:hAnsi="Helvetica" w:cs="Helvetica"/>
          <w:b/>
          <w:sz w:val="12"/>
          <w:szCs w:val="12"/>
        </w:rPr>
        <w:t> </w:t>
      </w:r>
      <w:r w:rsidRPr="002652BB">
        <w:rPr>
          <w:rFonts w:ascii="Helvetica" w:hAnsi="Helvetica" w:cs="Helvetica"/>
          <w:sz w:val="12"/>
          <w:szCs w:val="12"/>
        </w:rPr>
        <w:t xml:space="preserve">18.DI.PN.2020 IT Solution </w:t>
      </w:r>
      <w:proofErr w:type="spellStart"/>
      <w:r w:rsidRPr="002652BB">
        <w:rPr>
          <w:rFonts w:ascii="Helvetica" w:hAnsi="Helvetica" w:cs="Helvetica"/>
          <w:sz w:val="12"/>
          <w:szCs w:val="12"/>
        </w:rPr>
        <w:t>Factor</w:t>
      </w:r>
      <w:proofErr w:type="spellEnd"/>
      <w:r w:rsidRPr="002652BB">
        <w:rPr>
          <w:rFonts w:ascii="Helvetica" w:hAnsi="Helvetica" w:cs="Helvetica"/>
          <w:sz w:val="12"/>
          <w:szCs w:val="12"/>
        </w:rPr>
        <w:t xml:space="preserve"> Sp. z o.o.; nr 17.DI.PN.2020 </w:t>
      </w:r>
      <w:proofErr w:type="spellStart"/>
      <w:r w:rsidRPr="002652BB">
        <w:rPr>
          <w:rFonts w:ascii="Helvetica" w:hAnsi="Helvetica" w:cs="Helvetica"/>
          <w:sz w:val="12"/>
          <w:szCs w:val="12"/>
        </w:rPr>
        <w:t>Softiq</w:t>
      </w:r>
      <w:proofErr w:type="spellEnd"/>
      <w:r w:rsidRPr="002652BB">
        <w:rPr>
          <w:rFonts w:ascii="Helvetica" w:hAnsi="Helvetica" w:cs="Helvetica"/>
          <w:sz w:val="12"/>
          <w:szCs w:val="12"/>
        </w:rPr>
        <w:t xml:space="preserve"> Sp. z o.o.; nr 11.DI.PN.2019 </w:t>
      </w:r>
      <w:proofErr w:type="spellStart"/>
      <w:r w:rsidRPr="002652BB">
        <w:rPr>
          <w:rFonts w:ascii="Helvetica" w:hAnsi="Helvetica" w:cs="Helvetica"/>
          <w:sz w:val="12"/>
          <w:szCs w:val="12"/>
        </w:rPr>
        <w:t>Softiq</w:t>
      </w:r>
      <w:proofErr w:type="spellEnd"/>
      <w:r w:rsidRPr="002652BB">
        <w:rPr>
          <w:rFonts w:ascii="Helvetica" w:hAnsi="Helvetica" w:cs="Helvetica"/>
          <w:sz w:val="12"/>
          <w:szCs w:val="12"/>
        </w:rPr>
        <w:t xml:space="preserve"> Sp. z o.o.; nr 25.DI.PN.2020.2021 </w:t>
      </w:r>
      <w:proofErr w:type="spellStart"/>
      <w:r w:rsidRPr="002652BB">
        <w:rPr>
          <w:rFonts w:ascii="Helvetica" w:hAnsi="Helvetica" w:cs="Helvetica"/>
          <w:sz w:val="12"/>
          <w:szCs w:val="12"/>
        </w:rPr>
        <w:t>Softiq</w:t>
      </w:r>
      <w:proofErr w:type="spellEnd"/>
      <w:r w:rsidRPr="002652BB">
        <w:rPr>
          <w:rFonts w:ascii="Helvetica" w:hAnsi="Helvetica" w:cs="Helvetica"/>
          <w:sz w:val="12"/>
          <w:szCs w:val="12"/>
        </w:rPr>
        <w:t xml:space="preserve"> Sp. z o.o.; nr</w:t>
      </w:r>
      <w:r w:rsidRPr="002652BB">
        <w:rPr>
          <w:rFonts w:ascii="Helvetica" w:hAnsi="Helvetica" w:cs="Helvetica"/>
          <w:b/>
          <w:sz w:val="12"/>
          <w:szCs w:val="12"/>
        </w:rPr>
        <w:t> </w:t>
      </w:r>
      <w:r w:rsidRPr="002652BB">
        <w:rPr>
          <w:rFonts w:ascii="Helvetica" w:hAnsi="Helvetica" w:cs="Helvetica"/>
          <w:sz w:val="12"/>
          <w:szCs w:val="12"/>
        </w:rPr>
        <w:t xml:space="preserve">18.DI.PN.2016 </w:t>
      </w:r>
      <w:proofErr w:type="spellStart"/>
      <w:r w:rsidRPr="002652BB">
        <w:rPr>
          <w:rFonts w:ascii="Helvetica" w:hAnsi="Helvetica" w:cs="Helvetica"/>
          <w:sz w:val="12"/>
          <w:szCs w:val="12"/>
        </w:rPr>
        <w:t>Sygnity</w:t>
      </w:r>
      <w:proofErr w:type="spellEnd"/>
      <w:r w:rsidRPr="002652BB">
        <w:rPr>
          <w:rFonts w:ascii="Helvetica" w:hAnsi="Helvetica" w:cs="Helvetica"/>
          <w:sz w:val="12"/>
          <w:szCs w:val="12"/>
        </w:rPr>
        <w:t xml:space="preserve"> S.A; nr DI.WI.3.2021 </w:t>
      </w:r>
      <w:proofErr w:type="spellStart"/>
      <w:r w:rsidRPr="002652BB">
        <w:rPr>
          <w:rFonts w:ascii="Helvetica" w:hAnsi="Helvetica" w:cs="Helvetica"/>
          <w:sz w:val="12"/>
          <w:szCs w:val="12"/>
        </w:rPr>
        <w:t>Hostlab</w:t>
      </w:r>
      <w:proofErr w:type="spellEnd"/>
      <w:r w:rsidRPr="002652BB">
        <w:rPr>
          <w:rFonts w:ascii="Helvetica" w:hAnsi="Helvetica" w:cs="Helvetica"/>
          <w:sz w:val="12"/>
          <w:szCs w:val="12"/>
        </w:rPr>
        <w:t xml:space="preserve"> </w:t>
      </w:r>
      <w:r w:rsidR="002D0754">
        <w:rPr>
          <w:rFonts w:ascii="Helvetica" w:hAnsi="Helvetica" w:cs="Helvetica"/>
          <w:sz w:val="12"/>
          <w:szCs w:val="12"/>
          <w:shd w:val="clear" w:color="auto" w:fill="000000" w:themeFill="text1"/>
        </w:rPr>
        <w:t xml:space="preserve">         </w:t>
      </w:r>
      <w:r w:rsidRPr="002652BB">
        <w:rPr>
          <w:rFonts w:ascii="Helvetica" w:hAnsi="Helvetica" w:cs="Helvetica"/>
          <w:sz w:val="12"/>
          <w:szCs w:val="12"/>
        </w:rPr>
        <w:t xml:space="preserve"> i Wspólnicy Sp. J; nr 34.DI.PN.2020 SLX Sp. z o.o.; nr 30.DI.PN.2020 MBA System Sp. z o.o.</w:t>
      </w:r>
    </w:p>
  </w:footnote>
  <w:footnote w:id="93">
    <w:p w14:paraId="0206FFD5" w14:textId="77777777" w:rsidR="006F4943" w:rsidRPr="002652BB" w:rsidRDefault="006F4943" w:rsidP="004D1514">
      <w:pPr>
        <w:pStyle w:val="Tekstprzypisudolnego"/>
        <w:jc w:val="both"/>
        <w:rPr>
          <w:rFonts w:ascii="Helvetica" w:hAnsi="Helvetica" w:cs="Helvetica"/>
          <w:b/>
          <w:sz w:val="12"/>
          <w:szCs w:val="12"/>
        </w:rPr>
      </w:pPr>
      <w:r w:rsidRPr="000960A6">
        <w:rPr>
          <w:rStyle w:val="Odwoanieprzypisudolnego"/>
          <w:rFonts w:ascii="Helvetica" w:hAnsi="Helvetica" w:cs="Helvetica"/>
          <w:sz w:val="12"/>
          <w:szCs w:val="12"/>
        </w:rPr>
        <w:footnoteRef/>
      </w:r>
      <w:r w:rsidRPr="002652BB">
        <w:rPr>
          <w:rFonts w:ascii="Helvetica" w:hAnsi="Helvetica" w:cs="Helvetica"/>
          <w:sz w:val="12"/>
          <w:szCs w:val="12"/>
        </w:rPr>
        <w:t xml:space="preserve"> Próbę do badania dobrano metodą celową uwzględniając: wartość umowy, zasadność jej zawarcia, istotność przedmiotu umowy dla badanego obszaru oraz czy przedmiot umowy dotyczy wybranych do badania 3 systemów (CSIZS, PIU </w:t>
      </w:r>
      <w:proofErr w:type="spellStart"/>
      <w:r w:rsidRPr="002652BB">
        <w:rPr>
          <w:rFonts w:ascii="Helvetica" w:hAnsi="Helvetica" w:cs="Helvetica"/>
          <w:sz w:val="12"/>
          <w:szCs w:val="12"/>
        </w:rPr>
        <w:t>Emp@tia</w:t>
      </w:r>
      <w:proofErr w:type="spellEnd"/>
      <w:r w:rsidRPr="002652BB">
        <w:rPr>
          <w:rFonts w:ascii="Helvetica" w:hAnsi="Helvetica" w:cs="Helvetica"/>
          <w:sz w:val="12"/>
          <w:szCs w:val="12"/>
        </w:rPr>
        <w:t>, SI KDR).</w:t>
      </w:r>
    </w:p>
  </w:footnote>
  <w:footnote w:id="94">
    <w:p w14:paraId="61914DD7" w14:textId="06952F6B" w:rsidR="006F4943" w:rsidRPr="002652BB" w:rsidRDefault="006F4943" w:rsidP="004D1514">
      <w:pPr>
        <w:pStyle w:val="Tekstprzypisudolnego"/>
        <w:jc w:val="both"/>
        <w:rPr>
          <w:rFonts w:ascii="Helvetica" w:hAnsi="Helvetica" w:cs="Helvetica"/>
          <w:sz w:val="12"/>
          <w:szCs w:val="12"/>
        </w:rPr>
      </w:pPr>
      <w:r w:rsidRPr="000960A6">
        <w:rPr>
          <w:rStyle w:val="Odwoanieprzypisudolnego"/>
          <w:rFonts w:ascii="Helvetica" w:hAnsi="Helvetica" w:cs="Helvetica"/>
          <w:sz w:val="12"/>
          <w:szCs w:val="12"/>
        </w:rPr>
        <w:footnoteRef/>
      </w:r>
      <w:r w:rsidRPr="002652BB">
        <w:rPr>
          <w:rFonts w:ascii="Helvetica" w:hAnsi="Helvetica" w:cs="Helvetica"/>
          <w:sz w:val="12"/>
          <w:szCs w:val="12"/>
        </w:rPr>
        <w:t xml:space="preserve"> Umowy: nr 28.DI.PN.2019.2020 </w:t>
      </w:r>
      <w:proofErr w:type="spellStart"/>
      <w:r w:rsidRPr="002652BB">
        <w:rPr>
          <w:rFonts w:ascii="Helvetica" w:hAnsi="Helvetica" w:cs="Helvetica"/>
          <w:sz w:val="12"/>
          <w:szCs w:val="12"/>
        </w:rPr>
        <w:t>Integrated</w:t>
      </w:r>
      <w:proofErr w:type="spellEnd"/>
      <w:r w:rsidRPr="002652BB">
        <w:rPr>
          <w:rFonts w:ascii="Helvetica" w:hAnsi="Helvetica" w:cs="Helvetica"/>
          <w:sz w:val="12"/>
          <w:szCs w:val="12"/>
        </w:rPr>
        <w:t xml:space="preserve"> Solutions </w:t>
      </w:r>
      <w:proofErr w:type="spellStart"/>
      <w:r w:rsidRPr="002652BB">
        <w:rPr>
          <w:rFonts w:ascii="Helvetica" w:hAnsi="Helvetica" w:cs="Helvetica"/>
          <w:sz w:val="12"/>
          <w:szCs w:val="12"/>
        </w:rPr>
        <w:t>Sp</w:t>
      </w:r>
      <w:proofErr w:type="spellEnd"/>
      <w:r w:rsidRPr="002652BB">
        <w:rPr>
          <w:rFonts w:ascii="Helvetica" w:hAnsi="Helvetica" w:cs="Helvetica"/>
          <w:sz w:val="12"/>
          <w:szCs w:val="12"/>
        </w:rPr>
        <w:t xml:space="preserve"> z o.o.; nr 32.DI.PN.2019.2020 S&amp;T Poland Sp. z </w:t>
      </w:r>
      <w:proofErr w:type="spellStart"/>
      <w:r w:rsidRPr="002652BB">
        <w:rPr>
          <w:rFonts w:ascii="Helvetica" w:hAnsi="Helvetica" w:cs="Helvetica"/>
          <w:sz w:val="12"/>
          <w:szCs w:val="12"/>
        </w:rPr>
        <w:t>o.o</w:t>
      </w:r>
      <w:proofErr w:type="spellEnd"/>
      <w:r w:rsidRPr="002652BB">
        <w:rPr>
          <w:rFonts w:ascii="Helvetica" w:hAnsi="Helvetica" w:cs="Helvetica"/>
          <w:sz w:val="12"/>
          <w:szCs w:val="12"/>
        </w:rPr>
        <w:t xml:space="preserve">; nr 13.DI.PN.2018 IT Solution </w:t>
      </w:r>
      <w:proofErr w:type="spellStart"/>
      <w:r w:rsidRPr="002652BB">
        <w:rPr>
          <w:rFonts w:ascii="Helvetica" w:hAnsi="Helvetica" w:cs="Helvetica"/>
          <w:sz w:val="12"/>
          <w:szCs w:val="12"/>
        </w:rPr>
        <w:t>Factor</w:t>
      </w:r>
      <w:proofErr w:type="spellEnd"/>
      <w:r w:rsidRPr="002652BB">
        <w:rPr>
          <w:rFonts w:ascii="Helvetica" w:hAnsi="Helvetica" w:cs="Helvetica"/>
          <w:sz w:val="12"/>
          <w:szCs w:val="12"/>
        </w:rPr>
        <w:t xml:space="preserve"> Sp. z o.o.; nr 18.DI.PN.2020 IT Solution </w:t>
      </w:r>
      <w:proofErr w:type="spellStart"/>
      <w:r w:rsidRPr="002652BB">
        <w:rPr>
          <w:rFonts w:ascii="Helvetica" w:hAnsi="Helvetica" w:cs="Helvetica"/>
          <w:sz w:val="12"/>
          <w:szCs w:val="12"/>
        </w:rPr>
        <w:t>Factor</w:t>
      </w:r>
      <w:proofErr w:type="spellEnd"/>
      <w:r w:rsidRPr="002652BB">
        <w:rPr>
          <w:rFonts w:ascii="Helvetica" w:hAnsi="Helvetica" w:cs="Helvetica"/>
          <w:sz w:val="12"/>
          <w:szCs w:val="12"/>
        </w:rPr>
        <w:t xml:space="preserve"> Sp. z o.o.; nr 17.DI.PN.2020 </w:t>
      </w:r>
      <w:proofErr w:type="spellStart"/>
      <w:r w:rsidRPr="002652BB">
        <w:rPr>
          <w:rFonts w:ascii="Helvetica" w:hAnsi="Helvetica" w:cs="Helvetica"/>
          <w:sz w:val="12"/>
          <w:szCs w:val="12"/>
        </w:rPr>
        <w:t>Softiq</w:t>
      </w:r>
      <w:proofErr w:type="spellEnd"/>
      <w:r w:rsidRPr="002652BB">
        <w:rPr>
          <w:rFonts w:ascii="Helvetica" w:hAnsi="Helvetica" w:cs="Helvetica"/>
          <w:sz w:val="12"/>
          <w:szCs w:val="12"/>
        </w:rPr>
        <w:t xml:space="preserve"> Sp. z o.o.; nr 11.DI.PN.2019 </w:t>
      </w:r>
      <w:proofErr w:type="spellStart"/>
      <w:r w:rsidRPr="002652BB">
        <w:rPr>
          <w:rFonts w:ascii="Helvetica" w:hAnsi="Helvetica" w:cs="Helvetica"/>
          <w:sz w:val="12"/>
          <w:szCs w:val="12"/>
        </w:rPr>
        <w:t>Softiq</w:t>
      </w:r>
      <w:proofErr w:type="spellEnd"/>
      <w:r w:rsidRPr="002652BB">
        <w:rPr>
          <w:rFonts w:ascii="Helvetica" w:hAnsi="Helvetica" w:cs="Helvetica"/>
          <w:sz w:val="12"/>
          <w:szCs w:val="12"/>
        </w:rPr>
        <w:t xml:space="preserve"> Sp. z o.o.; nr 25.DI.PN.2020.2021 </w:t>
      </w:r>
      <w:proofErr w:type="spellStart"/>
      <w:r w:rsidRPr="002652BB">
        <w:rPr>
          <w:rFonts w:ascii="Helvetica" w:hAnsi="Helvetica" w:cs="Helvetica"/>
          <w:sz w:val="12"/>
          <w:szCs w:val="12"/>
        </w:rPr>
        <w:t>Softiq</w:t>
      </w:r>
      <w:proofErr w:type="spellEnd"/>
      <w:r w:rsidRPr="002652BB">
        <w:rPr>
          <w:rFonts w:ascii="Helvetica" w:hAnsi="Helvetica" w:cs="Helvetica"/>
          <w:sz w:val="12"/>
          <w:szCs w:val="12"/>
        </w:rPr>
        <w:t xml:space="preserve"> Sp. z o.o.; nr 18.DI.PN.2016 </w:t>
      </w:r>
      <w:proofErr w:type="spellStart"/>
      <w:r w:rsidRPr="002652BB">
        <w:rPr>
          <w:rFonts w:ascii="Helvetica" w:hAnsi="Helvetica" w:cs="Helvetica"/>
          <w:sz w:val="12"/>
          <w:szCs w:val="12"/>
        </w:rPr>
        <w:t>Sygnity</w:t>
      </w:r>
      <w:proofErr w:type="spellEnd"/>
      <w:r w:rsidRPr="002652BB">
        <w:rPr>
          <w:rFonts w:ascii="Helvetica" w:hAnsi="Helvetica" w:cs="Helvetica"/>
          <w:sz w:val="12"/>
          <w:szCs w:val="12"/>
        </w:rPr>
        <w:t xml:space="preserve"> S.A; nr DI.WI.3.2021 </w:t>
      </w:r>
      <w:proofErr w:type="spellStart"/>
      <w:r w:rsidRPr="002652BB">
        <w:rPr>
          <w:rFonts w:ascii="Helvetica" w:hAnsi="Helvetica" w:cs="Helvetica"/>
          <w:sz w:val="12"/>
          <w:szCs w:val="12"/>
        </w:rPr>
        <w:t>Hostlab</w:t>
      </w:r>
      <w:proofErr w:type="spellEnd"/>
      <w:r w:rsidRPr="002652BB">
        <w:rPr>
          <w:rFonts w:ascii="Helvetica" w:hAnsi="Helvetica" w:cs="Helvetica"/>
          <w:sz w:val="12"/>
          <w:szCs w:val="12"/>
        </w:rPr>
        <w:t xml:space="preserve"> </w:t>
      </w:r>
      <w:r w:rsidR="002D0754">
        <w:rPr>
          <w:rFonts w:ascii="Helvetica" w:hAnsi="Helvetica" w:cs="Helvetica"/>
          <w:sz w:val="12"/>
          <w:szCs w:val="12"/>
          <w:shd w:val="clear" w:color="auto" w:fill="000000" w:themeFill="text1"/>
        </w:rPr>
        <w:t xml:space="preserve">          </w:t>
      </w:r>
      <w:r w:rsidRPr="002652BB">
        <w:rPr>
          <w:rFonts w:ascii="Helvetica" w:hAnsi="Helvetica" w:cs="Helvetica"/>
          <w:sz w:val="12"/>
          <w:szCs w:val="12"/>
        </w:rPr>
        <w:t xml:space="preserve"> i Wspólnicy Sp. J; nr 34.DI.PN.2020 SLX Sp. z o.o.</w:t>
      </w:r>
    </w:p>
  </w:footnote>
  <w:footnote w:id="95">
    <w:p w14:paraId="1E642B8B" w14:textId="77777777" w:rsidR="006F4943" w:rsidRPr="002652BB" w:rsidRDefault="006F4943" w:rsidP="004D1514">
      <w:pPr>
        <w:pStyle w:val="Tekstprzypisudolnego"/>
        <w:rPr>
          <w:rFonts w:ascii="Helvetica" w:hAnsi="Helvetica" w:cs="Helvetica"/>
          <w:sz w:val="12"/>
          <w:szCs w:val="12"/>
        </w:rPr>
      </w:pPr>
      <w:r w:rsidRPr="002652BB">
        <w:rPr>
          <w:rStyle w:val="Odwoanieprzypisudolnego"/>
          <w:rFonts w:ascii="Helvetica" w:hAnsi="Helvetica" w:cs="Helvetica"/>
          <w:sz w:val="12"/>
          <w:szCs w:val="12"/>
        </w:rPr>
        <w:footnoteRef/>
      </w:r>
      <w:r w:rsidRPr="002652BB">
        <w:rPr>
          <w:rFonts w:ascii="Helvetica" w:hAnsi="Helvetica" w:cs="Helvetica"/>
          <w:sz w:val="12"/>
          <w:szCs w:val="12"/>
        </w:rPr>
        <w:t xml:space="preserve"> Umowa nr 30.DI.PN.2020 MBA System Sp. z o.o.</w:t>
      </w:r>
    </w:p>
  </w:footnote>
  <w:footnote w:id="96">
    <w:p w14:paraId="03E73656" w14:textId="77777777" w:rsidR="006F4943" w:rsidRPr="002652BB" w:rsidRDefault="006F4943" w:rsidP="004D1514">
      <w:pPr>
        <w:pStyle w:val="Tekstprzypisudolnego"/>
        <w:jc w:val="both"/>
        <w:rPr>
          <w:rFonts w:ascii="Helvetica" w:hAnsi="Helvetica" w:cs="Helvetica"/>
          <w:sz w:val="12"/>
          <w:szCs w:val="12"/>
        </w:rPr>
      </w:pPr>
      <w:r w:rsidRPr="000960A6">
        <w:rPr>
          <w:rStyle w:val="Odwoanieprzypisudolnego"/>
          <w:rFonts w:ascii="Helvetica" w:hAnsi="Helvetica" w:cs="Helvetica"/>
          <w:sz w:val="12"/>
          <w:szCs w:val="12"/>
        </w:rPr>
        <w:footnoteRef/>
      </w:r>
      <w:r w:rsidRPr="002652BB">
        <w:rPr>
          <w:rFonts w:ascii="Helvetica" w:hAnsi="Helvetica" w:cs="Helvetica"/>
          <w:sz w:val="12"/>
          <w:szCs w:val="12"/>
        </w:rPr>
        <w:t xml:space="preserve"> Pismo z 19 lipca 2021 r., znak: DI.III.081.5.18.2021.PW.</w:t>
      </w:r>
    </w:p>
  </w:footnote>
  <w:footnote w:id="97">
    <w:p w14:paraId="581C359E" w14:textId="77777777" w:rsidR="006F4943" w:rsidRPr="002652BB" w:rsidRDefault="006F4943" w:rsidP="004D1514">
      <w:pPr>
        <w:pStyle w:val="Tekstprzypisudolnego"/>
        <w:jc w:val="both"/>
        <w:rPr>
          <w:rFonts w:ascii="Helvetica" w:hAnsi="Helvetica" w:cs="Helvetica"/>
          <w:sz w:val="12"/>
          <w:szCs w:val="12"/>
        </w:rPr>
      </w:pPr>
      <w:r w:rsidRPr="000960A6">
        <w:rPr>
          <w:rStyle w:val="Odwoanieprzypisudolnego"/>
          <w:rFonts w:ascii="Helvetica" w:hAnsi="Helvetica" w:cs="Helvetica"/>
          <w:sz w:val="12"/>
          <w:szCs w:val="12"/>
        </w:rPr>
        <w:footnoteRef/>
      </w:r>
      <w:r w:rsidRPr="002652BB">
        <w:rPr>
          <w:rFonts w:ascii="Helvetica" w:hAnsi="Helvetica" w:cs="Helvetica"/>
          <w:sz w:val="12"/>
          <w:szCs w:val="12"/>
        </w:rPr>
        <w:t xml:space="preserve"> Pismo z 19 lipca 2021 r., znak: DI.III.081.5.18.2021.PW.</w:t>
      </w:r>
    </w:p>
  </w:footnote>
  <w:footnote w:id="98">
    <w:p w14:paraId="4D41C6F7" w14:textId="60431999" w:rsidR="006F4943" w:rsidRPr="002652BB" w:rsidRDefault="006F4943" w:rsidP="004D1514">
      <w:pPr>
        <w:pStyle w:val="Tekstprzypisudolnego"/>
        <w:jc w:val="both"/>
        <w:rPr>
          <w:rFonts w:ascii="Helvetica" w:hAnsi="Helvetica" w:cs="Helvetica"/>
          <w:sz w:val="12"/>
          <w:szCs w:val="12"/>
        </w:rPr>
      </w:pPr>
      <w:r w:rsidRPr="000960A6">
        <w:rPr>
          <w:rStyle w:val="Odwoanieprzypisudolnego"/>
          <w:rFonts w:ascii="Helvetica" w:hAnsi="Helvetica" w:cs="Helvetica"/>
          <w:sz w:val="12"/>
          <w:szCs w:val="12"/>
        </w:rPr>
        <w:footnoteRef/>
      </w:r>
      <w:r w:rsidRPr="002652BB">
        <w:rPr>
          <w:rFonts w:ascii="Helvetica" w:hAnsi="Helvetica" w:cs="Helvetica"/>
          <w:sz w:val="12"/>
          <w:szCs w:val="12"/>
        </w:rPr>
        <w:t xml:space="preserve"> Umowy: nr 18.DI.PN.2020 IT Solution </w:t>
      </w:r>
      <w:proofErr w:type="spellStart"/>
      <w:r w:rsidRPr="002652BB">
        <w:rPr>
          <w:rFonts w:ascii="Helvetica" w:hAnsi="Helvetica" w:cs="Helvetica"/>
          <w:sz w:val="12"/>
          <w:szCs w:val="12"/>
        </w:rPr>
        <w:t>Factor</w:t>
      </w:r>
      <w:proofErr w:type="spellEnd"/>
      <w:r w:rsidRPr="002652BB">
        <w:rPr>
          <w:rFonts w:ascii="Helvetica" w:hAnsi="Helvetica" w:cs="Helvetica"/>
          <w:sz w:val="12"/>
          <w:szCs w:val="12"/>
        </w:rPr>
        <w:t xml:space="preserve"> Sp. z o.o. (wsparcie techniczne producenta dla oprogramowania kopii zapasowej); nr DI.WI.3.2021 </w:t>
      </w:r>
      <w:proofErr w:type="spellStart"/>
      <w:r w:rsidRPr="002652BB">
        <w:rPr>
          <w:rFonts w:ascii="Helvetica" w:hAnsi="Helvetica" w:cs="Helvetica"/>
          <w:sz w:val="12"/>
          <w:szCs w:val="12"/>
        </w:rPr>
        <w:t>Hostlab</w:t>
      </w:r>
      <w:proofErr w:type="spellEnd"/>
      <w:r w:rsidRPr="002652BB">
        <w:rPr>
          <w:rFonts w:ascii="Helvetica" w:hAnsi="Helvetica" w:cs="Helvetica"/>
          <w:sz w:val="12"/>
          <w:szCs w:val="12"/>
        </w:rPr>
        <w:t xml:space="preserve"> </w:t>
      </w:r>
      <w:r w:rsidR="00616E31">
        <w:rPr>
          <w:rFonts w:ascii="Helvetica" w:hAnsi="Helvetica" w:cs="Helvetica"/>
          <w:sz w:val="12"/>
          <w:szCs w:val="12"/>
          <w:shd w:val="clear" w:color="auto" w:fill="000000" w:themeFill="text1"/>
        </w:rPr>
        <w:t xml:space="preserve">          </w:t>
      </w:r>
      <w:r w:rsidRPr="002652BB">
        <w:rPr>
          <w:rFonts w:ascii="Helvetica" w:hAnsi="Helvetica" w:cs="Helvetica"/>
          <w:sz w:val="12"/>
          <w:szCs w:val="12"/>
        </w:rPr>
        <w:t xml:space="preserve"> i Wspólnicy Sp. J (przygotowanie serwisu internetowego nt. programów realizowanych przez </w:t>
      </w:r>
      <w:proofErr w:type="spellStart"/>
      <w:r w:rsidRPr="002652BB">
        <w:rPr>
          <w:rFonts w:ascii="Helvetica" w:hAnsi="Helvetica" w:cs="Helvetica"/>
          <w:sz w:val="12"/>
          <w:szCs w:val="12"/>
        </w:rPr>
        <w:t>MRiPS</w:t>
      </w:r>
      <w:proofErr w:type="spellEnd"/>
      <w:r w:rsidRPr="002652BB">
        <w:rPr>
          <w:rFonts w:ascii="Helvetica" w:hAnsi="Helvetica" w:cs="Helvetica"/>
          <w:sz w:val="12"/>
          <w:szCs w:val="12"/>
        </w:rPr>
        <w:t>); nr 34.DI.PN.2020 SLX Sp. z o.o. (dostawa wraz z instalacją i konfiguracją zestawu do</w:t>
      </w:r>
      <w:r>
        <w:rPr>
          <w:rFonts w:ascii="Helvetica" w:hAnsi="Helvetica" w:cs="Helvetica"/>
          <w:sz w:val="12"/>
          <w:szCs w:val="12"/>
        </w:rPr>
        <w:t> </w:t>
      </w:r>
      <w:r w:rsidRPr="002652BB">
        <w:rPr>
          <w:rFonts w:ascii="Helvetica" w:hAnsi="Helvetica" w:cs="Helvetica"/>
          <w:sz w:val="12"/>
          <w:szCs w:val="12"/>
        </w:rPr>
        <w:t>wideokonferencji).</w:t>
      </w:r>
    </w:p>
  </w:footnote>
  <w:footnote w:id="99">
    <w:p w14:paraId="6F7AC007" w14:textId="77777777" w:rsidR="006F4943" w:rsidRPr="002652BB" w:rsidRDefault="006F4943" w:rsidP="004D1514">
      <w:pPr>
        <w:pStyle w:val="Tekstprzypisudolnego"/>
        <w:jc w:val="both"/>
        <w:rPr>
          <w:rFonts w:ascii="Helvetica" w:hAnsi="Helvetica" w:cs="Helvetica"/>
          <w:sz w:val="12"/>
          <w:szCs w:val="12"/>
        </w:rPr>
      </w:pPr>
      <w:r w:rsidRPr="000960A6">
        <w:rPr>
          <w:rStyle w:val="Odwoanieprzypisudolnego"/>
          <w:rFonts w:ascii="Helvetica" w:hAnsi="Helvetica" w:cs="Helvetica"/>
          <w:sz w:val="12"/>
          <w:szCs w:val="12"/>
        </w:rPr>
        <w:footnoteRef/>
      </w:r>
      <w:r w:rsidRPr="002652BB">
        <w:rPr>
          <w:rFonts w:ascii="Helvetica" w:hAnsi="Helvetica" w:cs="Helvetica"/>
          <w:sz w:val="12"/>
          <w:szCs w:val="12"/>
        </w:rPr>
        <w:t xml:space="preserve"> Pismo z 19 lipca 2021 r., znak</w:t>
      </w:r>
      <w:r>
        <w:rPr>
          <w:rFonts w:ascii="Helvetica" w:hAnsi="Helvetica" w:cs="Helvetica"/>
          <w:sz w:val="12"/>
          <w:szCs w:val="12"/>
        </w:rPr>
        <w:t>: DI.III.081.5.18.2021.PW</w:t>
      </w:r>
      <w:r w:rsidRPr="002652BB">
        <w:rPr>
          <w:rFonts w:ascii="Helvetica" w:hAnsi="Helvetica" w:cs="Helvetica"/>
          <w:sz w:val="12"/>
          <w:szCs w:val="12"/>
        </w:rPr>
        <w:t>.</w:t>
      </w:r>
    </w:p>
  </w:footnote>
  <w:footnote w:id="100">
    <w:p w14:paraId="5325C5A0" w14:textId="77777777" w:rsidR="006F4943" w:rsidRPr="002652BB" w:rsidRDefault="006F4943" w:rsidP="004D1514">
      <w:pPr>
        <w:pStyle w:val="Tekstprzypisudolnego"/>
        <w:jc w:val="both"/>
        <w:rPr>
          <w:rFonts w:ascii="Helvetica" w:hAnsi="Helvetica" w:cs="Helvetica"/>
          <w:sz w:val="12"/>
          <w:szCs w:val="12"/>
        </w:rPr>
      </w:pPr>
      <w:r w:rsidRPr="000960A6">
        <w:rPr>
          <w:rStyle w:val="Odwoanieprzypisudolnego"/>
          <w:rFonts w:ascii="Helvetica" w:hAnsi="Helvetica" w:cs="Helvetica"/>
          <w:sz w:val="12"/>
          <w:szCs w:val="12"/>
        </w:rPr>
        <w:footnoteRef/>
      </w:r>
      <w:r w:rsidRPr="002652BB">
        <w:rPr>
          <w:rFonts w:ascii="Helvetica" w:hAnsi="Helvetica" w:cs="Helvetica"/>
          <w:sz w:val="12"/>
          <w:szCs w:val="12"/>
        </w:rPr>
        <w:t xml:space="preserve"> Umowy: nr 28.DI.PN.2019.2020 </w:t>
      </w:r>
      <w:proofErr w:type="spellStart"/>
      <w:r w:rsidRPr="002652BB">
        <w:rPr>
          <w:rFonts w:ascii="Helvetica" w:hAnsi="Helvetica" w:cs="Helvetica"/>
          <w:sz w:val="12"/>
          <w:szCs w:val="12"/>
        </w:rPr>
        <w:t>Integrated</w:t>
      </w:r>
      <w:proofErr w:type="spellEnd"/>
      <w:r w:rsidRPr="002652BB">
        <w:rPr>
          <w:rFonts w:ascii="Helvetica" w:hAnsi="Helvetica" w:cs="Helvetica"/>
          <w:sz w:val="12"/>
          <w:szCs w:val="12"/>
        </w:rPr>
        <w:t xml:space="preserve"> Solutions </w:t>
      </w:r>
      <w:proofErr w:type="spellStart"/>
      <w:r w:rsidRPr="002652BB">
        <w:rPr>
          <w:rFonts w:ascii="Helvetica" w:hAnsi="Helvetica" w:cs="Helvetica"/>
          <w:sz w:val="12"/>
          <w:szCs w:val="12"/>
        </w:rPr>
        <w:t>Sp</w:t>
      </w:r>
      <w:proofErr w:type="spellEnd"/>
      <w:r w:rsidRPr="002652BB">
        <w:rPr>
          <w:rFonts w:ascii="Helvetica" w:hAnsi="Helvetica" w:cs="Helvetica"/>
          <w:sz w:val="12"/>
          <w:szCs w:val="12"/>
        </w:rPr>
        <w:t xml:space="preserve"> z o.o.; nr 32.DI.PN.2019.2020 S&amp;T Poland Sp. z </w:t>
      </w:r>
      <w:proofErr w:type="spellStart"/>
      <w:r w:rsidRPr="002652BB">
        <w:rPr>
          <w:rFonts w:ascii="Helvetica" w:hAnsi="Helvetica" w:cs="Helvetica"/>
          <w:sz w:val="12"/>
          <w:szCs w:val="12"/>
        </w:rPr>
        <w:t>o.o</w:t>
      </w:r>
      <w:proofErr w:type="spellEnd"/>
      <w:r w:rsidRPr="002652BB">
        <w:rPr>
          <w:rFonts w:ascii="Helvetica" w:hAnsi="Helvetica" w:cs="Helvetica"/>
          <w:sz w:val="12"/>
          <w:szCs w:val="12"/>
        </w:rPr>
        <w:t xml:space="preserve">; nr 13.DI.PN.2018 IT Solution </w:t>
      </w:r>
      <w:proofErr w:type="spellStart"/>
      <w:r w:rsidRPr="002652BB">
        <w:rPr>
          <w:rFonts w:ascii="Helvetica" w:hAnsi="Helvetica" w:cs="Helvetica"/>
          <w:sz w:val="12"/>
          <w:szCs w:val="12"/>
        </w:rPr>
        <w:t>Factor</w:t>
      </w:r>
      <w:proofErr w:type="spellEnd"/>
      <w:r w:rsidRPr="002652BB">
        <w:rPr>
          <w:rFonts w:ascii="Helvetica" w:hAnsi="Helvetica" w:cs="Helvetica"/>
          <w:sz w:val="12"/>
          <w:szCs w:val="12"/>
        </w:rPr>
        <w:t xml:space="preserve"> Sp. z o.o.; nr 18.DI.PN.2020 IT Solution </w:t>
      </w:r>
      <w:proofErr w:type="spellStart"/>
      <w:r w:rsidRPr="002652BB">
        <w:rPr>
          <w:rFonts w:ascii="Helvetica" w:hAnsi="Helvetica" w:cs="Helvetica"/>
          <w:sz w:val="12"/>
          <w:szCs w:val="12"/>
        </w:rPr>
        <w:t>Factor</w:t>
      </w:r>
      <w:proofErr w:type="spellEnd"/>
      <w:r w:rsidRPr="002652BB">
        <w:rPr>
          <w:rFonts w:ascii="Helvetica" w:hAnsi="Helvetica" w:cs="Helvetica"/>
          <w:sz w:val="12"/>
          <w:szCs w:val="12"/>
        </w:rPr>
        <w:t xml:space="preserve"> Sp. z o.o.</w:t>
      </w:r>
    </w:p>
  </w:footnote>
  <w:footnote w:id="101">
    <w:p w14:paraId="6B1B7958" w14:textId="77777777" w:rsidR="006F4943" w:rsidRPr="002652BB" w:rsidRDefault="006F4943" w:rsidP="004D1514">
      <w:pPr>
        <w:pStyle w:val="Tekstprzypisudolnego"/>
        <w:jc w:val="both"/>
        <w:rPr>
          <w:rFonts w:ascii="Helvetica" w:hAnsi="Helvetica" w:cs="Helvetica"/>
          <w:sz w:val="12"/>
          <w:szCs w:val="12"/>
        </w:rPr>
      </w:pPr>
      <w:r w:rsidRPr="000960A6">
        <w:rPr>
          <w:rStyle w:val="Odwoanieprzypisudolnego"/>
          <w:rFonts w:ascii="Helvetica" w:hAnsi="Helvetica" w:cs="Helvetica"/>
          <w:sz w:val="12"/>
          <w:szCs w:val="12"/>
        </w:rPr>
        <w:footnoteRef/>
      </w:r>
      <w:r w:rsidRPr="002652BB">
        <w:rPr>
          <w:rFonts w:ascii="Helvetica" w:hAnsi="Helvetica" w:cs="Helvetica"/>
          <w:sz w:val="12"/>
          <w:szCs w:val="12"/>
        </w:rPr>
        <w:t xml:space="preserve"> Pismo z 19 lipca 2021 r., znak</w:t>
      </w:r>
      <w:r>
        <w:rPr>
          <w:rFonts w:ascii="Helvetica" w:hAnsi="Helvetica" w:cs="Helvetica"/>
          <w:sz w:val="12"/>
          <w:szCs w:val="12"/>
        </w:rPr>
        <w:t>: DI.III.081.5.18.2021.PW</w:t>
      </w:r>
      <w:r w:rsidRPr="002652BB">
        <w:rPr>
          <w:rFonts w:ascii="Helvetica" w:hAnsi="Helvetica" w:cs="Helvetica"/>
          <w:sz w:val="12"/>
          <w:szCs w:val="12"/>
        </w:rPr>
        <w:t xml:space="preserve"> oraz pismo z 3 sierpnia 2021 r., znak:</w:t>
      </w:r>
      <w:r>
        <w:rPr>
          <w:rFonts w:ascii="Helvetica" w:hAnsi="Helvetica" w:cs="Helvetica"/>
          <w:sz w:val="12"/>
          <w:szCs w:val="12"/>
        </w:rPr>
        <w:t xml:space="preserve"> BKA-II.081.23.27.2021.IK</w:t>
      </w:r>
      <w:r w:rsidRPr="002652BB">
        <w:rPr>
          <w:rFonts w:ascii="Helvetica" w:hAnsi="Helvetica" w:cs="Helvetica"/>
          <w:sz w:val="12"/>
          <w:szCs w:val="12"/>
        </w:rPr>
        <w:t>.</w:t>
      </w:r>
    </w:p>
  </w:footnote>
  <w:footnote w:id="102">
    <w:p w14:paraId="180B063A" w14:textId="77777777" w:rsidR="006F4943" w:rsidRPr="00936217" w:rsidRDefault="006F4943" w:rsidP="004D1514">
      <w:pPr>
        <w:pStyle w:val="Tekstprzypisudolnego"/>
        <w:jc w:val="both"/>
        <w:rPr>
          <w:rFonts w:ascii="Helvetica" w:hAnsi="Helvetica"/>
          <w:sz w:val="12"/>
          <w:szCs w:val="12"/>
        </w:rPr>
      </w:pPr>
      <w:r w:rsidRPr="000960A6">
        <w:rPr>
          <w:rStyle w:val="Odwoanieprzypisudolnego"/>
          <w:rFonts w:ascii="Helvetica" w:hAnsi="Helvetica" w:cs="Helvetica"/>
          <w:sz w:val="12"/>
          <w:szCs w:val="12"/>
        </w:rPr>
        <w:footnoteRef/>
      </w:r>
      <w:r w:rsidRPr="002652BB">
        <w:rPr>
          <w:rFonts w:ascii="Helvetica" w:hAnsi="Helvetica" w:cs="Helvetica"/>
          <w:sz w:val="12"/>
          <w:szCs w:val="12"/>
        </w:rPr>
        <w:t xml:space="preserve"> Pismo z 3 sierpnia 2021 r., znak: </w:t>
      </w:r>
      <w:r>
        <w:rPr>
          <w:rFonts w:ascii="Helvetica" w:hAnsi="Helvetica" w:cs="Helvetica"/>
          <w:sz w:val="12"/>
          <w:szCs w:val="12"/>
        </w:rPr>
        <w:t>BKA-II.081.23.27.2021.IK</w:t>
      </w:r>
      <w:r w:rsidRPr="002652BB">
        <w:rPr>
          <w:rFonts w:ascii="Helvetica" w:hAnsi="Helvetica" w:cs="Helvetica"/>
          <w:sz w:val="12"/>
          <w:szCs w:val="12"/>
        </w:rPr>
        <w:t>.</w:t>
      </w:r>
    </w:p>
  </w:footnote>
  <w:footnote w:id="103">
    <w:p w14:paraId="79FAB037" w14:textId="77777777" w:rsidR="006F4943" w:rsidRPr="00936217" w:rsidRDefault="006F4943" w:rsidP="004D1514">
      <w:pPr>
        <w:pStyle w:val="Tekstprzypisudolnego"/>
        <w:jc w:val="both"/>
        <w:rPr>
          <w:rFonts w:ascii="Helvetica" w:hAnsi="Helvetica"/>
          <w:b/>
          <w:sz w:val="12"/>
          <w:szCs w:val="12"/>
        </w:rPr>
      </w:pPr>
      <w:r w:rsidRPr="000960A6">
        <w:rPr>
          <w:rStyle w:val="Odwoanieprzypisudolnego"/>
          <w:rFonts w:ascii="Helvetica" w:hAnsi="Helvetica" w:cs="Helvetica"/>
          <w:sz w:val="12"/>
          <w:szCs w:val="12"/>
        </w:rPr>
        <w:footnoteRef/>
      </w:r>
      <w:r w:rsidRPr="00936217">
        <w:rPr>
          <w:rFonts w:ascii="Helvetica" w:hAnsi="Helvetica"/>
          <w:sz w:val="12"/>
          <w:szCs w:val="12"/>
        </w:rPr>
        <w:t xml:space="preserve"> Ustawa z dnia 11 września 2019 r. Prawo zamówień publicznych (Dz. U. z 2021 r. poz. 1129, ze zm.).</w:t>
      </w:r>
    </w:p>
  </w:footnote>
  <w:footnote w:id="104">
    <w:p w14:paraId="21472352" w14:textId="77777777" w:rsidR="006F4943" w:rsidRPr="00936217" w:rsidRDefault="006F4943" w:rsidP="004D1514">
      <w:pPr>
        <w:pStyle w:val="Tekstprzypisudolnego"/>
        <w:jc w:val="both"/>
        <w:rPr>
          <w:rFonts w:ascii="Helvetica" w:hAnsi="Helvetica"/>
          <w:b/>
          <w:sz w:val="12"/>
          <w:szCs w:val="12"/>
        </w:rPr>
      </w:pPr>
      <w:r w:rsidRPr="000960A6">
        <w:rPr>
          <w:rStyle w:val="Odwoanieprzypisudolnego"/>
          <w:rFonts w:ascii="Helvetica" w:hAnsi="Helvetica" w:cs="Helvetica"/>
          <w:sz w:val="12"/>
          <w:szCs w:val="12"/>
        </w:rPr>
        <w:footnoteRef/>
      </w:r>
      <w:r w:rsidRPr="00936217">
        <w:rPr>
          <w:rFonts w:ascii="Helvetica" w:hAnsi="Helvetica"/>
          <w:sz w:val="12"/>
          <w:szCs w:val="12"/>
        </w:rPr>
        <w:t xml:space="preserve"> Ustawa z dnia 27 sierpnia 2009 r. o finansach publicznych (Dz. U. z 2021 r. poz. 305, ze zm.).</w:t>
      </w:r>
    </w:p>
  </w:footnote>
  <w:footnote w:id="105">
    <w:p w14:paraId="4122C5A6" w14:textId="77777777" w:rsidR="006F4943" w:rsidRPr="00936217" w:rsidRDefault="006F4943" w:rsidP="004D1514">
      <w:pPr>
        <w:pStyle w:val="Tekstprzypisudolnego"/>
        <w:jc w:val="both"/>
        <w:rPr>
          <w:rFonts w:ascii="Helvetica" w:hAnsi="Helvetica"/>
          <w:b/>
          <w:sz w:val="12"/>
          <w:szCs w:val="12"/>
        </w:rPr>
      </w:pPr>
      <w:r w:rsidRPr="000960A6">
        <w:rPr>
          <w:rStyle w:val="Odwoanieprzypisudolnego"/>
          <w:rFonts w:ascii="Helvetica" w:hAnsi="Helvetica" w:cs="Helvetica"/>
          <w:sz w:val="12"/>
          <w:szCs w:val="12"/>
        </w:rPr>
        <w:footnoteRef/>
      </w:r>
      <w:r w:rsidRPr="00936217">
        <w:rPr>
          <w:rFonts w:ascii="Helvetica" w:hAnsi="Helvetica"/>
          <w:sz w:val="12"/>
          <w:szCs w:val="12"/>
        </w:rPr>
        <w:t xml:space="preserve"> Rozporządzenie Parlamentu Europejskiego i Rady (UE) 2016/679 z dnia 27 kwietnia 2016 r. w sprawie ochrony osób fizycznych w związku z przetwarzaniem danych osobowych i w sprawie swobodnego przepływu takich danych oraz uchylenia dyrektywy 95/46/W (Dz. Urz. UE.L nr 199, str. 1, ze </w:t>
      </w:r>
      <w:proofErr w:type="spellStart"/>
      <w:r w:rsidRPr="00936217">
        <w:rPr>
          <w:rFonts w:ascii="Helvetica" w:hAnsi="Helvetica"/>
          <w:sz w:val="12"/>
          <w:szCs w:val="12"/>
        </w:rPr>
        <w:t>sprost</w:t>
      </w:r>
      <w:proofErr w:type="spellEnd"/>
      <w:r w:rsidRPr="00936217">
        <w:rPr>
          <w:rFonts w:ascii="Helvetica" w:hAnsi="Helvetica"/>
          <w:sz w:val="12"/>
          <w:szCs w:val="12"/>
        </w:rPr>
        <w:t xml:space="preserve">.) </w:t>
      </w:r>
      <w:r>
        <w:rPr>
          <w:rFonts w:ascii="Helvetica" w:hAnsi="Helvetica"/>
          <w:sz w:val="12"/>
          <w:szCs w:val="12"/>
        </w:rPr>
        <w:t>oraz ustawa z dnia 10 maja 2018 </w:t>
      </w:r>
      <w:r w:rsidRPr="00936217">
        <w:rPr>
          <w:rFonts w:ascii="Helvetica" w:hAnsi="Helvetica"/>
          <w:sz w:val="12"/>
          <w:szCs w:val="12"/>
        </w:rPr>
        <w:t>r. o ochronie danych osobowych (Dz. U. z 2019 r. poz. 1781, t</w:t>
      </w:r>
      <w:r w:rsidRPr="000960A6">
        <w:rPr>
          <w:rFonts w:ascii="Helvetica" w:hAnsi="Helvetica"/>
          <w:sz w:val="12"/>
          <w:szCs w:val="12"/>
        </w:rPr>
        <w:t xml:space="preserve">. </w:t>
      </w:r>
      <w:r w:rsidRPr="00936217">
        <w:rPr>
          <w:rFonts w:ascii="Helvetica" w:hAnsi="Helvetica"/>
          <w:sz w:val="12"/>
          <w:szCs w:val="12"/>
        </w:rPr>
        <w:t>j.).</w:t>
      </w:r>
    </w:p>
  </w:footnote>
  <w:footnote w:id="106">
    <w:p w14:paraId="6E05485E" w14:textId="77777777" w:rsidR="006F4943" w:rsidRPr="00936217" w:rsidRDefault="006F4943" w:rsidP="004D1514">
      <w:pPr>
        <w:pStyle w:val="Tekstprzypisudolnego"/>
        <w:jc w:val="both"/>
        <w:rPr>
          <w:rFonts w:ascii="Helvetica" w:hAnsi="Helvetica"/>
          <w:b/>
          <w:sz w:val="12"/>
          <w:szCs w:val="12"/>
        </w:rPr>
      </w:pPr>
      <w:r w:rsidRPr="000960A6">
        <w:rPr>
          <w:rStyle w:val="Odwoanieprzypisudolnego"/>
          <w:rFonts w:ascii="Helvetica" w:hAnsi="Helvetica" w:cs="Helvetica"/>
          <w:sz w:val="12"/>
          <w:szCs w:val="12"/>
        </w:rPr>
        <w:footnoteRef/>
      </w:r>
      <w:r w:rsidRPr="00936217">
        <w:rPr>
          <w:rFonts w:ascii="Helvetica" w:hAnsi="Helvetica"/>
          <w:sz w:val="12"/>
          <w:szCs w:val="12"/>
        </w:rPr>
        <w:t xml:space="preserve"> Zarządzenie nr 7 Dyrektora Generalnego MRPIPS z dnia 23 maja 2018 r. w sprawie zamówień publicznych; zarządzenie nr 3 Dyrektora Generalnego </w:t>
      </w:r>
      <w:proofErr w:type="spellStart"/>
      <w:r w:rsidRPr="00936217">
        <w:rPr>
          <w:rFonts w:ascii="Helvetica" w:hAnsi="Helvetica"/>
          <w:sz w:val="12"/>
          <w:szCs w:val="12"/>
        </w:rPr>
        <w:t>MRPiPS</w:t>
      </w:r>
      <w:proofErr w:type="spellEnd"/>
      <w:r w:rsidRPr="00936217">
        <w:rPr>
          <w:rFonts w:ascii="Helvetica" w:hAnsi="Helvetica"/>
          <w:sz w:val="12"/>
          <w:szCs w:val="12"/>
        </w:rPr>
        <w:t xml:space="preserve"> z dnia 11 stycznia 2019</w:t>
      </w:r>
      <w:r>
        <w:rPr>
          <w:rFonts w:ascii="Helvetica" w:hAnsi="Helvetica"/>
          <w:sz w:val="12"/>
          <w:szCs w:val="12"/>
        </w:rPr>
        <w:t> </w:t>
      </w:r>
      <w:r w:rsidRPr="00936217">
        <w:rPr>
          <w:rFonts w:ascii="Helvetica" w:hAnsi="Helvetica"/>
          <w:sz w:val="12"/>
          <w:szCs w:val="12"/>
        </w:rPr>
        <w:t xml:space="preserve">r. zmieniające zarządzenie w sprawie zamówień publicznych; zarządzenie Dyrektora Generalnego </w:t>
      </w:r>
      <w:proofErr w:type="spellStart"/>
      <w:r w:rsidRPr="00936217">
        <w:rPr>
          <w:rFonts w:ascii="Helvetica" w:hAnsi="Helvetica"/>
          <w:sz w:val="12"/>
          <w:szCs w:val="12"/>
        </w:rPr>
        <w:t>MRPiPS</w:t>
      </w:r>
      <w:proofErr w:type="spellEnd"/>
      <w:r w:rsidRPr="00936217">
        <w:rPr>
          <w:rFonts w:ascii="Helvetica" w:hAnsi="Helvetica"/>
          <w:sz w:val="12"/>
          <w:szCs w:val="12"/>
        </w:rPr>
        <w:t xml:space="preserve"> z dnia 26 listopada 2019 r. zmieniające zarządzenie w sprawie zamówień publicznych; zarządzenie Dyrektora Generalnego MRIPS z dnia 20 maja 2021 r. w sprawie zamówień publicznych.</w:t>
      </w:r>
    </w:p>
  </w:footnote>
  <w:footnote w:id="107">
    <w:p w14:paraId="5BB640E6" w14:textId="77777777" w:rsidR="006F4943" w:rsidRPr="00936217" w:rsidRDefault="006F4943" w:rsidP="004D1514">
      <w:pPr>
        <w:pStyle w:val="Tekstprzypisudolnego"/>
        <w:jc w:val="both"/>
        <w:rPr>
          <w:rFonts w:ascii="Helvetica" w:hAnsi="Helvetica"/>
          <w:b/>
          <w:sz w:val="12"/>
          <w:szCs w:val="12"/>
        </w:rPr>
      </w:pPr>
      <w:r w:rsidRPr="000960A6">
        <w:rPr>
          <w:rStyle w:val="Odwoanieprzypisudolnego"/>
          <w:rFonts w:ascii="Helvetica" w:hAnsi="Helvetica" w:cs="Helvetica"/>
          <w:sz w:val="12"/>
          <w:szCs w:val="12"/>
        </w:rPr>
        <w:footnoteRef/>
      </w:r>
      <w:r w:rsidRPr="00936217">
        <w:rPr>
          <w:rFonts w:ascii="Helvetica" w:hAnsi="Helvetica"/>
          <w:sz w:val="12"/>
          <w:szCs w:val="12"/>
        </w:rPr>
        <w:t xml:space="preserve"> Pismo z 19 lipca 2021 r., z</w:t>
      </w:r>
      <w:r>
        <w:rPr>
          <w:rFonts w:ascii="Helvetica" w:hAnsi="Helvetica"/>
          <w:sz w:val="12"/>
          <w:szCs w:val="12"/>
        </w:rPr>
        <w:t>nak: DI.III.081.5.18.2021.PW</w:t>
      </w:r>
      <w:r w:rsidRPr="00936217">
        <w:rPr>
          <w:rFonts w:ascii="Helvetica" w:hAnsi="Helvetica"/>
          <w:sz w:val="12"/>
          <w:szCs w:val="12"/>
        </w:rPr>
        <w:t>.</w:t>
      </w:r>
    </w:p>
  </w:footnote>
  <w:footnote w:id="108">
    <w:p w14:paraId="79E4900B" w14:textId="77777777" w:rsidR="006F4943" w:rsidRPr="00936217" w:rsidRDefault="006F4943" w:rsidP="004D1514">
      <w:pPr>
        <w:pStyle w:val="Tekstprzypisudolnego"/>
        <w:jc w:val="both"/>
        <w:rPr>
          <w:rFonts w:ascii="Helvetica" w:hAnsi="Helvetica"/>
          <w:b/>
          <w:sz w:val="12"/>
          <w:szCs w:val="12"/>
        </w:rPr>
      </w:pPr>
      <w:r w:rsidRPr="000960A6">
        <w:rPr>
          <w:rStyle w:val="Odwoanieprzypisudolnego"/>
          <w:rFonts w:ascii="Helvetica" w:hAnsi="Helvetica" w:cs="Helvetica"/>
          <w:sz w:val="12"/>
          <w:szCs w:val="12"/>
        </w:rPr>
        <w:footnoteRef/>
      </w:r>
      <w:r w:rsidRPr="00936217">
        <w:rPr>
          <w:rFonts w:ascii="Helvetica" w:hAnsi="Helvetica"/>
          <w:sz w:val="12"/>
          <w:szCs w:val="12"/>
        </w:rPr>
        <w:t xml:space="preserve"> Pismo z 19 lipca 2021 r., znak</w:t>
      </w:r>
      <w:r>
        <w:rPr>
          <w:rFonts w:ascii="Helvetica" w:hAnsi="Helvetica"/>
          <w:sz w:val="12"/>
          <w:szCs w:val="12"/>
        </w:rPr>
        <w:t>: DI.III.081.5.18.2021.PW</w:t>
      </w:r>
      <w:r w:rsidRPr="00936217">
        <w:rPr>
          <w:rFonts w:ascii="Helvetica" w:hAnsi="Helvetica"/>
          <w:sz w:val="12"/>
          <w:szCs w:val="12"/>
        </w:rPr>
        <w:t>.</w:t>
      </w:r>
    </w:p>
  </w:footnote>
  <w:footnote w:id="109">
    <w:p w14:paraId="5076E3B1" w14:textId="77777777" w:rsidR="006F4943" w:rsidRPr="00936217" w:rsidRDefault="006F4943" w:rsidP="004D1514">
      <w:pPr>
        <w:pStyle w:val="Tekstprzypisudolnego"/>
        <w:jc w:val="both"/>
        <w:rPr>
          <w:rFonts w:ascii="Helvetica" w:hAnsi="Helvetica"/>
          <w:b/>
          <w:sz w:val="12"/>
          <w:szCs w:val="12"/>
        </w:rPr>
      </w:pPr>
      <w:r w:rsidRPr="000960A6">
        <w:rPr>
          <w:rStyle w:val="Odwoanieprzypisudolnego"/>
          <w:rFonts w:ascii="Helvetica" w:hAnsi="Helvetica" w:cs="Helvetica"/>
          <w:sz w:val="12"/>
          <w:szCs w:val="12"/>
        </w:rPr>
        <w:footnoteRef/>
      </w:r>
      <w:r w:rsidRPr="00936217">
        <w:rPr>
          <w:rFonts w:ascii="Helvetica" w:hAnsi="Helvetica"/>
          <w:sz w:val="12"/>
          <w:szCs w:val="12"/>
        </w:rPr>
        <w:t xml:space="preserve"> Załącznik nr 6 do PBI IT.</w:t>
      </w:r>
    </w:p>
  </w:footnote>
  <w:footnote w:id="110">
    <w:p w14:paraId="7C09D424" w14:textId="77777777" w:rsidR="006F4943" w:rsidRPr="00936217" w:rsidRDefault="006F4943" w:rsidP="004D1514">
      <w:pPr>
        <w:pStyle w:val="Tekstprzypisudolnego"/>
        <w:jc w:val="both"/>
        <w:rPr>
          <w:rFonts w:ascii="Helvetica" w:hAnsi="Helvetica"/>
          <w:b/>
          <w:sz w:val="12"/>
          <w:szCs w:val="12"/>
        </w:rPr>
      </w:pPr>
      <w:r w:rsidRPr="000960A6">
        <w:rPr>
          <w:rStyle w:val="Odwoanieprzypisudolnego"/>
          <w:rFonts w:ascii="Helvetica" w:hAnsi="Helvetica" w:cs="Helvetica"/>
          <w:sz w:val="12"/>
          <w:szCs w:val="12"/>
        </w:rPr>
        <w:footnoteRef/>
      </w:r>
      <w:r w:rsidRPr="00936217">
        <w:rPr>
          <w:rFonts w:ascii="Helvetica" w:hAnsi="Helvetica"/>
          <w:sz w:val="12"/>
          <w:szCs w:val="12"/>
        </w:rPr>
        <w:t xml:space="preserve"> Z wyłączeniem umowy nr 30.DI.PN.2020, której przedmiot dot. zakupu laptopów.</w:t>
      </w:r>
    </w:p>
  </w:footnote>
  <w:footnote w:id="111">
    <w:p w14:paraId="201C56ED" w14:textId="7503AE2F" w:rsidR="006F4943" w:rsidRPr="00936217" w:rsidRDefault="006F4943" w:rsidP="004D1514">
      <w:pPr>
        <w:pStyle w:val="Tekstprzypisudolnego"/>
        <w:jc w:val="both"/>
        <w:rPr>
          <w:rFonts w:ascii="Helvetica" w:hAnsi="Helvetica"/>
          <w:b/>
          <w:sz w:val="12"/>
          <w:szCs w:val="12"/>
        </w:rPr>
      </w:pPr>
      <w:r w:rsidRPr="000960A6">
        <w:rPr>
          <w:rStyle w:val="Odwoanieprzypisudolnego"/>
          <w:rFonts w:ascii="Helvetica" w:hAnsi="Helvetica" w:cs="Helvetica"/>
          <w:sz w:val="12"/>
          <w:szCs w:val="12"/>
        </w:rPr>
        <w:footnoteRef/>
      </w:r>
      <w:r w:rsidRPr="00936217">
        <w:rPr>
          <w:rFonts w:ascii="Helvetica" w:hAnsi="Helvetica"/>
          <w:sz w:val="12"/>
          <w:szCs w:val="12"/>
        </w:rPr>
        <w:t xml:space="preserve"> Umowy: nr 28.DI.PN.2019.2020 </w:t>
      </w:r>
      <w:proofErr w:type="spellStart"/>
      <w:r w:rsidRPr="00936217">
        <w:rPr>
          <w:rFonts w:ascii="Helvetica" w:hAnsi="Helvetica"/>
          <w:sz w:val="12"/>
          <w:szCs w:val="12"/>
        </w:rPr>
        <w:t>Integrated</w:t>
      </w:r>
      <w:proofErr w:type="spellEnd"/>
      <w:r w:rsidRPr="00936217">
        <w:rPr>
          <w:rFonts w:ascii="Helvetica" w:hAnsi="Helvetica"/>
          <w:sz w:val="12"/>
          <w:szCs w:val="12"/>
        </w:rPr>
        <w:t xml:space="preserve"> Solutions </w:t>
      </w:r>
      <w:proofErr w:type="spellStart"/>
      <w:r w:rsidRPr="00936217">
        <w:rPr>
          <w:rFonts w:ascii="Helvetica" w:hAnsi="Helvetica"/>
          <w:sz w:val="12"/>
          <w:szCs w:val="12"/>
        </w:rPr>
        <w:t>Sp</w:t>
      </w:r>
      <w:proofErr w:type="spellEnd"/>
      <w:r w:rsidRPr="00936217">
        <w:rPr>
          <w:rFonts w:ascii="Helvetica" w:hAnsi="Helvetica"/>
          <w:sz w:val="12"/>
          <w:szCs w:val="12"/>
        </w:rPr>
        <w:t xml:space="preserve"> z o.o.; nr 13.DI.PN.2018 IT Solution </w:t>
      </w:r>
      <w:proofErr w:type="spellStart"/>
      <w:r w:rsidRPr="00936217">
        <w:rPr>
          <w:rFonts w:ascii="Helvetica" w:hAnsi="Helvetica"/>
          <w:sz w:val="12"/>
          <w:szCs w:val="12"/>
        </w:rPr>
        <w:t>Factor</w:t>
      </w:r>
      <w:proofErr w:type="spellEnd"/>
      <w:r w:rsidRPr="00936217">
        <w:rPr>
          <w:rFonts w:ascii="Helvetica" w:hAnsi="Helvetica"/>
          <w:sz w:val="12"/>
          <w:szCs w:val="12"/>
        </w:rPr>
        <w:t xml:space="preserve"> Sp. z o.o.; nr 18.DI.PN.2020 IT Solution </w:t>
      </w:r>
      <w:proofErr w:type="spellStart"/>
      <w:r w:rsidRPr="00936217">
        <w:rPr>
          <w:rFonts w:ascii="Helvetica" w:hAnsi="Helvetica"/>
          <w:sz w:val="12"/>
          <w:szCs w:val="12"/>
        </w:rPr>
        <w:t>Factor</w:t>
      </w:r>
      <w:proofErr w:type="spellEnd"/>
      <w:r w:rsidRPr="00936217">
        <w:rPr>
          <w:rFonts w:ascii="Helvetica" w:hAnsi="Helvetica"/>
          <w:sz w:val="12"/>
          <w:szCs w:val="12"/>
        </w:rPr>
        <w:t xml:space="preserve"> Sp. z o.o.; nr DI.WI.3.2021 </w:t>
      </w:r>
      <w:proofErr w:type="spellStart"/>
      <w:r w:rsidRPr="00936217">
        <w:rPr>
          <w:rFonts w:ascii="Helvetica" w:hAnsi="Helvetica"/>
          <w:sz w:val="12"/>
          <w:szCs w:val="12"/>
        </w:rPr>
        <w:t>Hostlab</w:t>
      </w:r>
      <w:proofErr w:type="spellEnd"/>
      <w:r w:rsidRPr="00936217">
        <w:rPr>
          <w:rFonts w:ascii="Helvetica" w:hAnsi="Helvetica"/>
          <w:sz w:val="12"/>
          <w:szCs w:val="12"/>
        </w:rPr>
        <w:t xml:space="preserve"> </w:t>
      </w:r>
      <w:r w:rsidR="00616E31">
        <w:rPr>
          <w:rFonts w:ascii="Helvetica" w:hAnsi="Helvetica"/>
          <w:sz w:val="12"/>
          <w:szCs w:val="12"/>
        </w:rPr>
        <w:br/>
      </w:r>
      <w:r w:rsidR="00616E31">
        <w:rPr>
          <w:rFonts w:ascii="Helvetica" w:hAnsi="Helvetica"/>
          <w:sz w:val="12"/>
          <w:szCs w:val="12"/>
          <w:shd w:val="clear" w:color="auto" w:fill="000000" w:themeFill="text1"/>
        </w:rPr>
        <w:t xml:space="preserve">           </w:t>
      </w:r>
      <w:r w:rsidRPr="00936217">
        <w:rPr>
          <w:rFonts w:ascii="Helvetica" w:hAnsi="Helvetica"/>
          <w:sz w:val="12"/>
          <w:szCs w:val="12"/>
        </w:rPr>
        <w:t xml:space="preserve"> i Wspólnicy Sp. J; nr 34.DI.PN.2020 SLX Sp. z o.o.</w:t>
      </w:r>
    </w:p>
  </w:footnote>
  <w:footnote w:id="112">
    <w:p w14:paraId="7A3F80A9" w14:textId="77777777" w:rsidR="006F4943" w:rsidRPr="00936217" w:rsidRDefault="006F4943" w:rsidP="004D1514">
      <w:pPr>
        <w:pStyle w:val="Tekstprzypisudolnego"/>
        <w:jc w:val="both"/>
        <w:rPr>
          <w:rFonts w:ascii="Helvetica" w:hAnsi="Helvetica"/>
          <w:b/>
          <w:sz w:val="12"/>
          <w:szCs w:val="12"/>
        </w:rPr>
      </w:pPr>
      <w:r w:rsidRPr="000960A6">
        <w:rPr>
          <w:rStyle w:val="Odwoanieprzypisudolnego"/>
          <w:rFonts w:ascii="Helvetica" w:hAnsi="Helvetica" w:cs="Helvetica"/>
          <w:sz w:val="12"/>
          <w:szCs w:val="12"/>
        </w:rPr>
        <w:footnoteRef/>
      </w:r>
      <w:r w:rsidRPr="00936217">
        <w:rPr>
          <w:rFonts w:ascii="Helvetica" w:hAnsi="Helvetica"/>
          <w:sz w:val="12"/>
          <w:szCs w:val="12"/>
        </w:rPr>
        <w:t xml:space="preserve"> Pismo z 19 lipca 2021 r., znak: DI.III.081.5.18.2021.PW.</w:t>
      </w:r>
    </w:p>
  </w:footnote>
  <w:footnote w:id="113">
    <w:p w14:paraId="7137C6EE"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Zasady z 26 sierpnia 2020 r. (obowiązujące od 1 września 2020 r.) oraz z 26 lutego 2021 r. (obowiązujące od 1 marca 2021 r.).</w:t>
      </w:r>
    </w:p>
  </w:footnote>
  <w:footnote w:id="114">
    <w:p w14:paraId="03D79C44"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 9 części II PBI IT wraz z procedurą dot. zasad przyznawania urządzeń zdalnego dostępu użytkownikom </w:t>
      </w:r>
      <w:proofErr w:type="spellStart"/>
      <w:r w:rsidRPr="000E63C8">
        <w:rPr>
          <w:rFonts w:ascii="Helvetica" w:hAnsi="Helvetica" w:cs="Helvetica"/>
          <w:sz w:val="12"/>
          <w:szCs w:val="12"/>
        </w:rPr>
        <w:t>MRPiPS</w:t>
      </w:r>
      <w:proofErr w:type="spellEnd"/>
      <w:r w:rsidRPr="000E63C8">
        <w:rPr>
          <w:rFonts w:ascii="Helvetica" w:hAnsi="Helvetica" w:cs="Helvetica"/>
          <w:sz w:val="12"/>
          <w:szCs w:val="12"/>
        </w:rPr>
        <w:t xml:space="preserve"> (załącznik nr 8 do PBI IT).</w:t>
      </w:r>
    </w:p>
  </w:footnote>
  <w:footnote w:id="115">
    <w:p w14:paraId="01927D4D"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 19 ust. 11-13 części II PBI IT wraz z procedurą dot. dostępu zdalnego do systemów teleinformatycznych </w:t>
      </w:r>
      <w:proofErr w:type="spellStart"/>
      <w:r w:rsidRPr="000E63C8">
        <w:rPr>
          <w:rFonts w:ascii="Helvetica" w:hAnsi="Helvetica" w:cs="Helvetica"/>
          <w:sz w:val="12"/>
          <w:szCs w:val="12"/>
        </w:rPr>
        <w:t>MRPiPS</w:t>
      </w:r>
      <w:proofErr w:type="spellEnd"/>
      <w:r w:rsidRPr="000E63C8">
        <w:rPr>
          <w:rFonts w:ascii="Helvetica" w:hAnsi="Helvetica" w:cs="Helvetica"/>
          <w:sz w:val="12"/>
          <w:szCs w:val="12"/>
        </w:rPr>
        <w:t xml:space="preserve"> (załącznik nr 9 do PBI IT).</w:t>
      </w:r>
    </w:p>
  </w:footnote>
  <w:footnote w:id="116">
    <w:p w14:paraId="6BDDA6F8"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 24 części II PBI IT.</w:t>
      </w:r>
    </w:p>
  </w:footnote>
  <w:footnote w:id="117">
    <w:p w14:paraId="315B7A8C"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Pkt 3 procedury. Procedura stanowi załącznik do </w:t>
      </w:r>
      <w:r w:rsidRPr="000E63C8">
        <w:rPr>
          <w:rFonts w:ascii="Helvetica" w:hAnsi="Helvetica" w:cs="Helvetica"/>
          <w:i/>
          <w:sz w:val="12"/>
          <w:szCs w:val="12"/>
        </w:rPr>
        <w:t>Zasad pracy zdalnej</w:t>
      </w:r>
      <w:r w:rsidRPr="000E63C8">
        <w:rPr>
          <w:rFonts w:ascii="Helvetica" w:hAnsi="Helvetica" w:cs="Helvetica"/>
          <w:sz w:val="12"/>
          <w:szCs w:val="12"/>
        </w:rPr>
        <w:t>.</w:t>
      </w:r>
    </w:p>
  </w:footnote>
  <w:footnote w:id="118">
    <w:p w14:paraId="1D791505"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Filtrowanie treści, filtrowanie nagłówków pakietów, możliwość odcięcia użytkownika od zasobów </w:t>
      </w:r>
      <w:proofErr w:type="spellStart"/>
      <w:r w:rsidRPr="000E63C8">
        <w:rPr>
          <w:rFonts w:ascii="Helvetica" w:hAnsi="Helvetica" w:cs="Helvetica"/>
          <w:sz w:val="12"/>
          <w:szCs w:val="12"/>
        </w:rPr>
        <w:t>MRiPS</w:t>
      </w:r>
      <w:proofErr w:type="spellEnd"/>
      <w:r w:rsidRPr="000E63C8">
        <w:rPr>
          <w:rFonts w:ascii="Helvetica" w:hAnsi="Helvetica" w:cs="Helvetica"/>
          <w:sz w:val="12"/>
          <w:szCs w:val="12"/>
        </w:rPr>
        <w:t xml:space="preserve"> w przypadku naruszenia bezpieczeństwa informatycznego lub informacji </w:t>
      </w:r>
      <w:proofErr w:type="spellStart"/>
      <w:r w:rsidRPr="000E63C8">
        <w:rPr>
          <w:rFonts w:ascii="Helvetica" w:hAnsi="Helvetica" w:cs="Helvetica"/>
          <w:sz w:val="12"/>
          <w:szCs w:val="12"/>
        </w:rPr>
        <w:t>MRiPS</w:t>
      </w:r>
      <w:proofErr w:type="spellEnd"/>
      <w:r w:rsidRPr="000E63C8">
        <w:rPr>
          <w:rFonts w:ascii="Helvetica" w:hAnsi="Helvetica" w:cs="Helvetica"/>
          <w:sz w:val="12"/>
          <w:szCs w:val="12"/>
        </w:rPr>
        <w:t xml:space="preserve">. Ponadto pkt 5 postanowień końcowych procedury określał, że </w:t>
      </w:r>
      <w:r w:rsidRPr="000E63C8">
        <w:rPr>
          <w:rFonts w:ascii="Helvetica" w:hAnsi="Helvetica" w:cs="Helvetica"/>
          <w:i/>
          <w:sz w:val="12"/>
          <w:szCs w:val="12"/>
        </w:rPr>
        <w:t>zdalny dostęp może być zawsze i w każdej chwili odrzucony z ważnych względów (przykładowo: zbyt długa bezczynność, transfer niedozwolonych plików, zachowanie niezgodne z PBI)</w:t>
      </w:r>
      <w:r w:rsidRPr="000E63C8">
        <w:rPr>
          <w:rFonts w:ascii="Helvetica" w:hAnsi="Helvetica" w:cs="Helvetica"/>
          <w:sz w:val="12"/>
          <w:szCs w:val="12"/>
        </w:rPr>
        <w:t>.</w:t>
      </w:r>
    </w:p>
  </w:footnote>
  <w:footnote w:id="119">
    <w:p w14:paraId="49281138"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 szczególności </w:t>
      </w:r>
      <w:proofErr w:type="spellStart"/>
      <w:r w:rsidRPr="000E63C8">
        <w:rPr>
          <w:rFonts w:ascii="Helvetica" w:hAnsi="Helvetica" w:cs="Helvetica"/>
          <w:sz w:val="12"/>
          <w:szCs w:val="12"/>
        </w:rPr>
        <w:t>Next</w:t>
      </w:r>
      <w:proofErr w:type="spellEnd"/>
      <w:r w:rsidRPr="000E63C8">
        <w:rPr>
          <w:rFonts w:ascii="Helvetica" w:hAnsi="Helvetica" w:cs="Helvetica"/>
          <w:sz w:val="12"/>
          <w:szCs w:val="12"/>
        </w:rPr>
        <w:t xml:space="preserve"> </w:t>
      </w:r>
      <w:proofErr w:type="spellStart"/>
      <w:r w:rsidRPr="000E63C8">
        <w:rPr>
          <w:rFonts w:ascii="Helvetica" w:hAnsi="Helvetica" w:cs="Helvetica"/>
          <w:sz w:val="12"/>
          <w:szCs w:val="12"/>
        </w:rPr>
        <w:t>Generation</w:t>
      </w:r>
      <w:proofErr w:type="spellEnd"/>
      <w:r w:rsidRPr="000E63C8">
        <w:rPr>
          <w:rFonts w:ascii="Helvetica" w:hAnsi="Helvetica" w:cs="Helvetica"/>
          <w:sz w:val="12"/>
          <w:szCs w:val="12"/>
        </w:rPr>
        <w:t xml:space="preserve"> Firewall, </w:t>
      </w:r>
      <w:proofErr w:type="spellStart"/>
      <w:r w:rsidRPr="000E63C8">
        <w:rPr>
          <w:rFonts w:ascii="Helvetica" w:hAnsi="Helvetica" w:cs="Helvetica"/>
          <w:sz w:val="12"/>
          <w:szCs w:val="12"/>
        </w:rPr>
        <w:t>Intrusion</w:t>
      </w:r>
      <w:proofErr w:type="spellEnd"/>
      <w:r w:rsidRPr="000E63C8">
        <w:rPr>
          <w:rFonts w:ascii="Helvetica" w:hAnsi="Helvetica" w:cs="Helvetica"/>
          <w:sz w:val="12"/>
          <w:szCs w:val="12"/>
        </w:rPr>
        <w:t xml:space="preserve"> </w:t>
      </w:r>
      <w:proofErr w:type="spellStart"/>
      <w:r w:rsidRPr="000E63C8">
        <w:rPr>
          <w:rFonts w:ascii="Helvetica" w:hAnsi="Helvetica" w:cs="Helvetica"/>
          <w:sz w:val="12"/>
          <w:szCs w:val="12"/>
        </w:rPr>
        <w:t>Prevention</w:t>
      </w:r>
      <w:proofErr w:type="spellEnd"/>
      <w:r w:rsidRPr="000E63C8">
        <w:rPr>
          <w:rFonts w:ascii="Helvetica" w:hAnsi="Helvetica" w:cs="Helvetica"/>
          <w:sz w:val="12"/>
          <w:szCs w:val="12"/>
        </w:rPr>
        <w:t xml:space="preserve"> System, oprogramowanie antywirusowe, system kontroli dostępu do sieci (NAC), blokowanie dostępu po pięciu nieudanych próbach.</w:t>
      </w:r>
    </w:p>
  </w:footnote>
  <w:footnote w:id="120">
    <w:p w14:paraId="21297839"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 18 cz. II załącznika nr 1 PBI IT.</w:t>
      </w:r>
    </w:p>
  </w:footnote>
  <w:footnote w:id="121">
    <w:p w14:paraId="4EF5E53E"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Wersja 3.0 z 1 czerwca 2021 r.</w:t>
      </w:r>
    </w:p>
  </w:footnote>
  <w:footnote w:id="122">
    <w:p w14:paraId="4A6860C0"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Zlecona do realizacji przez Dyrektora DI 1 października 2020 r.</w:t>
      </w:r>
    </w:p>
  </w:footnote>
  <w:footnote w:id="123">
    <w:p w14:paraId="21548ECD"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 wersji 11.20.36.</w:t>
      </w:r>
    </w:p>
  </w:footnote>
  <w:footnote w:id="124">
    <w:p w14:paraId="43F71B46"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Przykładowy </w:t>
      </w:r>
      <w:r w:rsidRPr="000E63C8">
        <w:rPr>
          <w:rFonts w:ascii="Helvetica" w:hAnsi="Helvetica" w:cs="Helvetica"/>
          <w:i/>
          <w:sz w:val="12"/>
          <w:szCs w:val="12"/>
        </w:rPr>
        <w:t>Raport odtwarzania zasobów backupu</w:t>
      </w:r>
      <w:r w:rsidRPr="000E63C8">
        <w:rPr>
          <w:rFonts w:ascii="Helvetica" w:hAnsi="Helvetica" w:cs="Helvetica"/>
          <w:sz w:val="12"/>
          <w:szCs w:val="12"/>
        </w:rPr>
        <w:t xml:space="preserve"> stanowi załącznik nr 3 do protokołu oględzin tworzenia oraz testowania kopii zapasowych przeprowadzonych 1 lipca 2021 r.</w:t>
      </w:r>
    </w:p>
  </w:footnote>
  <w:footnote w:id="125">
    <w:p w14:paraId="79DE2D3C"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 15 załącznika nr 1 do PBI IT.</w:t>
      </w:r>
    </w:p>
  </w:footnote>
  <w:footnote w:id="126">
    <w:p w14:paraId="5B7A4AB6"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Ze wskazaniem, że jeśli to możliwe Ministerstwo powinno być właścicielem praw autorskich.</w:t>
      </w:r>
    </w:p>
  </w:footnote>
  <w:footnote w:id="127">
    <w:p w14:paraId="7D9101F4"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 ramach 1 zmiany wersji systemu 2.11.0 dokonano 2 zmian prawnych. Jedna dot. dostosowania systemu do zmienionych wzorów wniosków oraz momentu aktywowania Karty Dużej Rodziny (KDR2020_25), natomiast druga – dostosowania systemu do przejścia z obsługi funkcjonalności integracji z </w:t>
      </w:r>
      <w:proofErr w:type="spellStart"/>
      <w:r w:rsidRPr="000E63C8">
        <w:rPr>
          <w:rFonts w:ascii="Helvetica" w:hAnsi="Helvetica" w:cs="Helvetica"/>
          <w:sz w:val="12"/>
          <w:szCs w:val="12"/>
        </w:rPr>
        <w:t>mKDR</w:t>
      </w:r>
      <w:proofErr w:type="spellEnd"/>
      <w:r w:rsidRPr="000E63C8">
        <w:rPr>
          <w:rFonts w:ascii="Helvetica" w:hAnsi="Helvetica" w:cs="Helvetica"/>
          <w:sz w:val="12"/>
          <w:szCs w:val="12"/>
        </w:rPr>
        <w:t xml:space="preserve"> na integrację z </w:t>
      </w:r>
      <w:proofErr w:type="spellStart"/>
      <w:r w:rsidRPr="000E63C8">
        <w:rPr>
          <w:rFonts w:ascii="Helvetica" w:hAnsi="Helvetica" w:cs="Helvetica"/>
          <w:sz w:val="12"/>
          <w:szCs w:val="12"/>
        </w:rPr>
        <w:t>mObywatel</w:t>
      </w:r>
      <w:proofErr w:type="spellEnd"/>
      <w:r w:rsidRPr="000E63C8">
        <w:rPr>
          <w:rFonts w:ascii="Helvetica" w:hAnsi="Helvetica" w:cs="Helvetica"/>
          <w:sz w:val="12"/>
          <w:szCs w:val="12"/>
        </w:rPr>
        <w:t xml:space="preserve"> (KDR2020_26).</w:t>
      </w:r>
    </w:p>
  </w:footnote>
  <w:footnote w:id="128">
    <w:p w14:paraId="3F04E5AD" w14:textId="77777777" w:rsidR="006F4943" w:rsidRPr="000E63C8" w:rsidRDefault="006F4943" w:rsidP="004D1514">
      <w:pPr>
        <w:pStyle w:val="Tekstprzypisudolnego"/>
        <w:tabs>
          <w:tab w:val="left" w:pos="7430"/>
        </w:tabs>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Stanowiącymi zał. do umów, tj.: zał. nr 1 do umowy nr 17/DI/PN/2020 (dot. CSIZS); zał. nr 1 do umowy 11/DI/PN/2019 (dot. SI KDR); zał. nr 2 do umowy nr 18/DI/PN/2016 (dot. PIU </w:t>
      </w:r>
      <w:proofErr w:type="spellStart"/>
      <w:r w:rsidRPr="000E63C8">
        <w:rPr>
          <w:rFonts w:ascii="Helvetica" w:hAnsi="Helvetica" w:cs="Helvetica"/>
          <w:sz w:val="12"/>
          <w:szCs w:val="12"/>
        </w:rPr>
        <w:t>Emp@tia</w:t>
      </w:r>
      <w:proofErr w:type="spellEnd"/>
      <w:r w:rsidRPr="000E63C8">
        <w:rPr>
          <w:rFonts w:ascii="Helvetica" w:hAnsi="Helvetica" w:cs="Helvetica"/>
          <w:sz w:val="12"/>
          <w:szCs w:val="12"/>
        </w:rPr>
        <w:t xml:space="preserve"> umowa obowiązywała do 24 listopada 2020 r.) oraz zał. nr 1 do umowy nr 25/DI/PN/2020/2021 (dot. PIU </w:t>
      </w:r>
      <w:proofErr w:type="spellStart"/>
      <w:r w:rsidRPr="000E63C8">
        <w:rPr>
          <w:rFonts w:ascii="Helvetica" w:hAnsi="Helvetica" w:cs="Helvetica"/>
          <w:sz w:val="12"/>
          <w:szCs w:val="12"/>
        </w:rPr>
        <w:t>Emp@tia</w:t>
      </w:r>
      <w:proofErr w:type="spellEnd"/>
      <w:r w:rsidRPr="000E63C8">
        <w:rPr>
          <w:rFonts w:ascii="Helvetica" w:hAnsi="Helvetica" w:cs="Helvetica"/>
          <w:sz w:val="12"/>
          <w:szCs w:val="12"/>
        </w:rPr>
        <w:t xml:space="preserve"> umowa obowiązywała od 7 kwietnia 2021 r.).</w:t>
      </w:r>
    </w:p>
  </w:footnote>
  <w:footnote w:id="129">
    <w:p w14:paraId="39EBF763"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Zmiany zostały podzielone na 3 kategorie: zmiany prawne (dostosowanie do zmian prawa mających wpływ na działanie systemu), zmiany funkcjonalne (dostosowanie systemu do</w:t>
      </w:r>
      <w:r>
        <w:rPr>
          <w:rFonts w:ascii="Helvetica" w:hAnsi="Helvetica" w:cs="Helvetica"/>
          <w:sz w:val="12"/>
          <w:szCs w:val="12"/>
        </w:rPr>
        <w:t> </w:t>
      </w:r>
      <w:r w:rsidRPr="000E63C8">
        <w:rPr>
          <w:rFonts w:ascii="Helvetica" w:hAnsi="Helvetica" w:cs="Helvetica"/>
          <w:sz w:val="12"/>
          <w:szCs w:val="12"/>
        </w:rPr>
        <w:t>potrzeb i wymagań użytkowników) oraz zmiany wynikające z aktualizacji platformy narzędziowo sprzętowej. W przypadku zmian prawnych wykonawca nie był zobowiązany do</w:t>
      </w:r>
      <w:r>
        <w:rPr>
          <w:rFonts w:ascii="Helvetica" w:hAnsi="Helvetica" w:cs="Helvetica"/>
          <w:sz w:val="12"/>
          <w:szCs w:val="12"/>
        </w:rPr>
        <w:t> </w:t>
      </w:r>
      <w:r w:rsidRPr="000E63C8">
        <w:rPr>
          <w:rFonts w:ascii="Helvetica" w:hAnsi="Helvetica" w:cs="Helvetica"/>
          <w:sz w:val="12"/>
          <w:szCs w:val="12"/>
        </w:rPr>
        <w:t>określania licz</w:t>
      </w:r>
      <w:r>
        <w:rPr>
          <w:rFonts w:ascii="Helvetica" w:hAnsi="Helvetica" w:cs="Helvetica"/>
          <w:sz w:val="12"/>
          <w:szCs w:val="12"/>
        </w:rPr>
        <w:t>b</w:t>
      </w:r>
      <w:r w:rsidRPr="000E63C8">
        <w:rPr>
          <w:rFonts w:ascii="Helvetica" w:hAnsi="Helvetica" w:cs="Helvetica"/>
          <w:sz w:val="12"/>
          <w:szCs w:val="12"/>
        </w:rPr>
        <w:t>y roboczogodzin potrzebnych na wykonanie tej zmiany, bowiem rozliczane były one ryczałtowo.</w:t>
      </w:r>
    </w:p>
  </w:footnote>
  <w:footnote w:id="130">
    <w:p w14:paraId="2C7E6D21"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Stanowi on załącznik do projektu wstępnego.</w:t>
      </w:r>
    </w:p>
  </w:footnote>
  <w:footnote w:id="131">
    <w:p w14:paraId="092D4E81"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 26 ust. 2 części II zał. nr 1 do PBI IT – </w:t>
      </w:r>
      <w:r w:rsidRPr="000E63C8">
        <w:rPr>
          <w:rFonts w:ascii="Helvetica" w:hAnsi="Helvetica" w:cs="Helvetica"/>
          <w:i/>
          <w:sz w:val="12"/>
          <w:szCs w:val="12"/>
        </w:rPr>
        <w:t>Wnioski o dokonanie zmiany składane są w formie pisemnej oraz rejestrowane, analizowane pod kątem zasadności, ryzyka, wykonalności, kosztu, zysku z przeprowadzenia danej zmiany, wpływu na pozostałe części systemu informatycznego, a także pod kątem możliwości późniejszej weryfikacji tej zmiany.</w:t>
      </w:r>
    </w:p>
  </w:footnote>
  <w:footnote w:id="132">
    <w:p w14:paraId="2A29513A"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20 lipca 2021 r., znak: DI.III.081.5.19.2021.PW.</w:t>
      </w:r>
    </w:p>
  </w:footnote>
  <w:footnote w:id="133">
    <w:p w14:paraId="0E1DF7EA"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5 sierpnia 2021 r., znak: DI.III.081.5.35.2021.PW.</w:t>
      </w:r>
    </w:p>
  </w:footnote>
  <w:footnote w:id="134">
    <w:p w14:paraId="2EBC7751"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20 lipca 2021 r., znak: DI.III.081.5.19.2021.PW.</w:t>
      </w:r>
    </w:p>
  </w:footnote>
  <w:footnote w:id="135">
    <w:p w14:paraId="0F3A37D2"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Raporty </w:t>
      </w:r>
      <w:r w:rsidRPr="000E63C8">
        <w:rPr>
          <w:rFonts w:ascii="Helvetica" w:hAnsi="Helvetica" w:cs="Helvetica"/>
          <w:bCs/>
          <w:sz w:val="12"/>
          <w:szCs w:val="12"/>
        </w:rPr>
        <w:t>sporządzane przez wykonawców za dany okres rozliczeniowy.</w:t>
      </w:r>
    </w:p>
  </w:footnote>
  <w:footnote w:id="136">
    <w:p w14:paraId="477C1B27"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5 sierpnia 2021 r., znak: DI.III.081.5.35.2021.PW.</w:t>
      </w:r>
    </w:p>
  </w:footnote>
  <w:footnote w:id="137">
    <w:p w14:paraId="7F2A72EB"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Np. ostatni raport SI KDR obejmujący okres 3 marca – 2 czerwca 2021 r. zawiera informację nt. 4 wersji systemu zatwierdzonych w okresie za jaki sporządzono raport, a nie wszystkich wprowadzonych zmian do systemu.</w:t>
      </w:r>
    </w:p>
  </w:footnote>
  <w:footnote w:id="138">
    <w:p w14:paraId="1A8793B7"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Stanowiącymi za</w:t>
      </w:r>
      <w:r>
        <w:rPr>
          <w:rFonts w:ascii="Helvetica" w:hAnsi="Helvetica" w:cs="Helvetica"/>
          <w:sz w:val="12"/>
          <w:szCs w:val="12"/>
        </w:rPr>
        <w:t xml:space="preserve">ł. </w:t>
      </w:r>
      <w:r w:rsidRPr="000E63C8">
        <w:rPr>
          <w:rFonts w:ascii="Helvetica" w:hAnsi="Helvetica" w:cs="Helvetica"/>
          <w:sz w:val="12"/>
          <w:szCs w:val="12"/>
        </w:rPr>
        <w:t>do umów, tj.: nr 2 do umowy nr 17/DI/PN/2020 (dot. CSIZS); nr 2 do umowy 11/DI/PN/2019 (dot. SI KDR); nr 3 do umowy nr</w:t>
      </w:r>
      <w:r>
        <w:rPr>
          <w:rFonts w:ascii="Helvetica" w:hAnsi="Helvetica" w:cs="Helvetica"/>
          <w:sz w:val="12"/>
          <w:szCs w:val="12"/>
        </w:rPr>
        <w:t> </w:t>
      </w:r>
      <w:r w:rsidRPr="000E63C8">
        <w:rPr>
          <w:rFonts w:ascii="Helvetica" w:hAnsi="Helvetica" w:cs="Helvetica"/>
          <w:sz w:val="12"/>
          <w:szCs w:val="12"/>
        </w:rPr>
        <w:t>18/DI/PN/2016 (dot. PIU </w:t>
      </w:r>
      <w:proofErr w:type="spellStart"/>
      <w:r w:rsidRPr="000E63C8">
        <w:rPr>
          <w:rFonts w:ascii="Helvetica" w:hAnsi="Helvetica" w:cs="Helvetica"/>
          <w:sz w:val="12"/>
          <w:szCs w:val="12"/>
        </w:rPr>
        <w:t>Emp@tia</w:t>
      </w:r>
      <w:proofErr w:type="spellEnd"/>
      <w:r w:rsidRPr="000E63C8">
        <w:rPr>
          <w:rFonts w:ascii="Helvetica" w:hAnsi="Helvetica" w:cs="Helvetica"/>
          <w:sz w:val="12"/>
          <w:szCs w:val="12"/>
        </w:rPr>
        <w:t xml:space="preserve">) oraz nr 2 do umowy nr 25/DI/PN/2020/2021 (dot. PIU </w:t>
      </w:r>
      <w:proofErr w:type="spellStart"/>
      <w:r w:rsidRPr="000E63C8">
        <w:rPr>
          <w:rFonts w:ascii="Helvetica" w:hAnsi="Helvetica" w:cs="Helvetica"/>
          <w:sz w:val="12"/>
          <w:szCs w:val="12"/>
        </w:rPr>
        <w:t>Emp@tia</w:t>
      </w:r>
      <w:proofErr w:type="spellEnd"/>
      <w:r w:rsidRPr="000E63C8">
        <w:rPr>
          <w:rFonts w:ascii="Helvetica" w:hAnsi="Helvetica" w:cs="Helvetica"/>
          <w:sz w:val="12"/>
          <w:szCs w:val="12"/>
        </w:rPr>
        <w:t>).</w:t>
      </w:r>
    </w:p>
  </w:footnote>
  <w:footnote w:id="139">
    <w:p w14:paraId="5E3A8E26"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20 lipca 2021 r., znak: DI.III.081.5.19.2021.PW.</w:t>
      </w:r>
    </w:p>
  </w:footnote>
  <w:footnote w:id="140">
    <w:p w14:paraId="076C2A44"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Wyjaśnienia z 6 lipca 2021 r., znak: BKA-II.081.23.12.2021.IK.</w:t>
      </w:r>
    </w:p>
  </w:footnote>
  <w:footnote w:id="141">
    <w:p w14:paraId="5B9E19BD"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Wprowadzona zarządzenie</w:t>
      </w:r>
      <w:r>
        <w:rPr>
          <w:rFonts w:ascii="Helvetica" w:hAnsi="Helvetica" w:cs="Helvetica"/>
          <w:sz w:val="12"/>
          <w:szCs w:val="12"/>
        </w:rPr>
        <w:t>m</w:t>
      </w:r>
      <w:r w:rsidRPr="000E63C8">
        <w:rPr>
          <w:rFonts w:ascii="Helvetica" w:hAnsi="Helvetica" w:cs="Helvetica"/>
          <w:sz w:val="12"/>
          <w:szCs w:val="12"/>
        </w:rPr>
        <w:t xml:space="preserve"> nr 2 Dyrektora Generalnego </w:t>
      </w:r>
      <w:proofErr w:type="spellStart"/>
      <w:r w:rsidRPr="000E63C8">
        <w:rPr>
          <w:rFonts w:ascii="Helvetica" w:hAnsi="Helvetica" w:cs="Helvetica"/>
          <w:sz w:val="12"/>
          <w:szCs w:val="12"/>
        </w:rPr>
        <w:t>MRPiPS</w:t>
      </w:r>
      <w:proofErr w:type="spellEnd"/>
      <w:r w:rsidRPr="000E63C8">
        <w:rPr>
          <w:rFonts w:ascii="Helvetica" w:hAnsi="Helvetica" w:cs="Helvetica"/>
          <w:sz w:val="12"/>
          <w:szCs w:val="12"/>
        </w:rPr>
        <w:t xml:space="preserve"> z dnia 13 marca 2017 r.</w:t>
      </w:r>
    </w:p>
  </w:footnote>
  <w:footnote w:id="142">
    <w:p w14:paraId="5B4E59D9"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Zarządzenie nr 22 Ministra </w:t>
      </w:r>
      <w:proofErr w:type="spellStart"/>
      <w:r w:rsidRPr="000E63C8">
        <w:rPr>
          <w:rFonts w:ascii="Helvetica" w:hAnsi="Helvetica" w:cs="Helvetica"/>
          <w:sz w:val="12"/>
          <w:szCs w:val="12"/>
        </w:rPr>
        <w:t>RPiPS</w:t>
      </w:r>
      <w:proofErr w:type="spellEnd"/>
      <w:r w:rsidRPr="000E63C8">
        <w:rPr>
          <w:rFonts w:ascii="Helvetica" w:hAnsi="Helvetica" w:cs="Helvetica"/>
          <w:sz w:val="12"/>
          <w:szCs w:val="12"/>
        </w:rPr>
        <w:t xml:space="preserve"> z dnia 31 lipca 2020 r. w sprawie ustalenia regulaminu organizacyjnego </w:t>
      </w:r>
      <w:proofErr w:type="spellStart"/>
      <w:r w:rsidRPr="000E63C8">
        <w:rPr>
          <w:rFonts w:ascii="Helvetica" w:hAnsi="Helvetica" w:cs="Helvetica"/>
          <w:sz w:val="12"/>
          <w:szCs w:val="12"/>
        </w:rPr>
        <w:t>MRPiPS</w:t>
      </w:r>
      <w:proofErr w:type="spellEnd"/>
      <w:r w:rsidRPr="000E63C8">
        <w:rPr>
          <w:rFonts w:ascii="Helvetica" w:hAnsi="Helvetica" w:cs="Helvetica"/>
          <w:sz w:val="12"/>
          <w:szCs w:val="12"/>
        </w:rPr>
        <w:t>.</w:t>
      </w:r>
    </w:p>
  </w:footnote>
  <w:footnote w:id="143">
    <w:p w14:paraId="67D9D324"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Umowa nr 10/BA/US/2020/1 z 18 czerwca 2020 r.</w:t>
      </w:r>
    </w:p>
  </w:footnote>
  <w:footnote w:id="144">
    <w:p w14:paraId="2A85E8D7"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Umowa nr 10/BA/US/2020/1 z 18 czerwca 2020 r.</w:t>
      </w:r>
    </w:p>
  </w:footnote>
  <w:footnote w:id="145">
    <w:p w14:paraId="6E4254FF"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Wśród nich były: 1. identyfikatory dla pracowników; 2. karty wstępu GOŚĆ – dot. osób jednorazowo wchodzących do Ministerstwa; 3. karta wstępu WYKONAWCA – dot. osób wykonujących cykliczne prace w założonym czasie (np. osoby sprzątające); 4. karta wstępu STAŻYSTA – dot. osób, które świadczą usługi nieodpłatnie (wolontariusze, praktykanci, stażyści); 5. karta wstępu KARTA WSTĘPU – dot. pracowników jednostek podległych i nadzorowanych; 6. karta wstępu AGENT OCHRONY – dot. pracowników ochrony.</w:t>
      </w:r>
    </w:p>
  </w:footnote>
  <w:footnote w:id="146">
    <w:p w14:paraId="01C3B320"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Przeszukiwanie zdarzeń danych osób w systemie możliwe jest na podstawie wielu różnych kryteriów, między innymi po generowanym przez System indywidualnych numerach systemowych, nazwisku, numerach kadrowych.</w:t>
      </w:r>
    </w:p>
  </w:footnote>
  <w:footnote w:id="147">
    <w:p w14:paraId="4BBB8919"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Wyjaśnienia 6 lipca 2021 r., znak: BKA-II.081.23.12.2021.IK.</w:t>
      </w:r>
    </w:p>
  </w:footnote>
  <w:footnote w:id="148">
    <w:p w14:paraId="74875FF2"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Wyjaśnienia 6 lipca 2021 r., znak: BKA-II.081.23.12.2021.IK.</w:t>
      </w:r>
    </w:p>
  </w:footnote>
  <w:footnote w:id="149">
    <w:p w14:paraId="0878ABEC"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Wyjaśnienia 6 lipca 2021 r., znak: BKA-II.081.23.12.2021.IK.</w:t>
      </w:r>
    </w:p>
  </w:footnote>
  <w:footnote w:id="150">
    <w:p w14:paraId="18682A85"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Pracownik firmy zewnętrznej realizujący usługi na podstawie umowy nr 10/BA/US/2020/1 z 18 czerwca 2020 r.</w:t>
      </w:r>
    </w:p>
  </w:footnote>
  <w:footnote w:id="151">
    <w:p w14:paraId="6F33E31E"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3 sierpnia 2021 r., znak: BKA-II-081.23.26.2021.IK.</w:t>
      </w:r>
    </w:p>
  </w:footnote>
  <w:footnote w:id="152">
    <w:p w14:paraId="349CD595"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 20 ust. 8-13 zał. nr 1 i zał. nr 10 do PBI IT </w:t>
      </w:r>
      <w:r w:rsidRPr="000E63C8">
        <w:rPr>
          <w:rFonts w:ascii="Helvetica" w:hAnsi="Helvetica" w:cs="Helvetica"/>
          <w:i/>
          <w:sz w:val="12"/>
          <w:szCs w:val="12"/>
        </w:rPr>
        <w:t>Niszczeni</w:t>
      </w:r>
      <w:r>
        <w:rPr>
          <w:rFonts w:ascii="Helvetica" w:hAnsi="Helvetica" w:cs="Helvetica"/>
          <w:i/>
          <w:sz w:val="12"/>
          <w:szCs w:val="12"/>
        </w:rPr>
        <w:t>e</w:t>
      </w:r>
      <w:r w:rsidRPr="000E63C8">
        <w:rPr>
          <w:rFonts w:ascii="Helvetica" w:hAnsi="Helvetica" w:cs="Helvetica"/>
          <w:i/>
          <w:sz w:val="12"/>
          <w:szCs w:val="12"/>
        </w:rPr>
        <w:t xml:space="preserve"> dokumentacji papierowej oraz nośników informacji pochodzących z systemów informatycznych </w:t>
      </w:r>
      <w:proofErr w:type="spellStart"/>
      <w:r w:rsidRPr="000E63C8">
        <w:rPr>
          <w:rFonts w:ascii="Helvetica" w:hAnsi="Helvetica" w:cs="Helvetica"/>
          <w:i/>
          <w:sz w:val="12"/>
          <w:szCs w:val="12"/>
        </w:rPr>
        <w:t>MRPiPS</w:t>
      </w:r>
      <w:proofErr w:type="spellEnd"/>
      <w:r w:rsidRPr="000E63C8">
        <w:rPr>
          <w:rFonts w:ascii="Helvetica" w:hAnsi="Helvetica" w:cs="Helvetica"/>
          <w:i/>
          <w:sz w:val="12"/>
          <w:szCs w:val="12"/>
        </w:rPr>
        <w:t>.</w:t>
      </w:r>
    </w:p>
  </w:footnote>
  <w:footnote w:id="153">
    <w:p w14:paraId="7FBA8D51"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Załącznik nr 10 do PBI IT.</w:t>
      </w:r>
    </w:p>
  </w:footnote>
  <w:footnote w:id="154">
    <w:p w14:paraId="32CC549D"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 20 ust. 9 części II załącznika nr 1 do PBI IT.</w:t>
      </w:r>
    </w:p>
  </w:footnote>
  <w:footnote w:id="155">
    <w:p w14:paraId="63D6CBFF"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Wyjaśnienia z 21 lipca 2021 r., znak: BKA-II.081.23.17.2021.IK.</w:t>
      </w:r>
    </w:p>
  </w:footnote>
  <w:footnote w:id="156">
    <w:p w14:paraId="425CE1FC"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Zarządzenie nr 2 Dyrektora Generalnego </w:t>
      </w:r>
      <w:proofErr w:type="spellStart"/>
      <w:r w:rsidRPr="000E63C8">
        <w:rPr>
          <w:rFonts w:ascii="Helvetica" w:hAnsi="Helvetica" w:cs="Helvetica"/>
          <w:sz w:val="12"/>
          <w:szCs w:val="12"/>
        </w:rPr>
        <w:t>MRiPS</w:t>
      </w:r>
      <w:proofErr w:type="spellEnd"/>
      <w:r w:rsidRPr="000E63C8">
        <w:rPr>
          <w:rFonts w:ascii="Helvetica" w:hAnsi="Helvetica" w:cs="Helvetica"/>
          <w:sz w:val="12"/>
          <w:szCs w:val="12"/>
        </w:rPr>
        <w:t xml:space="preserve"> z dnia 2 marca 2021 r., zmienione zarządzeniem nr 11 z dnia 16 kwietnia 2021 r.</w:t>
      </w:r>
    </w:p>
  </w:footnote>
  <w:footnote w:id="157">
    <w:p w14:paraId="00564D0E"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Zarządzenie nr 12 Dyrektora Generalnego </w:t>
      </w:r>
      <w:proofErr w:type="spellStart"/>
      <w:r w:rsidRPr="000E63C8">
        <w:rPr>
          <w:rFonts w:ascii="Helvetica" w:hAnsi="Helvetica" w:cs="Helvetica"/>
          <w:sz w:val="12"/>
          <w:szCs w:val="12"/>
        </w:rPr>
        <w:t>MRiPS</w:t>
      </w:r>
      <w:proofErr w:type="spellEnd"/>
      <w:r w:rsidRPr="000E63C8">
        <w:rPr>
          <w:rFonts w:ascii="Helvetica" w:hAnsi="Helvetica" w:cs="Helvetica"/>
          <w:sz w:val="12"/>
          <w:szCs w:val="12"/>
        </w:rPr>
        <w:t xml:space="preserve"> z dnia 22 kwietnia 2021 r.</w:t>
      </w:r>
    </w:p>
  </w:footnote>
  <w:footnote w:id="158">
    <w:p w14:paraId="09D6B0A9"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Zarządzenie nr 3 Dyrektora Generalnego </w:t>
      </w:r>
      <w:proofErr w:type="spellStart"/>
      <w:r w:rsidRPr="000E63C8">
        <w:rPr>
          <w:rFonts w:ascii="Helvetica" w:hAnsi="Helvetica" w:cs="Helvetica"/>
          <w:sz w:val="12"/>
          <w:szCs w:val="12"/>
        </w:rPr>
        <w:t>MRiPS</w:t>
      </w:r>
      <w:proofErr w:type="spellEnd"/>
      <w:r w:rsidRPr="000E63C8">
        <w:rPr>
          <w:rFonts w:ascii="Helvetica" w:hAnsi="Helvetica" w:cs="Helvetica"/>
          <w:sz w:val="12"/>
          <w:szCs w:val="12"/>
        </w:rPr>
        <w:t xml:space="preserve"> z dnia 2 marca 2021 r.</w:t>
      </w:r>
    </w:p>
  </w:footnote>
  <w:footnote w:id="159">
    <w:p w14:paraId="0C43FB12"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Protokół </w:t>
      </w:r>
      <w:r w:rsidRPr="000E63C8">
        <w:rPr>
          <w:rFonts w:ascii="Helvetica" w:hAnsi="Helvetica" w:cs="Helvetica"/>
          <w:i/>
          <w:sz w:val="12"/>
          <w:szCs w:val="12"/>
        </w:rPr>
        <w:t>Komisji oceny przydatności do dalszego użytkowania składników majątkowych</w:t>
      </w:r>
      <w:r w:rsidRPr="000E63C8">
        <w:rPr>
          <w:rFonts w:ascii="Helvetica" w:hAnsi="Helvetica" w:cs="Helvetica"/>
          <w:sz w:val="12"/>
          <w:szCs w:val="12"/>
        </w:rPr>
        <w:t xml:space="preserve"> nr 4/2021 z dnia 27 kwietnia 2021 r.</w:t>
      </w:r>
    </w:p>
  </w:footnote>
  <w:footnote w:id="160">
    <w:p w14:paraId="2703A1D2"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Protokół </w:t>
      </w:r>
      <w:r w:rsidRPr="000E63C8">
        <w:rPr>
          <w:rFonts w:ascii="Helvetica" w:hAnsi="Helvetica" w:cs="Helvetica"/>
          <w:i/>
          <w:sz w:val="12"/>
          <w:szCs w:val="12"/>
        </w:rPr>
        <w:t>Komisji do spraw zbycia zbędnych lub zużytych składników rzeczowych majątku ruchomego</w:t>
      </w:r>
      <w:r w:rsidRPr="000E63C8">
        <w:rPr>
          <w:rFonts w:ascii="Helvetica" w:hAnsi="Helvetica" w:cs="Helvetica"/>
          <w:sz w:val="12"/>
          <w:szCs w:val="12"/>
        </w:rPr>
        <w:t xml:space="preserve"> nr 1/2021 z 12 maja 2021 r.</w:t>
      </w:r>
    </w:p>
  </w:footnote>
  <w:footnote w:id="161">
    <w:p w14:paraId="5163BA07"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Protokół zdawczo-odbiorczy nr 1/2021 z dnia 14 maja 2021 r.</w:t>
      </w:r>
    </w:p>
  </w:footnote>
  <w:footnote w:id="162">
    <w:p w14:paraId="79E46F16"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Umowa nr 1797/</w:t>
      </w:r>
      <w:proofErr w:type="spellStart"/>
      <w:r w:rsidRPr="000E63C8">
        <w:rPr>
          <w:rFonts w:ascii="Helvetica" w:hAnsi="Helvetica" w:cs="Helvetica"/>
          <w:sz w:val="12"/>
          <w:szCs w:val="12"/>
        </w:rPr>
        <w:t>MRPiPS</w:t>
      </w:r>
      <w:proofErr w:type="spellEnd"/>
      <w:r w:rsidRPr="000E63C8">
        <w:rPr>
          <w:rFonts w:ascii="Helvetica" w:hAnsi="Helvetica" w:cs="Helvetica"/>
          <w:sz w:val="12"/>
          <w:szCs w:val="12"/>
        </w:rPr>
        <w:t>/KDR/2015 z dnia 2 września 2015 r.</w:t>
      </w:r>
    </w:p>
  </w:footnote>
  <w:footnote w:id="163">
    <w:p w14:paraId="4B86A94F"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Wyjaśnienia z 3 sierpnia 2021 r., znak: BKA-II.081.23.25.2021.IK.</w:t>
      </w:r>
    </w:p>
  </w:footnote>
  <w:footnote w:id="164">
    <w:p w14:paraId="081A2188" w14:textId="77777777" w:rsidR="006F4943" w:rsidRPr="00E76F83" w:rsidRDefault="006F4943" w:rsidP="004D1514">
      <w:pPr>
        <w:pStyle w:val="Tekstprzypisudolnego"/>
        <w:jc w:val="both"/>
        <w:rPr>
          <w:rFonts w:ascii="Helvetica" w:hAnsi="Helvetica" w:cs="Helvetica"/>
          <w:b/>
          <w:sz w:val="12"/>
          <w:szCs w:val="12"/>
        </w:rPr>
      </w:pPr>
      <w:r w:rsidRPr="00E76F83">
        <w:rPr>
          <w:rStyle w:val="Odwoanieprzypisudolnego"/>
          <w:rFonts w:ascii="Helvetica" w:hAnsi="Helvetica" w:cs="Helvetica"/>
          <w:sz w:val="12"/>
          <w:szCs w:val="12"/>
        </w:rPr>
        <w:footnoteRef/>
      </w:r>
      <w:r w:rsidRPr="00E76F83">
        <w:rPr>
          <w:rFonts w:ascii="Helvetica" w:hAnsi="Helvetica" w:cs="Helvetica"/>
          <w:b/>
          <w:sz w:val="12"/>
          <w:szCs w:val="12"/>
        </w:rPr>
        <w:t xml:space="preserve"> </w:t>
      </w:r>
      <w:r w:rsidRPr="00E76F83">
        <w:rPr>
          <w:rFonts w:ascii="Helvetica" w:hAnsi="Helvetica" w:cs="Helvetica"/>
          <w:sz w:val="12"/>
          <w:szCs w:val="12"/>
        </w:rPr>
        <w:t>SUG -</w:t>
      </w:r>
      <w:r w:rsidRPr="00E76F83">
        <w:rPr>
          <w:rFonts w:ascii="Helvetica" w:hAnsi="Helvetica" w:cs="Helvetica"/>
          <w:b/>
          <w:sz w:val="12"/>
          <w:szCs w:val="12"/>
        </w:rPr>
        <w:t xml:space="preserve"> </w:t>
      </w:r>
      <w:r w:rsidRPr="00E76F83">
        <w:rPr>
          <w:rFonts w:ascii="Helvetica" w:hAnsi="Helvetica" w:cs="Helvetica"/>
          <w:sz w:val="12"/>
          <w:szCs w:val="12"/>
        </w:rPr>
        <w:t xml:space="preserve">Stałe Urządzenia Gaśnicze </w:t>
      </w:r>
      <w:r>
        <w:rPr>
          <w:rFonts w:ascii="Helvetica" w:hAnsi="Helvetica" w:cs="Helvetica"/>
          <w:sz w:val="12"/>
          <w:szCs w:val="12"/>
        </w:rPr>
        <w:t>–</w:t>
      </w:r>
      <w:r w:rsidRPr="00E76F83">
        <w:rPr>
          <w:rFonts w:ascii="Helvetica" w:hAnsi="Helvetica" w:cs="Helvetica"/>
          <w:sz w:val="12"/>
          <w:szCs w:val="12"/>
        </w:rPr>
        <w:t xml:space="preserve"> jest to automatyczna instalacja przeciwpożarowa która samoczynnie wykrywa i sygnalizuje pożar we wczesnej jego fazie rozwoju oraz rozpoczyna akcję gaśniczą w chronionej strefie.</w:t>
      </w:r>
    </w:p>
  </w:footnote>
  <w:footnote w:id="165">
    <w:p w14:paraId="6D850C1C" w14:textId="77777777" w:rsidR="006F4943" w:rsidRPr="00E76F83" w:rsidRDefault="006F4943" w:rsidP="004D1514">
      <w:pPr>
        <w:pStyle w:val="Tekstprzypisudolnego"/>
        <w:jc w:val="both"/>
        <w:rPr>
          <w:rFonts w:ascii="Helvetica" w:hAnsi="Helvetica" w:cs="Helvetica"/>
          <w:sz w:val="12"/>
          <w:szCs w:val="12"/>
        </w:rPr>
      </w:pPr>
      <w:r w:rsidRPr="00E76F83">
        <w:rPr>
          <w:rStyle w:val="Odwoanieprzypisudolnego"/>
          <w:rFonts w:ascii="Helvetica" w:hAnsi="Helvetica" w:cs="Helvetica"/>
          <w:sz w:val="12"/>
          <w:szCs w:val="12"/>
        </w:rPr>
        <w:footnoteRef/>
      </w:r>
      <w:r w:rsidRPr="00E76F83">
        <w:rPr>
          <w:rFonts w:ascii="Helvetica" w:hAnsi="Helvetica" w:cs="Helvetica"/>
          <w:sz w:val="12"/>
          <w:szCs w:val="12"/>
        </w:rPr>
        <w:t xml:space="preserve"> Pismo z 3 sierpnia 2021 r., znak: BKA-II.081.23.25.2021.IK.</w:t>
      </w:r>
    </w:p>
  </w:footnote>
  <w:footnote w:id="166">
    <w:p w14:paraId="242E86BC" w14:textId="77777777" w:rsidR="006F4943" w:rsidRPr="00E76F83" w:rsidRDefault="006F4943" w:rsidP="004D1514">
      <w:pPr>
        <w:pStyle w:val="Tekstprzypisudolnego"/>
        <w:jc w:val="both"/>
        <w:rPr>
          <w:rFonts w:ascii="Helvetica" w:hAnsi="Helvetica" w:cs="Helvetica"/>
          <w:sz w:val="12"/>
          <w:szCs w:val="12"/>
        </w:rPr>
      </w:pPr>
      <w:r w:rsidRPr="00E76F83">
        <w:rPr>
          <w:rStyle w:val="Odwoanieprzypisudolnego"/>
          <w:rFonts w:ascii="Helvetica" w:hAnsi="Helvetica" w:cs="Helvetica"/>
          <w:sz w:val="12"/>
          <w:szCs w:val="12"/>
        </w:rPr>
        <w:footnoteRef/>
      </w:r>
      <w:r w:rsidRPr="00E76F83">
        <w:rPr>
          <w:rFonts w:ascii="Helvetica" w:hAnsi="Helvetica" w:cs="Helvetica"/>
          <w:sz w:val="12"/>
          <w:szCs w:val="12"/>
        </w:rPr>
        <w:t xml:space="preserve"> Pismo z 6 lipca 2021 r., znak: BKA-II.081.23.12.2021.IK.</w:t>
      </w:r>
    </w:p>
  </w:footnote>
  <w:footnote w:id="167">
    <w:p w14:paraId="27F397D1" w14:textId="77777777" w:rsidR="006F4943" w:rsidRPr="00E76F83" w:rsidRDefault="006F4943" w:rsidP="004D1514">
      <w:pPr>
        <w:pStyle w:val="Tekstprzypisudolnego"/>
        <w:jc w:val="both"/>
        <w:rPr>
          <w:rFonts w:ascii="Helvetica" w:hAnsi="Helvetica" w:cs="Helvetica"/>
          <w:sz w:val="12"/>
          <w:szCs w:val="12"/>
        </w:rPr>
      </w:pPr>
      <w:r w:rsidRPr="00E76F83">
        <w:rPr>
          <w:rStyle w:val="Odwoanieprzypisudolnego"/>
          <w:rFonts w:ascii="Helvetica" w:hAnsi="Helvetica" w:cs="Helvetica"/>
          <w:sz w:val="12"/>
          <w:szCs w:val="12"/>
        </w:rPr>
        <w:footnoteRef/>
      </w:r>
      <w:r w:rsidRPr="00E76F83">
        <w:rPr>
          <w:rFonts w:ascii="Helvetica" w:hAnsi="Helvetica" w:cs="Helvetica"/>
          <w:sz w:val="12"/>
          <w:szCs w:val="12"/>
        </w:rPr>
        <w:t xml:space="preserve"> Pismo z 3 sierpnia 2021 r., znak: BKA-II.081.23.25.2021.IK.</w:t>
      </w:r>
    </w:p>
  </w:footnote>
  <w:footnote w:id="168">
    <w:p w14:paraId="4713E546" w14:textId="77777777" w:rsidR="006F4943" w:rsidRPr="00E76F83" w:rsidRDefault="006F4943" w:rsidP="004D1514">
      <w:pPr>
        <w:pStyle w:val="Tekstprzypisudolnego"/>
        <w:jc w:val="both"/>
        <w:rPr>
          <w:rFonts w:ascii="Helvetica" w:hAnsi="Helvetica" w:cs="Helvetica"/>
          <w:sz w:val="12"/>
          <w:szCs w:val="12"/>
        </w:rPr>
      </w:pPr>
      <w:r w:rsidRPr="00E76F83">
        <w:rPr>
          <w:rStyle w:val="Odwoanieprzypisudolnego"/>
          <w:rFonts w:ascii="Helvetica" w:hAnsi="Helvetica" w:cs="Helvetica"/>
          <w:sz w:val="12"/>
          <w:szCs w:val="12"/>
        </w:rPr>
        <w:footnoteRef/>
      </w:r>
      <w:r w:rsidRPr="00E76F83">
        <w:rPr>
          <w:rFonts w:ascii="Helvetica" w:hAnsi="Helvetica" w:cs="Helvetica"/>
          <w:sz w:val="12"/>
          <w:szCs w:val="12"/>
        </w:rPr>
        <w:t xml:space="preserve"> § 17 części II załącznika nr 1 do PBI IT oraz § 10 części II załącznika nr 2 do PBI IT.</w:t>
      </w:r>
    </w:p>
  </w:footnote>
  <w:footnote w:id="169">
    <w:p w14:paraId="614F78AF" w14:textId="77777777" w:rsidR="006F4943" w:rsidRPr="00E76F83" w:rsidRDefault="006F4943" w:rsidP="004D1514">
      <w:pPr>
        <w:pStyle w:val="Tekstprzypisudolnego"/>
        <w:jc w:val="both"/>
        <w:rPr>
          <w:rFonts w:ascii="Helvetica" w:hAnsi="Helvetica" w:cs="Helvetica"/>
          <w:sz w:val="12"/>
          <w:szCs w:val="12"/>
        </w:rPr>
      </w:pPr>
      <w:r w:rsidRPr="00E76F83">
        <w:rPr>
          <w:rStyle w:val="Odwoanieprzypisudolnego"/>
          <w:rFonts w:ascii="Helvetica" w:hAnsi="Helvetica" w:cs="Helvetica"/>
          <w:sz w:val="12"/>
          <w:szCs w:val="12"/>
        </w:rPr>
        <w:footnoteRef/>
      </w:r>
      <w:r w:rsidRPr="00E76F83">
        <w:rPr>
          <w:rFonts w:ascii="Helvetica" w:hAnsi="Helvetica" w:cs="Helvetica"/>
          <w:sz w:val="12"/>
          <w:szCs w:val="12"/>
        </w:rPr>
        <w:t xml:space="preserve"> Pismo z 3 sierpnia 2021 r., znak: BKA-II.081.23.25.2021.IK.</w:t>
      </w:r>
    </w:p>
  </w:footnote>
  <w:footnote w:id="170">
    <w:p w14:paraId="40D5ABA3" w14:textId="77777777" w:rsidR="006F4943" w:rsidRPr="00BE197E" w:rsidRDefault="006F4943" w:rsidP="004D1514">
      <w:pPr>
        <w:pStyle w:val="Tekstprzypisudolnego"/>
        <w:jc w:val="both"/>
        <w:rPr>
          <w:rFonts w:ascii="Helvetica" w:hAnsi="Helvetica" w:cs="Helvetica"/>
          <w:sz w:val="12"/>
          <w:szCs w:val="12"/>
        </w:rPr>
      </w:pPr>
      <w:r w:rsidRPr="00E76F83">
        <w:rPr>
          <w:rStyle w:val="Odwoanieprzypisudolnego"/>
          <w:rFonts w:ascii="Helvetica" w:hAnsi="Helvetica" w:cs="Helvetica"/>
          <w:sz w:val="12"/>
          <w:szCs w:val="12"/>
        </w:rPr>
        <w:footnoteRef/>
      </w:r>
      <w:r w:rsidRPr="00E76F83">
        <w:rPr>
          <w:rFonts w:ascii="Helvetica" w:hAnsi="Helvetica" w:cs="Helvetica"/>
          <w:sz w:val="12"/>
          <w:szCs w:val="12"/>
        </w:rPr>
        <w:t xml:space="preserve"> Pismo z 3 sierpnia 2021 r., znak: BKA-II.081.23.25.2021.IK.</w:t>
      </w:r>
    </w:p>
  </w:footnote>
  <w:footnote w:id="171">
    <w:p w14:paraId="602672CA"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Wyjaśnienia z 3 sierpnia 2021 r., znak: BKA-II.081.23.25.2021.IK.</w:t>
      </w:r>
    </w:p>
  </w:footnote>
  <w:footnote w:id="172">
    <w:p w14:paraId="3E0EA2C6"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 22 ust. 6 części II załącznika nr 1 do PBI IT.</w:t>
      </w:r>
    </w:p>
  </w:footnote>
  <w:footnote w:id="173">
    <w:p w14:paraId="52875547"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 24 ust. 5 części II załącznika nr 1 do PBI IT.</w:t>
      </w:r>
    </w:p>
  </w:footnote>
  <w:footnote w:id="174">
    <w:p w14:paraId="2CDF6C58"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 24 ust. 11 części II załącznika nr 1 do PBI IT.</w:t>
      </w:r>
    </w:p>
  </w:footnote>
  <w:footnote w:id="175">
    <w:p w14:paraId="124C46DC"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 18 ust. 11 części II załącznika nr 1 do PBI IT.</w:t>
      </w:r>
    </w:p>
  </w:footnote>
  <w:footnote w:id="176">
    <w:p w14:paraId="13472610"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 24 ust. 9 i 10 części II załącznika nr 1 do PBI IT.</w:t>
      </w:r>
    </w:p>
  </w:footnote>
  <w:footnote w:id="177">
    <w:p w14:paraId="2B8BF9DF"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15 lipca 2021 r., znak DI.III.081.5.16.2021.PW.</w:t>
      </w:r>
    </w:p>
  </w:footnote>
  <w:footnote w:id="178">
    <w:p w14:paraId="33FDB37C" w14:textId="77777777" w:rsidR="006F4943" w:rsidRPr="000E63C8" w:rsidRDefault="006F4943" w:rsidP="004D1514">
      <w:pPr>
        <w:pStyle w:val="Tekstprzypisudolnego"/>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Wyjaśnienia z 15 lipca 2021 r., znak: DI.III.081.5.16.2021.PW.</w:t>
      </w:r>
    </w:p>
  </w:footnote>
  <w:footnote w:id="179">
    <w:p w14:paraId="26DB5CDD"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t>
      </w:r>
      <w:r w:rsidRPr="000F6987">
        <w:rPr>
          <w:rStyle w:val="Hipercze"/>
          <w:rFonts w:ascii="Helvetica" w:hAnsi="Helvetica" w:cs="Helvetica"/>
          <w:color w:val="auto"/>
          <w:sz w:val="12"/>
          <w:szCs w:val="12"/>
          <w:u w:val="none"/>
        </w:rPr>
        <w:t>Dokumenty elektroniczne mogą być doręczane za pomocą ESP dostępnej na Elektronicznej Platformie Usług Administracji Publicznej (</w:t>
      </w:r>
      <w:proofErr w:type="spellStart"/>
      <w:r w:rsidRPr="000F6987">
        <w:rPr>
          <w:rStyle w:val="Hipercze"/>
          <w:rFonts w:ascii="Helvetica" w:hAnsi="Helvetica" w:cs="Helvetica"/>
          <w:color w:val="auto"/>
          <w:sz w:val="12"/>
          <w:szCs w:val="12"/>
          <w:u w:val="none"/>
        </w:rPr>
        <w:t>ePUAP</w:t>
      </w:r>
      <w:proofErr w:type="spellEnd"/>
      <w:r w:rsidRPr="000F6987">
        <w:rPr>
          <w:rStyle w:val="Hipercze"/>
          <w:rFonts w:ascii="Helvetica" w:hAnsi="Helvetica" w:cs="Helvetica"/>
          <w:color w:val="auto"/>
          <w:sz w:val="12"/>
          <w:szCs w:val="12"/>
          <w:u w:val="none"/>
        </w:rPr>
        <w:t>) pod adresem:/4g447ytes7/skrytka oraz</w:t>
      </w:r>
      <w:r w:rsidRPr="000F6987">
        <w:rPr>
          <w:rStyle w:val="Hipercze"/>
          <w:rFonts w:ascii="Helvetica" w:hAnsi="Helvetica" w:cs="Helvetica"/>
          <w:color w:val="auto"/>
          <w:sz w:val="12"/>
          <w:szCs w:val="12"/>
        </w:rPr>
        <w:t xml:space="preserve"> </w:t>
      </w:r>
      <w:r w:rsidRPr="000E63C8">
        <w:rPr>
          <w:rStyle w:val="Hipercze"/>
          <w:rFonts w:ascii="Helvetica" w:hAnsi="Helvetica" w:cs="Helvetica"/>
          <w:sz w:val="12"/>
          <w:szCs w:val="12"/>
        </w:rPr>
        <w:t>https://www.gov.pl/web/rodzina/kontakt-elektroniczna-skrzynka-podawcza https://www.gov.pl/web/gov/uslugi-dla-obywatela.</w:t>
      </w:r>
    </w:p>
  </w:footnote>
  <w:footnote w:id="180">
    <w:p w14:paraId="48864255"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29 lipca 2021 r., znak: BKA-II.081.23.22.2021.IK wraz z załącznikiem.</w:t>
      </w:r>
    </w:p>
  </w:footnote>
  <w:footnote w:id="181">
    <w:p w14:paraId="61AB8B9F"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Wzory: ZSR-05; ZDKR-01; ZDKR-02; ZDKR-03; ZDKR-04; RKZ-4. </w:t>
      </w:r>
    </w:p>
  </w:footnote>
  <w:footnote w:id="182">
    <w:p w14:paraId="0D183D50"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Pismo z 11 sierpnia 2021 r., znak: BKA-II.081.23.29.2021.IK.</w:t>
      </w:r>
    </w:p>
  </w:footnote>
  <w:footnote w:id="183">
    <w:p w14:paraId="75F4E4C6"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Wyjaśnienia z 29 lipca 2021 r., znak: BKA-II.081.23.22.2021.IK.</w:t>
      </w:r>
    </w:p>
  </w:footnote>
  <w:footnote w:id="184">
    <w:p w14:paraId="4EF98168" w14:textId="77777777" w:rsidR="006F4943" w:rsidRPr="000E63C8" w:rsidRDefault="006F4943" w:rsidP="004D1514">
      <w:pPr>
        <w:pStyle w:val="Tekstprzypisudolnego"/>
        <w:jc w:val="both"/>
        <w:rPr>
          <w:rFonts w:ascii="Helvetica" w:hAnsi="Helvetica" w:cs="Helvetica"/>
          <w:sz w:val="12"/>
          <w:szCs w:val="12"/>
        </w:rPr>
      </w:pPr>
      <w:r w:rsidRPr="000E63C8">
        <w:rPr>
          <w:rStyle w:val="Odwoanieprzypisudolnego"/>
          <w:rFonts w:ascii="Helvetica" w:hAnsi="Helvetica" w:cs="Helvetica"/>
          <w:sz w:val="12"/>
          <w:szCs w:val="12"/>
        </w:rPr>
        <w:footnoteRef/>
      </w:r>
      <w:r w:rsidRPr="000E63C8">
        <w:rPr>
          <w:rFonts w:ascii="Helvetica" w:hAnsi="Helvetica" w:cs="Helvetica"/>
          <w:sz w:val="12"/>
          <w:szCs w:val="12"/>
        </w:rPr>
        <w:t xml:space="preserve"> § 3 ust. 1 Instrukcji kancelaryjnej Ministerstwa Rodziny, Pracy i Polityki Społecznej stanowiącej załącznik nr 1 do zarządzenia nr 38 Ministra Rodziny, Pracy i Polityki Społecznej z dnia 12 grudnia 2019 r. w sprawie ustalenia instrukcji kancelaryjnej, jednolitego rzeczowego wykazu akt i instrukcji w sprawie organizacji i zakresu działania archiwum zakładowego Ministerstwa Rodziny, Pracy i Polityki Społecznej.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EBC59" w14:textId="77777777" w:rsidR="006F4943" w:rsidRPr="004D1514" w:rsidRDefault="006F4943" w:rsidP="004D1514">
    <w:pPr>
      <w:tabs>
        <w:tab w:val="left" w:pos="5245"/>
      </w:tabs>
      <w:spacing w:line="240" w:lineRule="exact"/>
      <w:ind w:right="4109"/>
      <w:outlineLvl w:val="0"/>
      <w:rPr>
        <w:rFonts w:ascii="Calibri" w:hAnsi="Calibri" w:cs="Shruti"/>
        <w:color w:val="292929"/>
        <w:spacing w:val="-12"/>
        <w:kern w:val="144"/>
      </w:rPr>
    </w:pPr>
    <w:r w:rsidRPr="004D1514">
      <w:rPr>
        <w:noProof/>
        <w:szCs w:val="24"/>
      </w:rPr>
      <w:drawing>
        <wp:inline distT="0" distB="0" distL="0" distR="0" wp14:anchorId="4F31775F" wp14:editId="37BD552C">
          <wp:extent cx="5400064" cy="3808675"/>
          <wp:effectExtent l="0" t="0" r="0" b="1905"/>
          <wp:docPr id="7" name="Obraz 7" descr="C:\Users\jkozlows\Desktop\WZOR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kozlows\Desktop\WZOR_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0280" cy="3829986"/>
                  </a:xfrm>
                  <a:prstGeom prst="rect">
                    <a:avLst/>
                  </a:prstGeom>
                  <a:noFill/>
                  <a:ln>
                    <a:noFill/>
                  </a:ln>
                </pic:spPr>
              </pic:pic>
            </a:graphicData>
          </a:graphic>
        </wp:inline>
      </w:drawing>
    </w:r>
  </w:p>
  <w:p w14:paraId="307C641F" w14:textId="77777777" w:rsidR="006F4943" w:rsidRPr="00BB4F9C" w:rsidRDefault="006F4943" w:rsidP="00C45A17">
    <w:pPr>
      <w:tabs>
        <w:tab w:val="left" w:pos="4383"/>
      </w:tabs>
      <w:ind w:right="4109"/>
      <w:outlineLvl w:val="0"/>
      <w:rPr>
        <w:rFonts w:ascii="Arial" w:eastAsia="Arial Unicode MS" w:hAnsi="Arial" w:cs="Arial"/>
        <w:b/>
        <w:i/>
        <w:color w:val="999999"/>
        <w:sz w:val="23"/>
        <w:szCs w:val="23"/>
      </w:rPr>
    </w:pPr>
    <w:r w:rsidRPr="004D1514">
      <w:rPr>
        <w:noProof/>
        <w:szCs w:val="24"/>
      </w:rPr>
      <w:drawing>
        <wp:inline distT="0" distB="0" distL="0" distR="0" wp14:anchorId="757954C5" wp14:editId="4AB5F6F6">
          <wp:extent cx="5399405" cy="1521562"/>
          <wp:effectExtent l="0" t="0" r="0" b="2540"/>
          <wp:docPr id="8" name="Obraz 8" descr="C:\Users\jkozlows\Desktop\WZOR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kozlows\Desktop\WZOR_R.jpg"/>
                  <pic:cNvPicPr>
                    <a:picLocks noChangeAspect="1" noChangeArrowheads="1"/>
                  </pic:cNvPicPr>
                </pic:nvPicPr>
                <pic:blipFill rotWithShape="1">
                  <a:blip r:embed="rId1">
                    <a:extLst>
                      <a:ext uri="{28A0092B-C50C-407E-A947-70E740481C1C}">
                        <a14:useLocalDpi xmlns:a14="http://schemas.microsoft.com/office/drawing/2010/main" val="0"/>
                      </a:ext>
                    </a:extLst>
                  </a:blip>
                  <a:srcRect b="15770"/>
                  <a:stretch/>
                </pic:blipFill>
                <pic:spPr bwMode="auto">
                  <a:xfrm>
                    <a:off x="0" y="0"/>
                    <a:ext cx="5422863" cy="15281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BD1"/>
    <w:multiLevelType w:val="hybridMultilevel"/>
    <w:tmpl w:val="71261B24"/>
    <w:lvl w:ilvl="0" w:tplc="6F50DC00">
      <w:start w:val="1"/>
      <w:numFmt w:val="decimal"/>
      <w:lvlText w:val="%1)"/>
      <w:lvlJc w:val="left"/>
      <w:pPr>
        <w:ind w:left="928" w:hanging="360"/>
      </w:pPr>
      <w:rPr>
        <w:b/>
      </w:rPr>
    </w:lvl>
    <w:lvl w:ilvl="1" w:tplc="ACB4EC54">
      <w:start w:val="1"/>
      <w:numFmt w:val="lowerLetter"/>
      <w:lvlText w:val="%2)"/>
      <w:lvlJc w:val="left"/>
      <w:pPr>
        <w:ind w:left="1648" w:hanging="360"/>
      </w:pPr>
      <w:rPr>
        <w:b/>
      </w:r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 w15:restartNumberingAfterBreak="0">
    <w:nsid w:val="089F7F52"/>
    <w:multiLevelType w:val="multilevel"/>
    <w:tmpl w:val="288C0988"/>
    <w:lvl w:ilvl="0">
      <w:start w:val="1"/>
      <w:numFmt w:val="upperRoman"/>
      <w:lvlText w:val="%1."/>
      <w:lvlJc w:val="left"/>
      <w:pPr>
        <w:tabs>
          <w:tab w:val="num" w:pos="-1211"/>
        </w:tabs>
        <w:ind w:left="-1571" w:hanging="360"/>
      </w:pPr>
      <w:rPr>
        <w:rFonts w:hint="default"/>
        <w:b/>
      </w:rPr>
    </w:lvl>
    <w:lvl w:ilvl="1">
      <w:start w:val="1"/>
      <w:numFmt w:val="decimal"/>
      <w:lvlText w:val="%2."/>
      <w:lvlJc w:val="left"/>
      <w:pPr>
        <w:tabs>
          <w:tab w:val="num" w:pos="1927"/>
        </w:tabs>
        <w:ind w:left="1927" w:hanging="792"/>
      </w:pPr>
      <w:rPr>
        <w:rFonts w:ascii="Helvetica" w:hAnsi="Helvetica" w:cs="Helvetica" w:hint="default"/>
        <w:b/>
        <w:i w:val="0"/>
        <w:sz w:val="24"/>
        <w:szCs w:val="24"/>
      </w:rPr>
    </w:lvl>
    <w:lvl w:ilvl="2">
      <w:start w:val="1"/>
      <w:numFmt w:val="decimal"/>
      <w:lvlText w:val="%2.%3."/>
      <w:lvlJc w:val="left"/>
      <w:pPr>
        <w:tabs>
          <w:tab w:val="num" w:pos="1366"/>
        </w:tabs>
        <w:ind w:left="1366" w:hanging="1224"/>
      </w:pPr>
      <w:rPr>
        <w:rFonts w:ascii="Times New Roman" w:hAnsi="Times New Roman" w:cs="Times New Roman"/>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lvlText w:val="%2.%3.%4."/>
      <w:lvlJc w:val="left"/>
      <w:pPr>
        <w:tabs>
          <w:tab w:val="num" w:pos="1080"/>
        </w:tabs>
        <w:ind w:left="0" w:firstLine="0"/>
      </w:pPr>
      <w:rPr>
        <w:rFonts w:hint="default"/>
        <w:b w:val="0"/>
      </w:rPr>
    </w:lvl>
    <w:lvl w:ilvl="4">
      <w:start w:val="1"/>
      <w:numFmt w:val="decimal"/>
      <w:lvlText w:val="%1.%2.%3.%4.%5."/>
      <w:lvlJc w:val="left"/>
      <w:pPr>
        <w:tabs>
          <w:tab w:val="num" w:pos="589"/>
        </w:tabs>
        <w:ind w:left="301" w:hanging="792"/>
      </w:pPr>
      <w:rPr>
        <w:rFonts w:hint="default"/>
      </w:rPr>
    </w:lvl>
    <w:lvl w:ilvl="5">
      <w:start w:val="1"/>
      <w:numFmt w:val="decimal"/>
      <w:lvlText w:val="%1.%2.%3.%4.%5.%6."/>
      <w:lvlJc w:val="left"/>
      <w:pPr>
        <w:tabs>
          <w:tab w:val="num" w:pos="949"/>
        </w:tabs>
        <w:ind w:left="805" w:hanging="936"/>
      </w:pPr>
      <w:rPr>
        <w:rFonts w:hint="default"/>
      </w:rPr>
    </w:lvl>
    <w:lvl w:ilvl="6">
      <w:start w:val="1"/>
      <w:numFmt w:val="decimal"/>
      <w:lvlText w:val="%1.%2.%3.%4.%5.%6.%7."/>
      <w:lvlJc w:val="left"/>
      <w:pPr>
        <w:tabs>
          <w:tab w:val="num" w:pos="1669"/>
        </w:tabs>
        <w:ind w:left="1309" w:hanging="1080"/>
      </w:pPr>
      <w:rPr>
        <w:rFonts w:hint="default"/>
      </w:rPr>
    </w:lvl>
    <w:lvl w:ilvl="7">
      <w:start w:val="1"/>
      <w:numFmt w:val="decimal"/>
      <w:lvlText w:val="%1.%2.%3.%4.%5.%6.%7.%8."/>
      <w:lvlJc w:val="left"/>
      <w:pPr>
        <w:tabs>
          <w:tab w:val="num" w:pos="2029"/>
        </w:tabs>
        <w:ind w:left="1813" w:hanging="1224"/>
      </w:pPr>
      <w:rPr>
        <w:rFonts w:hint="default"/>
      </w:rPr>
    </w:lvl>
    <w:lvl w:ilvl="8">
      <w:start w:val="1"/>
      <w:numFmt w:val="decimal"/>
      <w:lvlText w:val="%1.%2.%3.%4.%5.%6.%7.%8.%9."/>
      <w:lvlJc w:val="left"/>
      <w:pPr>
        <w:tabs>
          <w:tab w:val="num" w:pos="2749"/>
        </w:tabs>
        <w:ind w:left="2389" w:hanging="1440"/>
      </w:pPr>
      <w:rPr>
        <w:rFonts w:hint="default"/>
      </w:rPr>
    </w:lvl>
  </w:abstractNum>
  <w:abstractNum w:abstractNumId="2" w15:restartNumberingAfterBreak="0">
    <w:nsid w:val="0E94706D"/>
    <w:multiLevelType w:val="hybridMultilevel"/>
    <w:tmpl w:val="BE381E5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1404092E"/>
    <w:multiLevelType w:val="hybridMultilevel"/>
    <w:tmpl w:val="78FCEE52"/>
    <w:lvl w:ilvl="0" w:tplc="04150001">
      <w:start w:val="1"/>
      <w:numFmt w:val="bullet"/>
      <w:lvlText w:val=""/>
      <w:lvlJc w:val="left"/>
      <w:pPr>
        <w:ind w:left="1004" w:hanging="360"/>
      </w:pPr>
      <w:rPr>
        <w:rFonts w:ascii="Symbol" w:hAnsi="Symbo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14302E1A"/>
    <w:multiLevelType w:val="hybridMultilevel"/>
    <w:tmpl w:val="CEBA39D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15:restartNumberingAfterBreak="0">
    <w:nsid w:val="204E0BD7"/>
    <w:multiLevelType w:val="hybridMultilevel"/>
    <w:tmpl w:val="2320CA6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9600ADA"/>
    <w:multiLevelType w:val="hybridMultilevel"/>
    <w:tmpl w:val="DF123942"/>
    <w:lvl w:ilvl="0" w:tplc="162CED8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BF03F32"/>
    <w:multiLevelType w:val="hybridMultilevel"/>
    <w:tmpl w:val="D33084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EF2124"/>
    <w:multiLevelType w:val="hybridMultilevel"/>
    <w:tmpl w:val="739C9C6E"/>
    <w:lvl w:ilvl="0" w:tplc="A0D6D192">
      <w:start w:val="1"/>
      <w:numFmt w:val="decimal"/>
      <w:lvlText w:val="%1."/>
      <w:lvlJc w:val="left"/>
      <w:pPr>
        <w:ind w:left="2007" w:hanging="360"/>
      </w:pPr>
      <w:rPr>
        <w:rFonts w:ascii="Times New Roman" w:hAnsi="Times New Roman" w:cs="Times New Roman" w:hint="default"/>
        <w:b/>
        <w:sz w:val="21"/>
        <w:szCs w:val="21"/>
      </w:rPr>
    </w:lvl>
    <w:lvl w:ilvl="1" w:tplc="04150019" w:tentative="1">
      <w:start w:val="1"/>
      <w:numFmt w:val="lowerLetter"/>
      <w:lvlText w:val="%2."/>
      <w:lvlJc w:val="left"/>
      <w:pPr>
        <w:ind w:left="2727" w:hanging="360"/>
      </w:pPr>
    </w:lvl>
    <w:lvl w:ilvl="2" w:tplc="0415001B" w:tentative="1">
      <w:start w:val="1"/>
      <w:numFmt w:val="lowerRoman"/>
      <w:lvlText w:val="%3."/>
      <w:lvlJc w:val="right"/>
      <w:pPr>
        <w:ind w:left="3447" w:hanging="180"/>
      </w:pPr>
    </w:lvl>
    <w:lvl w:ilvl="3" w:tplc="0415000F" w:tentative="1">
      <w:start w:val="1"/>
      <w:numFmt w:val="decimal"/>
      <w:lvlText w:val="%4."/>
      <w:lvlJc w:val="left"/>
      <w:pPr>
        <w:ind w:left="4167" w:hanging="360"/>
      </w:pPr>
    </w:lvl>
    <w:lvl w:ilvl="4" w:tplc="04150019" w:tentative="1">
      <w:start w:val="1"/>
      <w:numFmt w:val="lowerLetter"/>
      <w:lvlText w:val="%5."/>
      <w:lvlJc w:val="left"/>
      <w:pPr>
        <w:ind w:left="4887" w:hanging="360"/>
      </w:pPr>
    </w:lvl>
    <w:lvl w:ilvl="5" w:tplc="0415001B" w:tentative="1">
      <w:start w:val="1"/>
      <w:numFmt w:val="lowerRoman"/>
      <w:lvlText w:val="%6."/>
      <w:lvlJc w:val="right"/>
      <w:pPr>
        <w:ind w:left="5607" w:hanging="180"/>
      </w:pPr>
    </w:lvl>
    <w:lvl w:ilvl="6" w:tplc="0415000F" w:tentative="1">
      <w:start w:val="1"/>
      <w:numFmt w:val="decimal"/>
      <w:lvlText w:val="%7."/>
      <w:lvlJc w:val="left"/>
      <w:pPr>
        <w:ind w:left="6327" w:hanging="360"/>
      </w:pPr>
    </w:lvl>
    <w:lvl w:ilvl="7" w:tplc="04150019" w:tentative="1">
      <w:start w:val="1"/>
      <w:numFmt w:val="lowerLetter"/>
      <w:lvlText w:val="%8."/>
      <w:lvlJc w:val="left"/>
      <w:pPr>
        <w:ind w:left="7047" w:hanging="360"/>
      </w:pPr>
    </w:lvl>
    <w:lvl w:ilvl="8" w:tplc="0415001B" w:tentative="1">
      <w:start w:val="1"/>
      <w:numFmt w:val="lowerRoman"/>
      <w:lvlText w:val="%9."/>
      <w:lvlJc w:val="right"/>
      <w:pPr>
        <w:ind w:left="7767" w:hanging="180"/>
      </w:pPr>
    </w:lvl>
  </w:abstractNum>
  <w:abstractNum w:abstractNumId="9" w15:restartNumberingAfterBreak="0">
    <w:nsid w:val="393577F0"/>
    <w:multiLevelType w:val="hybridMultilevel"/>
    <w:tmpl w:val="F47A9AB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 w15:restartNumberingAfterBreak="0">
    <w:nsid w:val="398612C1"/>
    <w:multiLevelType w:val="hybridMultilevel"/>
    <w:tmpl w:val="5FC6991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A7267A9"/>
    <w:multiLevelType w:val="hybridMultilevel"/>
    <w:tmpl w:val="D888737A"/>
    <w:lvl w:ilvl="0" w:tplc="E4A4F756">
      <w:start w:val="1"/>
      <w:numFmt w:val="bullet"/>
      <w:pStyle w:val="tiretwakapic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44B23B6"/>
    <w:multiLevelType w:val="hybridMultilevel"/>
    <w:tmpl w:val="8184181A"/>
    <w:lvl w:ilvl="0" w:tplc="D6A2BCFC">
      <w:start w:val="1"/>
      <w:numFmt w:val="bullet"/>
      <w:lvlText w:val=""/>
      <w:lvlJc w:val="left"/>
      <w:pPr>
        <w:ind w:left="788" w:hanging="360"/>
      </w:pPr>
      <w:rPr>
        <w:rFonts w:ascii="Symbol" w:hAnsi="Symbol" w:hint="default"/>
      </w:rPr>
    </w:lvl>
    <w:lvl w:ilvl="1" w:tplc="04150003" w:tentative="1">
      <w:start w:val="1"/>
      <w:numFmt w:val="bullet"/>
      <w:lvlText w:val="o"/>
      <w:lvlJc w:val="left"/>
      <w:pPr>
        <w:ind w:left="1508" w:hanging="360"/>
      </w:pPr>
      <w:rPr>
        <w:rFonts w:ascii="Courier New" w:hAnsi="Courier New" w:cs="Courier New" w:hint="default"/>
      </w:rPr>
    </w:lvl>
    <w:lvl w:ilvl="2" w:tplc="04150005" w:tentative="1">
      <w:start w:val="1"/>
      <w:numFmt w:val="bullet"/>
      <w:lvlText w:val=""/>
      <w:lvlJc w:val="left"/>
      <w:pPr>
        <w:ind w:left="2228" w:hanging="360"/>
      </w:pPr>
      <w:rPr>
        <w:rFonts w:ascii="Wingdings" w:hAnsi="Wingdings" w:hint="default"/>
      </w:rPr>
    </w:lvl>
    <w:lvl w:ilvl="3" w:tplc="04150001" w:tentative="1">
      <w:start w:val="1"/>
      <w:numFmt w:val="bullet"/>
      <w:lvlText w:val=""/>
      <w:lvlJc w:val="left"/>
      <w:pPr>
        <w:ind w:left="2948" w:hanging="360"/>
      </w:pPr>
      <w:rPr>
        <w:rFonts w:ascii="Symbol" w:hAnsi="Symbol" w:hint="default"/>
      </w:rPr>
    </w:lvl>
    <w:lvl w:ilvl="4" w:tplc="04150003" w:tentative="1">
      <w:start w:val="1"/>
      <w:numFmt w:val="bullet"/>
      <w:lvlText w:val="o"/>
      <w:lvlJc w:val="left"/>
      <w:pPr>
        <w:ind w:left="3668" w:hanging="360"/>
      </w:pPr>
      <w:rPr>
        <w:rFonts w:ascii="Courier New" w:hAnsi="Courier New" w:cs="Courier New" w:hint="default"/>
      </w:rPr>
    </w:lvl>
    <w:lvl w:ilvl="5" w:tplc="04150005" w:tentative="1">
      <w:start w:val="1"/>
      <w:numFmt w:val="bullet"/>
      <w:lvlText w:val=""/>
      <w:lvlJc w:val="left"/>
      <w:pPr>
        <w:ind w:left="4388" w:hanging="360"/>
      </w:pPr>
      <w:rPr>
        <w:rFonts w:ascii="Wingdings" w:hAnsi="Wingdings" w:hint="default"/>
      </w:rPr>
    </w:lvl>
    <w:lvl w:ilvl="6" w:tplc="04150001" w:tentative="1">
      <w:start w:val="1"/>
      <w:numFmt w:val="bullet"/>
      <w:lvlText w:val=""/>
      <w:lvlJc w:val="left"/>
      <w:pPr>
        <w:ind w:left="5108" w:hanging="360"/>
      </w:pPr>
      <w:rPr>
        <w:rFonts w:ascii="Symbol" w:hAnsi="Symbol" w:hint="default"/>
      </w:rPr>
    </w:lvl>
    <w:lvl w:ilvl="7" w:tplc="04150003" w:tentative="1">
      <w:start w:val="1"/>
      <w:numFmt w:val="bullet"/>
      <w:lvlText w:val="o"/>
      <w:lvlJc w:val="left"/>
      <w:pPr>
        <w:ind w:left="5828" w:hanging="360"/>
      </w:pPr>
      <w:rPr>
        <w:rFonts w:ascii="Courier New" w:hAnsi="Courier New" w:cs="Courier New" w:hint="default"/>
      </w:rPr>
    </w:lvl>
    <w:lvl w:ilvl="8" w:tplc="04150005" w:tentative="1">
      <w:start w:val="1"/>
      <w:numFmt w:val="bullet"/>
      <w:lvlText w:val=""/>
      <w:lvlJc w:val="left"/>
      <w:pPr>
        <w:ind w:left="6548" w:hanging="360"/>
      </w:pPr>
      <w:rPr>
        <w:rFonts w:ascii="Wingdings" w:hAnsi="Wingdings" w:hint="default"/>
      </w:rPr>
    </w:lvl>
  </w:abstractNum>
  <w:abstractNum w:abstractNumId="13" w15:restartNumberingAfterBreak="0">
    <w:nsid w:val="490B69D9"/>
    <w:multiLevelType w:val="hybridMultilevel"/>
    <w:tmpl w:val="5CF23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B70E0D"/>
    <w:multiLevelType w:val="hybridMultilevel"/>
    <w:tmpl w:val="28C0A054"/>
    <w:lvl w:ilvl="0" w:tplc="2DBA8366">
      <w:start w:val="1"/>
      <w:numFmt w:val="decimal"/>
      <w:lvlText w:val="%1."/>
      <w:lvlJc w:val="left"/>
      <w:pPr>
        <w:ind w:left="720" w:hanging="360"/>
      </w:pPr>
      <w:rPr>
        <w:rFonts w:ascii="Helvetica" w:hAnsi="Helvetica" w:cs="Helvetica"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5D4CFE"/>
    <w:multiLevelType w:val="hybridMultilevel"/>
    <w:tmpl w:val="08D2D4C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79F24C4"/>
    <w:multiLevelType w:val="hybridMultilevel"/>
    <w:tmpl w:val="42CE4684"/>
    <w:lvl w:ilvl="0" w:tplc="9CCCBE9E">
      <w:start w:val="1"/>
      <w:numFmt w:val="bullet"/>
      <w:pStyle w:val="tiretwprzykadzie"/>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17" w15:restartNumberingAfterBreak="0">
    <w:nsid w:val="5FDA7374"/>
    <w:multiLevelType w:val="hybridMultilevel"/>
    <w:tmpl w:val="E01C328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8" w15:restartNumberingAfterBreak="0">
    <w:nsid w:val="5FFB62F2"/>
    <w:multiLevelType w:val="multilevel"/>
    <w:tmpl w:val="6E02CD76"/>
    <w:lvl w:ilvl="0">
      <w:start w:val="1"/>
      <w:numFmt w:val="bullet"/>
      <w:lvlText w:val="•"/>
      <w:lvlJc w:val="left"/>
      <w:rPr>
        <w:rFonts w:ascii="Times New Roman" w:eastAsia="Times New Roman" w:hAnsi="Times New Roman" w:cs="Times New Roman"/>
        <w:b w:val="0"/>
        <w:bCs w:val="0"/>
        <w:i w:val="0"/>
        <w:iCs w:val="0"/>
        <w:smallCaps w:val="0"/>
        <w:strike w:val="0"/>
        <w:color w:val="2E5A6F"/>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4439A8"/>
    <w:multiLevelType w:val="hybridMultilevel"/>
    <w:tmpl w:val="2692FAB8"/>
    <w:lvl w:ilvl="0" w:tplc="A718BCD2">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0" w15:restartNumberingAfterBreak="0">
    <w:nsid w:val="686F3FEC"/>
    <w:multiLevelType w:val="hybridMultilevel"/>
    <w:tmpl w:val="2640BA70"/>
    <w:lvl w:ilvl="0" w:tplc="04150001">
      <w:start w:val="1"/>
      <w:numFmt w:val="bullet"/>
      <w:lvlText w:val=""/>
      <w:lvlJc w:val="left"/>
      <w:pPr>
        <w:ind w:left="1343" w:hanging="360"/>
      </w:pPr>
      <w:rPr>
        <w:rFonts w:ascii="Symbol" w:hAnsi="Symbol" w:hint="default"/>
      </w:rPr>
    </w:lvl>
    <w:lvl w:ilvl="1" w:tplc="04150003" w:tentative="1">
      <w:start w:val="1"/>
      <w:numFmt w:val="bullet"/>
      <w:lvlText w:val="o"/>
      <w:lvlJc w:val="left"/>
      <w:pPr>
        <w:ind w:left="2063" w:hanging="360"/>
      </w:pPr>
      <w:rPr>
        <w:rFonts w:ascii="Courier New" w:hAnsi="Courier New" w:cs="Courier New" w:hint="default"/>
      </w:rPr>
    </w:lvl>
    <w:lvl w:ilvl="2" w:tplc="04150005" w:tentative="1">
      <w:start w:val="1"/>
      <w:numFmt w:val="bullet"/>
      <w:lvlText w:val=""/>
      <w:lvlJc w:val="left"/>
      <w:pPr>
        <w:ind w:left="2783" w:hanging="360"/>
      </w:pPr>
      <w:rPr>
        <w:rFonts w:ascii="Wingdings" w:hAnsi="Wingdings" w:hint="default"/>
      </w:rPr>
    </w:lvl>
    <w:lvl w:ilvl="3" w:tplc="04150001" w:tentative="1">
      <w:start w:val="1"/>
      <w:numFmt w:val="bullet"/>
      <w:lvlText w:val=""/>
      <w:lvlJc w:val="left"/>
      <w:pPr>
        <w:ind w:left="3503" w:hanging="360"/>
      </w:pPr>
      <w:rPr>
        <w:rFonts w:ascii="Symbol" w:hAnsi="Symbol" w:hint="default"/>
      </w:rPr>
    </w:lvl>
    <w:lvl w:ilvl="4" w:tplc="04150003" w:tentative="1">
      <w:start w:val="1"/>
      <w:numFmt w:val="bullet"/>
      <w:lvlText w:val="o"/>
      <w:lvlJc w:val="left"/>
      <w:pPr>
        <w:ind w:left="4223" w:hanging="360"/>
      </w:pPr>
      <w:rPr>
        <w:rFonts w:ascii="Courier New" w:hAnsi="Courier New" w:cs="Courier New" w:hint="default"/>
      </w:rPr>
    </w:lvl>
    <w:lvl w:ilvl="5" w:tplc="04150005" w:tentative="1">
      <w:start w:val="1"/>
      <w:numFmt w:val="bullet"/>
      <w:lvlText w:val=""/>
      <w:lvlJc w:val="left"/>
      <w:pPr>
        <w:ind w:left="4943" w:hanging="360"/>
      </w:pPr>
      <w:rPr>
        <w:rFonts w:ascii="Wingdings" w:hAnsi="Wingdings" w:hint="default"/>
      </w:rPr>
    </w:lvl>
    <w:lvl w:ilvl="6" w:tplc="04150001" w:tentative="1">
      <w:start w:val="1"/>
      <w:numFmt w:val="bullet"/>
      <w:lvlText w:val=""/>
      <w:lvlJc w:val="left"/>
      <w:pPr>
        <w:ind w:left="5663" w:hanging="360"/>
      </w:pPr>
      <w:rPr>
        <w:rFonts w:ascii="Symbol" w:hAnsi="Symbol" w:hint="default"/>
      </w:rPr>
    </w:lvl>
    <w:lvl w:ilvl="7" w:tplc="04150003" w:tentative="1">
      <w:start w:val="1"/>
      <w:numFmt w:val="bullet"/>
      <w:lvlText w:val="o"/>
      <w:lvlJc w:val="left"/>
      <w:pPr>
        <w:ind w:left="6383" w:hanging="360"/>
      </w:pPr>
      <w:rPr>
        <w:rFonts w:ascii="Courier New" w:hAnsi="Courier New" w:cs="Courier New" w:hint="default"/>
      </w:rPr>
    </w:lvl>
    <w:lvl w:ilvl="8" w:tplc="04150005" w:tentative="1">
      <w:start w:val="1"/>
      <w:numFmt w:val="bullet"/>
      <w:lvlText w:val=""/>
      <w:lvlJc w:val="left"/>
      <w:pPr>
        <w:ind w:left="7103" w:hanging="360"/>
      </w:pPr>
      <w:rPr>
        <w:rFonts w:ascii="Wingdings" w:hAnsi="Wingdings" w:hint="default"/>
      </w:rPr>
    </w:lvl>
  </w:abstractNum>
  <w:abstractNum w:abstractNumId="21" w15:restartNumberingAfterBreak="0">
    <w:nsid w:val="6B4A372C"/>
    <w:multiLevelType w:val="hybridMultilevel"/>
    <w:tmpl w:val="870A2DE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71DE246E"/>
    <w:multiLevelType w:val="hybridMultilevel"/>
    <w:tmpl w:val="0B0A0098"/>
    <w:lvl w:ilvl="0" w:tplc="2AE4B036">
      <w:start w:val="1"/>
      <w:numFmt w:val="decimal"/>
      <w:lvlText w:val="%1."/>
      <w:lvlJc w:val="left"/>
      <w:pPr>
        <w:ind w:left="720" w:hanging="360"/>
      </w:pPr>
      <w:rPr>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425E52"/>
    <w:multiLevelType w:val="hybridMultilevel"/>
    <w:tmpl w:val="35E26B0C"/>
    <w:lvl w:ilvl="0" w:tplc="0F06BBC4">
      <w:start w:val="1"/>
      <w:numFmt w:val="bullet"/>
      <w:pStyle w:val="wyliczPkt"/>
      <w:lvlText w:val=""/>
      <w:lvlJc w:val="left"/>
      <w:pPr>
        <w:tabs>
          <w:tab w:val="num" w:pos="1440"/>
        </w:tabs>
        <w:ind w:left="1440" w:hanging="360"/>
      </w:pPr>
      <w:rPr>
        <w:rFonts w:ascii="Symbol" w:hAnsi="Symbol" w:hint="default"/>
        <w:color w:val="000080"/>
      </w:rPr>
    </w:lvl>
    <w:lvl w:ilvl="1" w:tplc="0AAA8760" w:tentative="1">
      <w:start w:val="1"/>
      <w:numFmt w:val="bullet"/>
      <w:lvlText w:val="o"/>
      <w:lvlJc w:val="left"/>
      <w:pPr>
        <w:tabs>
          <w:tab w:val="num" w:pos="1440"/>
        </w:tabs>
        <w:ind w:left="1440" w:hanging="360"/>
      </w:pPr>
      <w:rPr>
        <w:rFonts w:ascii="Courier New" w:hAnsi="Courier New" w:hint="default"/>
      </w:rPr>
    </w:lvl>
    <w:lvl w:ilvl="2" w:tplc="15189FC8" w:tentative="1">
      <w:start w:val="1"/>
      <w:numFmt w:val="bullet"/>
      <w:lvlText w:val=""/>
      <w:lvlJc w:val="left"/>
      <w:pPr>
        <w:tabs>
          <w:tab w:val="num" w:pos="2160"/>
        </w:tabs>
        <w:ind w:left="2160" w:hanging="360"/>
      </w:pPr>
      <w:rPr>
        <w:rFonts w:ascii="Wingdings" w:hAnsi="Wingdings" w:hint="default"/>
      </w:rPr>
    </w:lvl>
    <w:lvl w:ilvl="3" w:tplc="6C52231C" w:tentative="1">
      <w:start w:val="1"/>
      <w:numFmt w:val="bullet"/>
      <w:lvlText w:val=""/>
      <w:lvlJc w:val="left"/>
      <w:pPr>
        <w:tabs>
          <w:tab w:val="num" w:pos="2880"/>
        </w:tabs>
        <w:ind w:left="2880" w:hanging="360"/>
      </w:pPr>
      <w:rPr>
        <w:rFonts w:ascii="Symbol" w:hAnsi="Symbol" w:hint="default"/>
      </w:rPr>
    </w:lvl>
    <w:lvl w:ilvl="4" w:tplc="3C26C62C" w:tentative="1">
      <w:start w:val="1"/>
      <w:numFmt w:val="bullet"/>
      <w:lvlText w:val="o"/>
      <w:lvlJc w:val="left"/>
      <w:pPr>
        <w:tabs>
          <w:tab w:val="num" w:pos="3600"/>
        </w:tabs>
        <w:ind w:left="3600" w:hanging="360"/>
      </w:pPr>
      <w:rPr>
        <w:rFonts w:ascii="Courier New" w:hAnsi="Courier New" w:hint="default"/>
      </w:rPr>
    </w:lvl>
    <w:lvl w:ilvl="5" w:tplc="1616D36A" w:tentative="1">
      <w:start w:val="1"/>
      <w:numFmt w:val="bullet"/>
      <w:lvlText w:val=""/>
      <w:lvlJc w:val="left"/>
      <w:pPr>
        <w:tabs>
          <w:tab w:val="num" w:pos="4320"/>
        </w:tabs>
        <w:ind w:left="4320" w:hanging="360"/>
      </w:pPr>
      <w:rPr>
        <w:rFonts w:ascii="Wingdings" w:hAnsi="Wingdings" w:hint="default"/>
      </w:rPr>
    </w:lvl>
    <w:lvl w:ilvl="6" w:tplc="213AFB52" w:tentative="1">
      <w:start w:val="1"/>
      <w:numFmt w:val="bullet"/>
      <w:lvlText w:val=""/>
      <w:lvlJc w:val="left"/>
      <w:pPr>
        <w:tabs>
          <w:tab w:val="num" w:pos="5040"/>
        </w:tabs>
        <w:ind w:left="5040" w:hanging="360"/>
      </w:pPr>
      <w:rPr>
        <w:rFonts w:ascii="Symbol" w:hAnsi="Symbol" w:hint="default"/>
      </w:rPr>
    </w:lvl>
    <w:lvl w:ilvl="7" w:tplc="24505836" w:tentative="1">
      <w:start w:val="1"/>
      <w:numFmt w:val="bullet"/>
      <w:lvlText w:val="o"/>
      <w:lvlJc w:val="left"/>
      <w:pPr>
        <w:tabs>
          <w:tab w:val="num" w:pos="5760"/>
        </w:tabs>
        <w:ind w:left="5760" w:hanging="360"/>
      </w:pPr>
      <w:rPr>
        <w:rFonts w:ascii="Courier New" w:hAnsi="Courier New" w:hint="default"/>
      </w:rPr>
    </w:lvl>
    <w:lvl w:ilvl="8" w:tplc="93F8FF4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B44C8A"/>
    <w:multiLevelType w:val="multilevel"/>
    <w:tmpl w:val="2A8485F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C333CD"/>
    <w:multiLevelType w:val="hybridMultilevel"/>
    <w:tmpl w:val="A4CA824A"/>
    <w:lvl w:ilvl="0" w:tplc="EF6E15D4">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7F6D523B"/>
    <w:multiLevelType w:val="hybridMultilevel"/>
    <w:tmpl w:val="AEB02AAE"/>
    <w:lvl w:ilvl="0" w:tplc="992EFBF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23"/>
  </w:num>
  <w:num w:numId="2">
    <w:abstractNumId w:val="1"/>
  </w:num>
  <w:num w:numId="3">
    <w:abstractNumId w:val="11"/>
  </w:num>
  <w:num w:numId="4">
    <w:abstractNumId w:val="16"/>
  </w:num>
  <w:num w:numId="5">
    <w:abstractNumId w:val="8"/>
  </w:num>
  <w:num w:numId="6">
    <w:abstractNumId w:val="7"/>
  </w:num>
  <w:num w:numId="7">
    <w:abstractNumId w:val="15"/>
  </w:num>
  <w:num w:numId="8">
    <w:abstractNumId w:val="10"/>
  </w:num>
  <w:num w:numId="9">
    <w:abstractNumId w:val="25"/>
  </w:num>
  <w:num w:numId="10">
    <w:abstractNumId w:val="24"/>
  </w:num>
  <w:num w:numId="11">
    <w:abstractNumId w:val="0"/>
  </w:num>
  <w:num w:numId="12">
    <w:abstractNumId w:val="21"/>
  </w:num>
  <w:num w:numId="13">
    <w:abstractNumId w:val="20"/>
  </w:num>
  <w:num w:numId="14">
    <w:abstractNumId w:val="1"/>
    <w:lvlOverride w:ilvl="0">
      <w:startOverride w:val="1"/>
    </w:lvlOverride>
    <w:lvlOverride w:ilvl="1">
      <w:startOverride w:val="3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3"/>
  </w:num>
  <w:num w:numId="17">
    <w:abstractNumId w:val="26"/>
  </w:num>
  <w:num w:numId="18">
    <w:abstractNumId w:val="22"/>
  </w:num>
  <w:num w:numId="19">
    <w:abstractNumId w:val="6"/>
  </w:num>
  <w:num w:numId="20">
    <w:abstractNumId w:val="5"/>
  </w:num>
  <w:num w:numId="21">
    <w:abstractNumId w:val="3"/>
  </w:num>
  <w:num w:numId="22">
    <w:abstractNumId w:val="4"/>
  </w:num>
  <w:num w:numId="23">
    <w:abstractNumId w:val="17"/>
  </w:num>
  <w:num w:numId="24">
    <w:abstractNumId w:val="2"/>
  </w:num>
  <w:num w:numId="25">
    <w:abstractNumId w:val="9"/>
  </w:num>
  <w:num w:numId="26">
    <w:abstractNumId w:val="12"/>
  </w:num>
  <w:num w:numId="27">
    <w:abstractNumId w:val="14"/>
  </w:num>
  <w:num w:numId="28">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doNotTrackFormatting/>
  <w:defaultTabStop w:val="709"/>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827"/>
    <w:rsid w:val="000006F2"/>
    <w:rsid w:val="00000A07"/>
    <w:rsid w:val="00000CC8"/>
    <w:rsid w:val="00001087"/>
    <w:rsid w:val="00001EF1"/>
    <w:rsid w:val="0000220C"/>
    <w:rsid w:val="00002253"/>
    <w:rsid w:val="00002363"/>
    <w:rsid w:val="00003269"/>
    <w:rsid w:val="0000350C"/>
    <w:rsid w:val="0000405E"/>
    <w:rsid w:val="000042D7"/>
    <w:rsid w:val="00004385"/>
    <w:rsid w:val="00004522"/>
    <w:rsid w:val="00004C97"/>
    <w:rsid w:val="00004CB4"/>
    <w:rsid w:val="00004ECA"/>
    <w:rsid w:val="000058D9"/>
    <w:rsid w:val="00005A28"/>
    <w:rsid w:val="00005F1D"/>
    <w:rsid w:val="00005FF0"/>
    <w:rsid w:val="00006451"/>
    <w:rsid w:val="00006495"/>
    <w:rsid w:val="0000663E"/>
    <w:rsid w:val="0000796E"/>
    <w:rsid w:val="00007E43"/>
    <w:rsid w:val="00010194"/>
    <w:rsid w:val="00010281"/>
    <w:rsid w:val="000110A1"/>
    <w:rsid w:val="0001179A"/>
    <w:rsid w:val="00012A92"/>
    <w:rsid w:val="00012B10"/>
    <w:rsid w:val="0001369C"/>
    <w:rsid w:val="00013958"/>
    <w:rsid w:val="000139BD"/>
    <w:rsid w:val="00013A3E"/>
    <w:rsid w:val="00013A40"/>
    <w:rsid w:val="00014223"/>
    <w:rsid w:val="000144A2"/>
    <w:rsid w:val="000144AD"/>
    <w:rsid w:val="0001467A"/>
    <w:rsid w:val="00014E21"/>
    <w:rsid w:val="00015185"/>
    <w:rsid w:val="0001521F"/>
    <w:rsid w:val="00015C42"/>
    <w:rsid w:val="00016134"/>
    <w:rsid w:val="0001643D"/>
    <w:rsid w:val="00016AD6"/>
    <w:rsid w:val="00016C75"/>
    <w:rsid w:val="00016DE0"/>
    <w:rsid w:val="00017512"/>
    <w:rsid w:val="00017687"/>
    <w:rsid w:val="00020129"/>
    <w:rsid w:val="00020684"/>
    <w:rsid w:val="000207FA"/>
    <w:rsid w:val="00020B6B"/>
    <w:rsid w:val="00020CF5"/>
    <w:rsid w:val="00020DDE"/>
    <w:rsid w:val="00020E0A"/>
    <w:rsid w:val="00021542"/>
    <w:rsid w:val="00021957"/>
    <w:rsid w:val="00021E06"/>
    <w:rsid w:val="0002220B"/>
    <w:rsid w:val="000222B2"/>
    <w:rsid w:val="000224A2"/>
    <w:rsid w:val="000229A0"/>
    <w:rsid w:val="00022BCF"/>
    <w:rsid w:val="000231D3"/>
    <w:rsid w:val="00023A93"/>
    <w:rsid w:val="000242DE"/>
    <w:rsid w:val="00024317"/>
    <w:rsid w:val="0002490F"/>
    <w:rsid w:val="00024928"/>
    <w:rsid w:val="00024D25"/>
    <w:rsid w:val="00025373"/>
    <w:rsid w:val="0002551E"/>
    <w:rsid w:val="000256BD"/>
    <w:rsid w:val="00025859"/>
    <w:rsid w:val="00025E9F"/>
    <w:rsid w:val="00026A56"/>
    <w:rsid w:val="00026A65"/>
    <w:rsid w:val="00026AD4"/>
    <w:rsid w:val="00027241"/>
    <w:rsid w:val="00027BE2"/>
    <w:rsid w:val="0003023D"/>
    <w:rsid w:val="000304C9"/>
    <w:rsid w:val="000306A6"/>
    <w:rsid w:val="000307BC"/>
    <w:rsid w:val="00031465"/>
    <w:rsid w:val="0003173F"/>
    <w:rsid w:val="00031E44"/>
    <w:rsid w:val="00032016"/>
    <w:rsid w:val="000321D9"/>
    <w:rsid w:val="000327CA"/>
    <w:rsid w:val="00032A87"/>
    <w:rsid w:val="00032AC0"/>
    <w:rsid w:val="00032B2E"/>
    <w:rsid w:val="00033022"/>
    <w:rsid w:val="00033CDE"/>
    <w:rsid w:val="000349CC"/>
    <w:rsid w:val="00034B7D"/>
    <w:rsid w:val="00034C9D"/>
    <w:rsid w:val="000356CE"/>
    <w:rsid w:val="00035AB0"/>
    <w:rsid w:val="00035C5E"/>
    <w:rsid w:val="00036579"/>
    <w:rsid w:val="00036D3D"/>
    <w:rsid w:val="00037BF7"/>
    <w:rsid w:val="00037F3E"/>
    <w:rsid w:val="00040367"/>
    <w:rsid w:val="000411BE"/>
    <w:rsid w:val="0004121F"/>
    <w:rsid w:val="00041361"/>
    <w:rsid w:val="00042057"/>
    <w:rsid w:val="00042089"/>
    <w:rsid w:val="000426B6"/>
    <w:rsid w:val="000427C5"/>
    <w:rsid w:val="00042D95"/>
    <w:rsid w:val="00042F4A"/>
    <w:rsid w:val="00043B28"/>
    <w:rsid w:val="00044214"/>
    <w:rsid w:val="0004477A"/>
    <w:rsid w:val="000458D1"/>
    <w:rsid w:val="00045E2E"/>
    <w:rsid w:val="000461D9"/>
    <w:rsid w:val="000464A0"/>
    <w:rsid w:val="0004712F"/>
    <w:rsid w:val="0004795D"/>
    <w:rsid w:val="00047B67"/>
    <w:rsid w:val="000507DE"/>
    <w:rsid w:val="00050874"/>
    <w:rsid w:val="00050AEE"/>
    <w:rsid w:val="00050FDC"/>
    <w:rsid w:val="00051552"/>
    <w:rsid w:val="000515F8"/>
    <w:rsid w:val="00051636"/>
    <w:rsid w:val="00051A24"/>
    <w:rsid w:val="0005235A"/>
    <w:rsid w:val="000526D1"/>
    <w:rsid w:val="0005296A"/>
    <w:rsid w:val="000532C1"/>
    <w:rsid w:val="00053318"/>
    <w:rsid w:val="00053319"/>
    <w:rsid w:val="000534AA"/>
    <w:rsid w:val="00053CA7"/>
    <w:rsid w:val="000542D2"/>
    <w:rsid w:val="00054DFD"/>
    <w:rsid w:val="0005532F"/>
    <w:rsid w:val="00056038"/>
    <w:rsid w:val="00056075"/>
    <w:rsid w:val="000568CC"/>
    <w:rsid w:val="00057919"/>
    <w:rsid w:val="00057973"/>
    <w:rsid w:val="000579A0"/>
    <w:rsid w:val="00057A09"/>
    <w:rsid w:val="00057C9B"/>
    <w:rsid w:val="00057DAE"/>
    <w:rsid w:val="00060524"/>
    <w:rsid w:val="00060D6F"/>
    <w:rsid w:val="000610DC"/>
    <w:rsid w:val="000621F4"/>
    <w:rsid w:val="0006231F"/>
    <w:rsid w:val="00062669"/>
    <w:rsid w:val="00062696"/>
    <w:rsid w:val="00063274"/>
    <w:rsid w:val="000633FB"/>
    <w:rsid w:val="00063F22"/>
    <w:rsid w:val="000643A9"/>
    <w:rsid w:val="00064B36"/>
    <w:rsid w:val="00064B42"/>
    <w:rsid w:val="00064C08"/>
    <w:rsid w:val="00064D15"/>
    <w:rsid w:val="00065024"/>
    <w:rsid w:val="000654A1"/>
    <w:rsid w:val="0006593E"/>
    <w:rsid w:val="0006611F"/>
    <w:rsid w:val="00067425"/>
    <w:rsid w:val="000675BF"/>
    <w:rsid w:val="00067920"/>
    <w:rsid w:val="0006795D"/>
    <w:rsid w:val="000700B5"/>
    <w:rsid w:val="00070579"/>
    <w:rsid w:val="00070871"/>
    <w:rsid w:val="00070C89"/>
    <w:rsid w:val="00070D0A"/>
    <w:rsid w:val="00071540"/>
    <w:rsid w:val="000715A1"/>
    <w:rsid w:val="00071A6B"/>
    <w:rsid w:val="000723DE"/>
    <w:rsid w:val="0007265C"/>
    <w:rsid w:val="00072743"/>
    <w:rsid w:val="00072954"/>
    <w:rsid w:val="00072D68"/>
    <w:rsid w:val="00073152"/>
    <w:rsid w:val="0007347E"/>
    <w:rsid w:val="000734B3"/>
    <w:rsid w:val="00073B51"/>
    <w:rsid w:val="00073DED"/>
    <w:rsid w:val="0007491F"/>
    <w:rsid w:val="00074BAC"/>
    <w:rsid w:val="00074E1A"/>
    <w:rsid w:val="00075259"/>
    <w:rsid w:val="00075C94"/>
    <w:rsid w:val="00076819"/>
    <w:rsid w:val="000768BC"/>
    <w:rsid w:val="00076A3C"/>
    <w:rsid w:val="00076ACA"/>
    <w:rsid w:val="000776B2"/>
    <w:rsid w:val="00080316"/>
    <w:rsid w:val="000807E7"/>
    <w:rsid w:val="00080B82"/>
    <w:rsid w:val="00080F08"/>
    <w:rsid w:val="00080FDA"/>
    <w:rsid w:val="0008165B"/>
    <w:rsid w:val="00081686"/>
    <w:rsid w:val="000822C2"/>
    <w:rsid w:val="000822EC"/>
    <w:rsid w:val="0008243F"/>
    <w:rsid w:val="000826A0"/>
    <w:rsid w:val="00082883"/>
    <w:rsid w:val="00082A92"/>
    <w:rsid w:val="00083E05"/>
    <w:rsid w:val="000841C6"/>
    <w:rsid w:val="000842ED"/>
    <w:rsid w:val="00084B5F"/>
    <w:rsid w:val="0008574F"/>
    <w:rsid w:val="000858F1"/>
    <w:rsid w:val="000858F5"/>
    <w:rsid w:val="00085C2C"/>
    <w:rsid w:val="00086239"/>
    <w:rsid w:val="000873BE"/>
    <w:rsid w:val="0008747B"/>
    <w:rsid w:val="000904F0"/>
    <w:rsid w:val="000906CB"/>
    <w:rsid w:val="00090CD1"/>
    <w:rsid w:val="00091865"/>
    <w:rsid w:val="0009189C"/>
    <w:rsid w:val="000919D0"/>
    <w:rsid w:val="00092159"/>
    <w:rsid w:val="0009375D"/>
    <w:rsid w:val="00093C5E"/>
    <w:rsid w:val="00093C63"/>
    <w:rsid w:val="0009421D"/>
    <w:rsid w:val="000949A2"/>
    <w:rsid w:val="00094EB5"/>
    <w:rsid w:val="000953F8"/>
    <w:rsid w:val="0009554A"/>
    <w:rsid w:val="000958D5"/>
    <w:rsid w:val="00096038"/>
    <w:rsid w:val="00096FAD"/>
    <w:rsid w:val="00097731"/>
    <w:rsid w:val="00097972"/>
    <w:rsid w:val="00097A5C"/>
    <w:rsid w:val="00097D82"/>
    <w:rsid w:val="00097E01"/>
    <w:rsid w:val="00097F37"/>
    <w:rsid w:val="000A0076"/>
    <w:rsid w:val="000A0227"/>
    <w:rsid w:val="000A0E08"/>
    <w:rsid w:val="000A14E7"/>
    <w:rsid w:val="000A1A45"/>
    <w:rsid w:val="000A1E76"/>
    <w:rsid w:val="000A1E9E"/>
    <w:rsid w:val="000A3197"/>
    <w:rsid w:val="000A36D0"/>
    <w:rsid w:val="000A4C29"/>
    <w:rsid w:val="000A5039"/>
    <w:rsid w:val="000A65C9"/>
    <w:rsid w:val="000A67D5"/>
    <w:rsid w:val="000A72BC"/>
    <w:rsid w:val="000A7D72"/>
    <w:rsid w:val="000B0076"/>
    <w:rsid w:val="000B00EE"/>
    <w:rsid w:val="000B0E2D"/>
    <w:rsid w:val="000B1A21"/>
    <w:rsid w:val="000B1A7B"/>
    <w:rsid w:val="000B1C16"/>
    <w:rsid w:val="000B1E0F"/>
    <w:rsid w:val="000B215B"/>
    <w:rsid w:val="000B3601"/>
    <w:rsid w:val="000B36AC"/>
    <w:rsid w:val="000B4533"/>
    <w:rsid w:val="000B46BA"/>
    <w:rsid w:val="000B49B0"/>
    <w:rsid w:val="000B524B"/>
    <w:rsid w:val="000B5827"/>
    <w:rsid w:val="000B61E2"/>
    <w:rsid w:val="000B6248"/>
    <w:rsid w:val="000B68BD"/>
    <w:rsid w:val="000B76BA"/>
    <w:rsid w:val="000B7C22"/>
    <w:rsid w:val="000B7FE3"/>
    <w:rsid w:val="000C0234"/>
    <w:rsid w:val="000C0D18"/>
    <w:rsid w:val="000C11F0"/>
    <w:rsid w:val="000C1BCB"/>
    <w:rsid w:val="000C2549"/>
    <w:rsid w:val="000C2597"/>
    <w:rsid w:val="000C2BA0"/>
    <w:rsid w:val="000C2EE1"/>
    <w:rsid w:val="000C33AA"/>
    <w:rsid w:val="000C33C3"/>
    <w:rsid w:val="000C3636"/>
    <w:rsid w:val="000C3699"/>
    <w:rsid w:val="000C3A4E"/>
    <w:rsid w:val="000C45A7"/>
    <w:rsid w:val="000C4665"/>
    <w:rsid w:val="000C4666"/>
    <w:rsid w:val="000C4838"/>
    <w:rsid w:val="000C4E54"/>
    <w:rsid w:val="000C50EC"/>
    <w:rsid w:val="000C5715"/>
    <w:rsid w:val="000C6B9E"/>
    <w:rsid w:val="000C6FAC"/>
    <w:rsid w:val="000C6FC0"/>
    <w:rsid w:val="000C75D7"/>
    <w:rsid w:val="000D02BB"/>
    <w:rsid w:val="000D0A61"/>
    <w:rsid w:val="000D0EA0"/>
    <w:rsid w:val="000D0F80"/>
    <w:rsid w:val="000D13BA"/>
    <w:rsid w:val="000D1AAD"/>
    <w:rsid w:val="000D204D"/>
    <w:rsid w:val="000D205E"/>
    <w:rsid w:val="000D26E2"/>
    <w:rsid w:val="000D2B11"/>
    <w:rsid w:val="000D2E19"/>
    <w:rsid w:val="000D3CAF"/>
    <w:rsid w:val="000D4096"/>
    <w:rsid w:val="000D433A"/>
    <w:rsid w:val="000D48C3"/>
    <w:rsid w:val="000D48E8"/>
    <w:rsid w:val="000D49AF"/>
    <w:rsid w:val="000D519E"/>
    <w:rsid w:val="000D5613"/>
    <w:rsid w:val="000D57CB"/>
    <w:rsid w:val="000D5ACE"/>
    <w:rsid w:val="000D5EC4"/>
    <w:rsid w:val="000D7432"/>
    <w:rsid w:val="000D7C02"/>
    <w:rsid w:val="000E0084"/>
    <w:rsid w:val="000E009F"/>
    <w:rsid w:val="000E127B"/>
    <w:rsid w:val="000E14BB"/>
    <w:rsid w:val="000E17AC"/>
    <w:rsid w:val="000E186A"/>
    <w:rsid w:val="000E1E36"/>
    <w:rsid w:val="000E1E9D"/>
    <w:rsid w:val="000E260A"/>
    <w:rsid w:val="000E2882"/>
    <w:rsid w:val="000E2E8C"/>
    <w:rsid w:val="000E3794"/>
    <w:rsid w:val="000E3AD5"/>
    <w:rsid w:val="000E3B12"/>
    <w:rsid w:val="000E3FB7"/>
    <w:rsid w:val="000E40FB"/>
    <w:rsid w:val="000E4209"/>
    <w:rsid w:val="000E47DA"/>
    <w:rsid w:val="000E4CD1"/>
    <w:rsid w:val="000E4D84"/>
    <w:rsid w:val="000E5149"/>
    <w:rsid w:val="000E54B0"/>
    <w:rsid w:val="000E5583"/>
    <w:rsid w:val="000E6321"/>
    <w:rsid w:val="000E6BEB"/>
    <w:rsid w:val="000E70EF"/>
    <w:rsid w:val="000E72B6"/>
    <w:rsid w:val="000E7E13"/>
    <w:rsid w:val="000F0024"/>
    <w:rsid w:val="000F0277"/>
    <w:rsid w:val="000F0962"/>
    <w:rsid w:val="000F0A88"/>
    <w:rsid w:val="000F0B2D"/>
    <w:rsid w:val="000F0BE9"/>
    <w:rsid w:val="000F0C3E"/>
    <w:rsid w:val="000F1800"/>
    <w:rsid w:val="000F1F89"/>
    <w:rsid w:val="000F2687"/>
    <w:rsid w:val="000F2E45"/>
    <w:rsid w:val="000F3487"/>
    <w:rsid w:val="000F375F"/>
    <w:rsid w:val="000F3B9F"/>
    <w:rsid w:val="000F47A4"/>
    <w:rsid w:val="000F52A4"/>
    <w:rsid w:val="000F54DE"/>
    <w:rsid w:val="000F5C33"/>
    <w:rsid w:val="000F68AE"/>
    <w:rsid w:val="000F6987"/>
    <w:rsid w:val="000F6ACB"/>
    <w:rsid w:val="000F6EB1"/>
    <w:rsid w:val="000F6EBD"/>
    <w:rsid w:val="000F7455"/>
    <w:rsid w:val="000F7639"/>
    <w:rsid w:val="000F7655"/>
    <w:rsid w:val="000F7943"/>
    <w:rsid w:val="000F7E4F"/>
    <w:rsid w:val="00100284"/>
    <w:rsid w:val="0010039A"/>
    <w:rsid w:val="001006D4"/>
    <w:rsid w:val="00100913"/>
    <w:rsid w:val="00100BBF"/>
    <w:rsid w:val="0010124B"/>
    <w:rsid w:val="00101447"/>
    <w:rsid w:val="00101D7C"/>
    <w:rsid w:val="00101DF3"/>
    <w:rsid w:val="001020D1"/>
    <w:rsid w:val="001029B3"/>
    <w:rsid w:val="00102C77"/>
    <w:rsid w:val="00102D92"/>
    <w:rsid w:val="00103677"/>
    <w:rsid w:val="001038A3"/>
    <w:rsid w:val="001038FA"/>
    <w:rsid w:val="00103D36"/>
    <w:rsid w:val="00104C9B"/>
    <w:rsid w:val="001051B9"/>
    <w:rsid w:val="001057E7"/>
    <w:rsid w:val="00105BC2"/>
    <w:rsid w:val="00105C3A"/>
    <w:rsid w:val="00105DA7"/>
    <w:rsid w:val="00106119"/>
    <w:rsid w:val="001061FC"/>
    <w:rsid w:val="00106566"/>
    <w:rsid w:val="00107341"/>
    <w:rsid w:val="00107514"/>
    <w:rsid w:val="00107EE4"/>
    <w:rsid w:val="00110C28"/>
    <w:rsid w:val="0011105F"/>
    <w:rsid w:val="0011111C"/>
    <w:rsid w:val="00111ACE"/>
    <w:rsid w:val="0011200C"/>
    <w:rsid w:val="00112AE6"/>
    <w:rsid w:val="00112D51"/>
    <w:rsid w:val="0011338F"/>
    <w:rsid w:val="00113421"/>
    <w:rsid w:val="00114081"/>
    <w:rsid w:val="00114793"/>
    <w:rsid w:val="00114C60"/>
    <w:rsid w:val="00115E90"/>
    <w:rsid w:val="00116050"/>
    <w:rsid w:val="001161D2"/>
    <w:rsid w:val="00116348"/>
    <w:rsid w:val="001167A1"/>
    <w:rsid w:val="00116A62"/>
    <w:rsid w:val="00116CC0"/>
    <w:rsid w:val="001202D9"/>
    <w:rsid w:val="00120767"/>
    <w:rsid w:val="001207C3"/>
    <w:rsid w:val="00120C1F"/>
    <w:rsid w:val="001216A9"/>
    <w:rsid w:val="00122108"/>
    <w:rsid w:val="001226FD"/>
    <w:rsid w:val="00122C9E"/>
    <w:rsid w:val="00122D7D"/>
    <w:rsid w:val="00122E22"/>
    <w:rsid w:val="00122FE3"/>
    <w:rsid w:val="001233A2"/>
    <w:rsid w:val="001238C1"/>
    <w:rsid w:val="00123C99"/>
    <w:rsid w:val="00123F72"/>
    <w:rsid w:val="00123FDB"/>
    <w:rsid w:val="001243EC"/>
    <w:rsid w:val="001244DD"/>
    <w:rsid w:val="00125364"/>
    <w:rsid w:val="001258AF"/>
    <w:rsid w:val="001268FB"/>
    <w:rsid w:val="00126A66"/>
    <w:rsid w:val="00127026"/>
    <w:rsid w:val="0012763F"/>
    <w:rsid w:val="00127FA1"/>
    <w:rsid w:val="001308E5"/>
    <w:rsid w:val="00131190"/>
    <w:rsid w:val="00131597"/>
    <w:rsid w:val="00132130"/>
    <w:rsid w:val="001327A5"/>
    <w:rsid w:val="00132AFC"/>
    <w:rsid w:val="00132B05"/>
    <w:rsid w:val="00132B9F"/>
    <w:rsid w:val="00132FAF"/>
    <w:rsid w:val="0013318C"/>
    <w:rsid w:val="001334F0"/>
    <w:rsid w:val="0013355B"/>
    <w:rsid w:val="00133979"/>
    <w:rsid w:val="00133D63"/>
    <w:rsid w:val="001341EA"/>
    <w:rsid w:val="00134D19"/>
    <w:rsid w:val="0013509D"/>
    <w:rsid w:val="00135231"/>
    <w:rsid w:val="0013586D"/>
    <w:rsid w:val="00135AC4"/>
    <w:rsid w:val="001362A6"/>
    <w:rsid w:val="00136784"/>
    <w:rsid w:val="00136863"/>
    <w:rsid w:val="0013698D"/>
    <w:rsid w:val="00136D46"/>
    <w:rsid w:val="001370F4"/>
    <w:rsid w:val="001372BA"/>
    <w:rsid w:val="00137C6C"/>
    <w:rsid w:val="0014024D"/>
    <w:rsid w:val="00141163"/>
    <w:rsid w:val="001414DF"/>
    <w:rsid w:val="00142744"/>
    <w:rsid w:val="00142A57"/>
    <w:rsid w:val="00143707"/>
    <w:rsid w:val="00143957"/>
    <w:rsid w:val="00143A02"/>
    <w:rsid w:val="00143DC8"/>
    <w:rsid w:val="00143E3F"/>
    <w:rsid w:val="00143F6D"/>
    <w:rsid w:val="0014407A"/>
    <w:rsid w:val="00144557"/>
    <w:rsid w:val="0014529B"/>
    <w:rsid w:val="00145BCC"/>
    <w:rsid w:val="00146161"/>
    <w:rsid w:val="00147024"/>
    <w:rsid w:val="00147E9A"/>
    <w:rsid w:val="00150FE5"/>
    <w:rsid w:val="00151178"/>
    <w:rsid w:val="001515DE"/>
    <w:rsid w:val="00151762"/>
    <w:rsid w:val="0015177C"/>
    <w:rsid w:val="001517B2"/>
    <w:rsid w:val="00151C40"/>
    <w:rsid w:val="00152009"/>
    <w:rsid w:val="00152204"/>
    <w:rsid w:val="00152612"/>
    <w:rsid w:val="00153882"/>
    <w:rsid w:val="00153A50"/>
    <w:rsid w:val="00153F0D"/>
    <w:rsid w:val="0015441B"/>
    <w:rsid w:val="00155022"/>
    <w:rsid w:val="00155741"/>
    <w:rsid w:val="001559EB"/>
    <w:rsid w:val="001559F6"/>
    <w:rsid w:val="00156C75"/>
    <w:rsid w:val="001579D3"/>
    <w:rsid w:val="001579DC"/>
    <w:rsid w:val="00157B87"/>
    <w:rsid w:val="001607FC"/>
    <w:rsid w:val="00160A7E"/>
    <w:rsid w:val="0016107C"/>
    <w:rsid w:val="00161331"/>
    <w:rsid w:val="00161425"/>
    <w:rsid w:val="00161FD3"/>
    <w:rsid w:val="0016204A"/>
    <w:rsid w:val="00162945"/>
    <w:rsid w:val="00162E1B"/>
    <w:rsid w:val="00162E35"/>
    <w:rsid w:val="001631D5"/>
    <w:rsid w:val="001635D5"/>
    <w:rsid w:val="00163A9B"/>
    <w:rsid w:val="00163AEA"/>
    <w:rsid w:val="00163F28"/>
    <w:rsid w:val="00163FFA"/>
    <w:rsid w:val="00164095"/>
    <w:rsid w:val="00164207"/>
    <w:rsid w:val="00164242"/>
    <w:rsid w:val="00164DB9"/>
    <w:rsid w:val="00164FC1"/>
    <w:rsid w:val="0016572C"/>
    <w:rsid w:val="001658F1"/>
    <w:rsid w:val="00165FD7"/>
    <w:rsid w:val="0016648B"/>
    <w:rsid w:val="001670CB"/>
    <w:rsid w:val="00167324"/>
    <w:rsid w:val="001703DA"/>
    <w:rsid w:val="0017087F"/>
    <w:rsid w:val="00170887"/>
    <w:rsid w:val="00170C50"/>
    <w:rsid w:val="001714AD"/>
    <w:rsid w:val="00171B06"/>
    <w:rsid w:val="00172395"/>
    <w:rsid w:val="001723E4"/>
    <w:rsid w:val="001724FA"/>
    <w:rsid w:val="0017301F"/>
    <w:rsid w:val="0017306C"/>
    <w:rsid w:val="00173089"/>
    <w:rsid w:val="00173094"/>
    <w:rsid w:val="0017313C"/>
    <w:rsid w:val="00173425"/>
    <w:rsid w:val="00174087"/>
    <w:rsid w:val="001740BA"/>
    <w:rsid w:val="0017547E"/>
    <w:rsid w:val="001761DC"/>
    <w:rsid w:val="00176A8C"/>
    <w:rsid w:val="001772DF"/>
    <w:rsid w:val="00177449"/>
    <w:rsid w:val="00177503"/>
    <w:rsid w:val="001778CF"/>
    <w:rsid w:val="00177E0B"/>
    <w:rsid w:val="00181810"/>
    <w:rsid w:val="00181926"/>
    <w:rsid w:val="00181A87"/>
    <w:rsid w:val="00181A96"/>
    <w:rsid w:val="00181AD3"/>
    <w:rsid w:val="00181B57"/>
    <w:rsid w:val="00181D14"/>
    <w:rsid w:val="00182CFC"/>
    <w:rsid w:val="00182D02"/>
    <w:rsid w:val="00183A0C"/>
    <w:rsid w:val="00183EA0"/>
    <w:rsid w:val="00184B63"/>
    <w:rsid w:val="00185135"/>
    <w:rsid w:val="00185386"/>
    <w:rsid w:val="00185582"/>
    <w:rsid w:val="00186001"/>
    <w:rsid w:val="001863F8"/>
    <w:rsid w:val="00186DF1"/>
    <w:rsid w:val="001874DD"/>
    <w:rsid w:val="00187A64"/>
    <w:rsid w:val="00190139"/>
    <w:rsid w:val="00190493"/>
    <w:rsid w:val="00190979"/>
    <w:rsid w:val="00191012"/>
    <w:rsid w:val="00192216"/>
    <w:rsid w:val="001923B8"/>
    <w:rsid w:val="001926B2"/>
    <w:rsid w:val="00192814"/>
    <w:rsid w:val="00192C5C"/>
    <w:rsid w:val="00192CCF"/>
    <w:rsid w:val="001938EE"/>
    <w:rsid w:val="00193AC3"/>
    <w:rsid w:val="001942FF"/>
    <w:rsid w:val="00194A7C"/>
    <w:rsid w:val="001950E6"/>
    <w:rsid w:val="0019518E"/>
    <w:rsid w:val="00195694"/>
    <w:rsid w:val="001959AB"/>
    <w:rsid w:val="00195DE9"/>
    <w:rsid w:val="00195F12"/>
    <w:rsid w:val="00196006"/>
    <w:rsid w:val="00196649"/>
    <w:rsid w:val="00196FF7"/>
    <w:rsid w:val="001973A8"/>
    <w:rsid w:val="00197826"/>
    <w:rsid w:val="001979D4"/>
    <w:rsid w:val="00197D33"/>
    <w:rsid w:val="001A0487"/>
    <w:rsid w:val="001A0792"/>
    <w:rsid w:val="001A0BCE"/>
    <w:rsid w:val="001A14B8"/>
    <w:rsid w:val="001A1689"/>
    <w:rsid w:val="001A2657"/>
    <w:rsid w:val="001A3099"/>
    <w:rsid w:val="001A35BC"/>
    <w:rsid w:val="001A3D4B"/>
    <w:rsid w:val="001A3D5B"/>
    <w:rsid w:val="001A3E52"/>
    <w:rsid w:val="001A4289"/>
    <w:rsid w:val="001A5020"/>
    <w:rsid w:val="001A6952"/>
    <w:rsid w:val="001A7195"/>
    <w:rsid w:val="001A7754"/>
    <w:rsid w:val="001B09DC"/>
    <w:rsid w:val="001B17F5"/>
    <w:rsid w:val="001B19BE"/>
    <w:rsid w:val="001B1A19"/>
    <w:rsid w:val="001B1F54"/>
    <w:rsid w:val="001B2604"/>
    <w:rsid w:val="001B30F4"/>
    <w:rsid w:val="001B3464"/>
    <w:rsid w:val="001B346B"/>
    <w:rsid w:val="001B3C41"/>
    <w:rsid w:val="001B40BA"/>
    <w:rsid w:val="001B43C2"/>
    <w:rsid w:val="001B46E3"/>
    <w:rsid w:val="001B494A"/>
    <w:rsid w:val="001B5146"/>
    <w:rsid w:val="001B5929"/>
    <w:rsid w:val="001B5C02"/>
    <w:rsid w:val="001B6FC4"/>
    <w:rsid w:val="001C0596"/>
    <w:rsid w:val="001C059C"/>
    <w:rsid w:val="001C09E5"/>
    <w:rsid w:val="001C12C8"/>
    <w:rsid w:val="001C140D"/>
    <w:rsid w:val="001C1802"/>
    <w:rsid w:val="001C1A3A"/>
    <w:rsid w:val="001C2125"/>
    <w:rsid w:val="001C28C6"/>
    <w:rsid w:val="001C2FC0"/>
    <w:rsid w:val="001C382F"/>
    <w:rsid w:val="001C3CED"/>
    <w:rsid w:val="001C3F2A"/>
    <w:rsid w:val="001C49BA"/>
    <w:rsid w:val="001C4DC4"/>
    <w:rsid w:val="001C53B8"/>
    <w:rsid w:val="001C5F7B"/>
    <w:rsid w:val="001C6AA2"/>
    <w:rsid w:val="001C6F1F"/>
    <w:rsid w:val="001C752B"/>
    <w:rsid w:val="001D01CE"/>
    <w:rsid w:val="001D04E4"/>
    <w:rsid w:val="001D0F7B"/>
    <w:rsid w:val="001D13BC"/>
    <w:rsid w:val="001D13CF"/>
    <w:rsid w:val="001D1E1A"/>
    <w:rsid w:val="001D21E7"/>
    <w:rsid w:val="001D3207"/>
    <w:rsid w:val="001D343C"/>
    <w:rsid w:val="001D361C"/>
    <w:rsid w:val="001D3C63"/>
    <w:rsid w:val="001D3D53"/>
    <w:rsid w:val="001D40F8"/>
    <w:rsid w:val="001D43EC"/>
    <w:rsid w:val="001D4432"/>
    <w:rsid w:val="001D4F17"/>
    <w:rsid w:val="001D5619"/>
    <w:rsid w:val="001D5B99"/>
    <w:rsid w:val="001D5C02"/>
    <w:rsid w:val="001D6177"/>
    <w:rsid w:val="001D64F9"/>
    <w:rsid w:val="001D68DD"/>
    <w:rsid w:val="001D6956"/>
    <w:rsid w:val="001D7082"/>
    <w:rsid w:val="001E159E"/>
    <w:rsid w:val="001E26F3"/>
    <w:rsid w:val="001E2ACA"/>
    <w:rsid w:val="001E2ACF"/>
    <w:rsid w:val="001E3142"/>
    <w:rsid w:val="001E3868"/>
    <w:rsid w:val="001E3F35"/>
    <w:rsid w:val="001E408E"/>
    <w:rsid w:val="001E4B73"/>
    <w:rsid w:val="001E4E25"/>
    <w:rsid w:val="001E54CF"/>
    <w:rsid w:val="001E57E2"/>
    <w:rsid w:val="001E5CCD"/>
    <w:rsid w:val="001E5CD6"/>
    <w:rsid w:val="001E5E00"/>
    <w:rsid w:val="001E5FEB"/>
    <w:rsid w:val="001E6130"/>
    <w:rsid w:val="001E6BA5"/>
    <w:rsid w:val="001E7172"/>
    <w:rsid w:val="001E7191"/>
    <w:rsid w:val="001E73E8"/>
    <w:rsid w:val="001E77F6"/>
    <w:rsid w:val="001E7EF1"/>
    <w:rsid w:val="001F047D"/>
    <w:rsid w:val="001F09C7"/>
    <w:rsid w:val="001F0A7F"/>
    <w:rsid w:val="001F0CFC"/>
    <w:rsid w:val="001F0D0A"/>
    <w:rsid w:val="001F0F0C"/>
    <w:rsid w:val="001F0FC9"/>
    <w:rsid w:val="001F1B98"/>
    <w:rsid w:val="001F1F87"/>
    <w:rsid w:val="001F26B5"/>
    <w:rsid w:val="001F2D1D"/>
    <w:rsid w:val="001F38FB"/>
    <w:rsid w:val="001F3911"/>
    <w:rsid w:val="001F393D"/>
    <w:rsid w:val="001F3EA0"/>
    <w:rsid w:val="001F3FC1"/>
    <w:rsid w:val="001F43DA"/>
    <w:rsid w:val="001F4780"/>
    <w:rsid w:val="001F478A"/>
    <w:rsid w:val="001F5EFB"/>
    <w:rsid w:val="001F6189"/>
    <w:rsid w:val="001F61C8"/>
    <w:rsid w:val="001F643E"/>
    <w:rsid w:val="001F718F"/>
    <w:rsid w:val="00200689"/>
    <w:rsid w:val="002014E1"/>
    <w:rsid w:val="002016C3"/>
    <w:rsid w:val="00201704"/>
    <w:rsid w:val="00201B68"/>
    <w:rsid w:val="00201E0F"/>
    <w:rsid w:val="002024D5"/>
    <w:rsid w:val="00202F2B"/>
    <w:rsid w:val="00203011"/>
    <w:rsid w:val="00204163"/>
    <w:rsid w:val="00204588"/>
    <w:rsid w:val="00204961"/>
    <w:rsid w:val="002049E8"/>
    <w:rsid w:val="0020645E"/>
    <w:rsid w:val="00206A92"/>
    <w:rsid w:val="00206C85"/>
    <w:rsid w:val="00210676"/>
    <w:rsid w:val="00210B2C"/>
    <w:rsid w:val="00210B7E"/>
    <w:rsid w:val="00210C92"/>
    <w:rsid w:val="00210E26"/>
    <w:rsid w:val="002111AB"/>
    <w:rsid w:val="00211312"/>
    <w:rsid w:val="0021176B"/>
    <w:rsid w:val="0021177B"/>
    <w:rsid w:val="00211834"/>
    <w:rsid w:val="00212264"/>
    <w:rsid w:val="002129C9"/>
    <w:rsid w:val="00212AE5"/>
    <w:rsid w:val="00212C84"/>
    <w:rsid w:val="00212CAD"/>
    <w:rsid w:val="00212FC9"/>
    <w:rsid w:val="00213072"/>
    <w:rsid w:val="002132F3"/>
    <w:rsid w:val="002139BC"/>
    <w:rsid w:val="00213F31"/>
    <w:rsid w:val="0021407A"/>
    <w:rsid w:val="00214770"/>
    <w:rsid w:val="00214B5F"/>
    <w:rsid w:val="00214CD1"/>
    <w:rsid w:val="00214DF2"/>
    <w:rsid w:val="002155CF"/>
    <w:rsid w:val="00216E7D"/>
    <w:rsid w:val="0021739E"/>
    <w:rsid w:val="002202DB"/>
    <w:rsid w:val="002207A3"/>
    <w:rsid w:val="002207C3"/>
    <w:rsid w:val="00220E29"/>
    <w:rsid w:val="00220E66"/>
    <w:rsid w:val="0022129A"/>
    <w:rsid w:val="00221A0A"/>
    <w:rsid w:val="00221B53"/>
    <w:rsid w:val="00221D2E"/>
    <w:rsid w:val="00221E59"/>
    <w:rsid w:val="002220F7"/>
    <w:rsid w:val="00222102"/>
    <w:rsid w:val="002222E2"/>
    <w:rsid w:val="00222C31"/>
    <w:rsid w:val="00223348"/>
    <w:rsid w:val="0022355C"/>
    <w:rsid w:val="00223707"/>
    <w:rsid w:val="002237ED"/>
    <w:rsid w:val="0022384B"/>
    <w:rsid w:val="00223972"/>
    <w:rsid w:val="00223C8C"/>
    <w:rsid w:val="002243DD"/>
    <w:rsid w:val="00224907"/>
    <w:rsid w:val="00224966"/>
    <w:rsid w:val="00224ABC"/>
    <w:rsid w:val="0022561C"/>
    <w:rsid w:val="00225803"/>
    <w:rsid w:val="00225881"/>
    <w:rsid w:val="0022597A"/>
    <w:rsid w:val="00225B60"/>
    <w:rsid w:val="00225D40"/>
    <w:rsid w:val="00225F63"/>
    <w:rsid w:val="0022618D"/>
    <w:rsid w:val="002264DD"/>
    <w:rsid w:val="00226E59"/>
    <w:rsid w:val="002277FE"/>
    <w:rsid w:val="00227DF1"/>
    <w:rsid w:val="00227EE7"/>
    <w:rsid w:val="0023001E"/>
    <w:rsid w:val="00230F22"/>
    <w:rsid w:val="00230F2C"/>
    <w:rsid w:val="00231854"/>
    <w:rsid w:val="00232249"/>
    <w:rsid w:val="00232355"/>
    <w:rsid w:val="0023284A"/>
    <w:rsid w:val="00232CC0"/>
    <w:rsid w:val="00232F4F"/>
    <w:rsid w:val="002336E2"/>
    <w:rsid w:val="00233C53"/>
    <w:rsid w:val="00233CD4"/>
    <w:rsid w:val="00233D54"/>
    <w:rsid w:val="00233DC1"/>
    <w:rsid w:val="00234D20"/>
    <w:rsid w:val="00234DAC"/>
    <w:rsid w:val="00234DD1"/>
    <w:rsid w:val="00235680"/>
    <w:rsid w:val="00235CA9"/>
    <w:rsid w:val="002367C3"/>
    <w:rsid w:val="00237956"/>
    <w:rsid w:val="00237CA9"/>
    <w:rsid w:val="00237D84"/>
    <w:rsid w:val="00237E5A"/>
    <w:rsid w:val="00237FD1"/>
    <w:rsid w:val="0024048E"/>
    <w:rsid w:val="002408AE"/>
    <w:rsid w:val="00240C18"/>
    <w:rsid w:val="00241162"/>
    <w:rsid w:val="00241754"/>
    <w:rsid w:val="00241861"/>
    <w:rsid w:val="00241D89"/>
    <w:rsid w:val="0024265B"/>
    <w:rsid w:val="002427F5"/>
    <w:rsid w:val="00242C1B"/>
    <w:rsid w:val="00243D9B"/>
    <w:rsid w:val="00243F7A"/>
    <w:rsid w:val="002440E7"/>
    <w:rsid w:val="0024412F"/>
    <w:rsid w:val="00244B1D"/>
    <w:rsid w:val="00245163"/>
    <w:rsid w:val="0024588C"/>
    <w:rsid w:val="0024589E"/>
    <w:rsid w:val="00245D50"/>
    <w:rsid w:val="00246693"/>
    <w:rsid w:val="00246A64"/>
    <w:rsid w:val="00246D51"/>
    <w:rsid w:val="00247F61"/>
    <w:rsid w:val="002501FD"/>
    <w:rsid w:val="00250810"/>
    <w:rsid w:val="00250BF5"/>
    <w:rsid w:val="00250F4C"/>
    <w:rsid w:val="00251875"/>
    <w:rsid w:val="0025214D"/>
    <w:rsid w:val="00252398"/>
    <w:rsid w:val="00252653"/>
    <w:rsid w:val="002527CE"/>
    <w:rsid w:val="00252D22"/>
    <w:rsid w:val="002532CF"/>
    <w:rsid w:val="00253660"/>
    <w:rsid w:val="0025397F"/>
    <w:rsid w:val="00254055"/>
    <w:rsid w:val="00254AAB"/>
    <w:rsid w:val="00254BD7"/>
    <w:rsid w:val="00254C6C"/>
    <w:rsid w:val="00255820"/>
    <w:rsid w:val="00255DEB"/>
    <w:rsid w:val="00256175"/>
    <w:rsid w:val="00257B5C"/>
    <w:rsid w:val="00260066"/>
    <w:rsid w:val="0026042D"/>
    <w:rsid w:val="0026069C"/>
    <w:rsid w:val="00260E59"/>
    <w:rsid w:val="00261A33"/>
    <w:rsid w:val="00262025"/>
    <w:rsid w:val="00262029"/>
    <w:rsid w:val="002623E3"/>
    <w:rsid w:val="002625D5"/>
    <w:rsid w:val="00262737"/>
    <w:rsid w:val="00262B2D"/>
    <w:rsid w:val="00262C9A"/>
    <w:rsid w:val="00262EB5"/>
    <w:rsid w:val="0026323C"/>
    <w:rsid w:val="00263907"/>
    <w:rsid w:val="00263C53"/>
    <w:rsid w:val="002646C5"/>
    <w:rsid w:val="00264FD2"/>
    <w:rsid w:val="00265683"/>
    <w:rsid w:val="00265A67"/>
    <w:rsid w:val="0026602C"/>
    <w:rsid w:val="002661A2"/>
    <w:rsid w:val="00266804"/>
    <w:rsid w:val="00267033"/>
    <w:rsid w:val="0026722D"/>
    <w:rsid w:val="00267836"/>
    <w:rsid w:val="00267960"/>
    <w:rsid w:val="00267DC0"/>
    <w:rsid w:val="002701BB"/>
    <w:rsid w:val="00270663"/>
    <w:rsid w:val="002711AA"/>
    <w:rsid w:val="00271B3A"/>
    <w:rsid w:val="00271EE7"/>
    <w:rsid w:val="002720C2"/>
    <w:rsid w:val="002727BD"/>
    <w:rsid w:val="00272900"/>
    <w:rsid w:val="00273DAB"/>
    <w:rsid w:val="00273DBE"/>
    <w:rsid w:val="002742A4"/>
    <w:rsid w:val="00274595"/>
    <w:rsid w:val="00274903"/>
    <w:rsid w:val="002749E1"/>
    <w:rsid w:val="00274FA7"/>
    <w:rsid w:val="00275242"/>
    <w:rsid w:val="00275CFE"/>
    <w:rsid w:val="0027661B"/>
    <w:rsid w:val="00276B92"/>
    <w:rsid w:val="002773DD"/>
    <w:rsid w:val="0028010C"/>
    <w:rsid w:val="00280738"/>
    <w:rsid w:val="00280A5D"/>
    <w:rsid w:val="00280BC9"/>
    <w:rsid w:val="002817E2"/>
    <w:rsid w:val="0028236F"/>
    <w:rsid w:val="0028243E"/>
    <w:rsid w:val="002824F7"/>
    <w:rsid w:val="00282504"/>
    <w:rsid w:val="0028262A"/>
    <w:rsid w:val="00282741"/>
    <w:rsid w:val="00282E53"/>
    <w:rsid w:val="00283527"/>
    <w:rsid w:val="00283895"/>
    <w:rsid w:val="0028436C"/>
    <w:rsid w:val="00284979"/>
    <w:rsid w:val="00285262"/>
    <w:rsid w:val="00285418"/>
    <w:rsid w:val="0028558B"/>
    <w:rsid w:val="002857EC"/>
    <w:rsid w:val="00285D5F"/>
    <w:rsid w:val="00286709"/>
    <w:rsid w:val="00286C48"/>
    <w:rsid w:val="00286D6F"/>
    <w:rsid w:val="00286E11"/>
    <w:rsid w:val="00286E25"/>
    <w:rsid w:val="00287387"/>
    <w:rsid w:val="002875F4"/>
    <w:rsid w:val="002878D5"/>
    <w:rsid w:val="002879B9"/>
    <w:rsid w:val="00287A8D"/>
    <w:rsid w:val="00287B5E"/>
    <w:rsid w:val="00287D8E"/>
    <w:rsid w:val="002900AB"/>
    <w:rsid w:val="00290123"/>
    <w:rsid w:val="0029032B"/>
    <w:rsid w:val="0029086B"/>
    <w:rsid w:val="00290B3E"/>
    <w:rsid w:val="00290C35"/>
    <w:rsid w:val="00291C5D"/>
    <w:rsid w:val="00291C7B"/>
    <w:rsid w:val="00291ECC"/>
    <w:rsid w:val="00292180"/>
    <w:rsid w:val="0029289E"/>
    <w:rsid w:val="00292DCC"/>
    <w:rsid w:val="002930BC"/>
    <w:rsid w:val="00293375"/>
    <w:rsid w:val="002943BF"/>
    <w:rsid w:val="002944E0"/>
    <w:rsid w:val="00295198"/>
    <w:rsid w:val="00295DDF"/>
    <w:rsid w:val="00295F65"/>
    <w:rsid w:val="0029672B"/>
    <w:rsid w:val="002971DF"/>
    <w:rsid w:val="00297277"/>
    <w:rsid w:val="002972A1"/>
    <w:rsid w:val="0029773F"/>
    <w:rsid w:val="002A06EA"/>
    <w:rsid w:val="002A0BB5"/>
    <w:rsid w:val="002A0BC1"/>
    <w:rsid w:val="002A0C06"/>
    <w:rsid w:val="002A0E01"/>
    <w:rsid w:val="002A13BF"/>
    <w:rsid w:val="002A1E47"/>
    <w:rsid w:val="002A1F95"/>
    <w:rsid w:val="002A21FA"/>
    <w:rsid w:val="002A2385"/>
    <w:rsid w:val="002A2659"/>
    <w:rsid w:val="002A29FA"/>
    <w:rsid w:val="002A362B"/>
    <w:rsid w:val="002A3DB8"/>
    <w:rsid w:val="002A3E8D"/>
    <w:rsid w:val="002A4412"/>
    <w:rsid w:val="002A47D4"/>
    <w:rsid w:val="002A4C51"/>
    <w:rsid w:val="002A4D44"/>
    <w:rsid w:val="002A4FE5"/>
    <w:rsid w:val="002A504F"/>
    <w:rsid w:val="002A5334"/>
    <w:rsid w:val="002A572F"/>
    <w:rsid w:val="002A59F0"/>
    <w:rsid w:val="002A5C7D"/>
    <w:rsid w:val="002A5DB9"/>
    <w:rsid w:val="002A5F49"/>
    <w:rsid w:val="002A6533"/>
    <w:rsid w:val="002A65E3"/>
    <w:rsid w:val="002A6B23"/>
    <w:rsid w:val="002A7353"/>
    <w:rsid w:val="002A7BE2"/>
    <w:rsid w:val="002A7EC5"/>
    <w:rsid w:val="002B0C89"/>
    <w:rsid w:val="002B0D4A"/>
    <w:rsid w:val="002B0E37"/>
    <w:rsid w:val="002B1600"/>
    <w:rsid w:val="002B1B97"/>
    <w:rsid w:val="002B1F9F"/>
    <w:rsid w:val="002B203F"/>
    <w:rsid w:val="002B23A0"/>
    <w:rsid w:val="002B26EF"/>
    <w:rsid w:val="002B28F8"/>
    <w:rsid w:val="002B2CE4"/>
    <w:rsid w:val="002B2E43"/>
    <w:rsid w:val="002B2FC5"/>
    <w:rsid w:val="002B33F3"/>
    <w:rsid w:val="002B3AFC"/>
    <w:rsid w:val="002B445B"/>
    <w:rsid w:val="002B4784"/>
    <w:rsid w:val="002B4D82"/>
    <w:rsid w:val="002B51BF"/>
    <w:rsid w:val="002B5489"/>
    <w:rsid w:val="002B55CF"/>
    <w:rsid w:val="002B59C7"/>
    <w:rsid w:val="002B5C8A"/>
    <w:rsid w:val="002B6CB7"/>
    <w:rsid w:val="002B6DBC"/>
    <w:rsid w:val="002B76E4"/>
    <w:rsid w:val="002B7A67"/>
    <w:rsid w:val="002B7E36"/>
    <w:rsid w:val="002B7F9E"/>
    <w:rsid w:val="002C0025"/>
    <w:rsid w:val="002C0300"/>
    <w:rsid w:val="002C0302"/>
    <w:rsid w:val="002C04F0"/>
    <w:rsid w:val="002C05A9"/>
    <w:rsid w:val="002C1631"/>
    <w:rsid w:val="002C3A35"/>
    <w:rsid w:val="002C3A65"/>
    <w:rsid w:val="002C48EF"/>
    <w:rsid w:val="002C4DAC"/>
    <w:rsid w:val="002C5276"/>
    <w:rsid w:val="002C57E9"/>
    <w:rsid w:val="002C5D66"/>
    <w:rsid w:val="002C6016"/>
    <w:rsid w:val="002C6752"/>
    <w:rsid w:val="002C6934"/>
    <w:rsid w:val="002C71B7"/>
    <w:rsid w:val="002C7E0D"/>
    <w:rsid w:val="002C7E4F"/>
    <w:rsid w:val="002C7FF5"/>
    <w:rsid w:val="002D0754"/>
    <w:rsid w:val="002D0D2C"/>
    <w:rsid w:val="002D0E38"/>
    <w:rsid w:val="002D19ED"/>
    <w:rsid w:val="002D1E92"/>
    <w:rsid w:val="002D2638"/>
    <w:rsid w:val="002D2993"/>
    <w:rsid w:val="002D2D9A"/>
    <w:rsid w:val="002D30FB"/>
    <w:rsid w:val="002D325D"/>
    <w:rsid w:val="002D38BB"/>
    <w:rsid w:val="002D3B93"/>
    <w:rsid w:val="002D4068"/>
    <w:rsid w:val="002D4762"/>
    <w:rsid w:val="002D48A6"/>
    <w:rsid w:val="002D49EC"/>
    <w:rsid w:val="002D4B64"/>
    <w:rsid w:val="002D4B69"/>
    <w:rsid w:val="002D4F0E"/>
    <w:rsid w:val="002D511F"/>
    <w:rsid w:val="002D533D"/>
    <w:rsid w:val="002D54B7"/>
    <w:rsid w:val="002D54E0"/>
    <w:rsid w:val="002D5665"/>
    <w:rsid w:val="002D5675"/>
    <w:rsid w:val="002D584F"/>
    <w:rsid w:val="002D5C42"/>
    <w:rsid w:val="002D620F"/>
    <w:rsid w:val="002D6AEA"/>
    <w:rsid w:val="002D6B90"/>
    <w:rsid w:val="002D6C80"/>
    <w:rsid w:val="002D6E53"/>
    <w:rsid w:val="002D725A"/>
    <w:rsid w:val="002D7AB2"/>
    <w:rsid w:val="002D7D01"/>
    <w:rsid w:val="002E0324"/>
    <w:rsid w:val="002E055A"/>
    <w:rsid w:val="002E0C76"/>
    <w:rsid w:val="002E0DFD"/>
    <w:rsid w:val="002E10DF"/>
    <w:rsid w:val="002E1BD8"/>
    <w:rsid w:val="002E1E4E"/>
    <w:rsid w:val="002E1F5B"/>
    <w:rsid w:val="002E32CA"/>
    <w:rsid w:val="002E37BC"/>
    <w:rsid w:val="002E3874"/>
    <w:rsid w:val="002E412A"/>
    <w:rsid w:val="002E4AA1"/>
    <w:rsid w:val="002E4E69"/>
    <w:rsid w:val="002E5243"/>
    <w:rsid w:val="002E52B0"/>
    <w:rsid w:val="002E61B3"/>
    <w:rsid w:val="002E62D0"/>
    <w:rsid w:val="002E700B"/>
    <w:rsid w:val="002E7BF7"/>
    <w:rsid w:val="002F04B0"/>
    <w:rsid w:val="002F05E6"/>
    <w:rsid w:val="002F0730"/>
    <w:rsid w:val="002F0912"/>
    <w:rsid w:val="002F0A48"/>
    <w:rsid w:val="002F135B"/>
    <w:rsid w:val="002F3D72"/>
    <w:rsid w:val="002F3E8F"/>
    <w:rsid w:val="002F4684"/>
    <w:rsid w:val="002F477F"/>
    <w:rsid w:val="002F480B"/>
    <w:rsid w:val="002F4C7C"/>
    <w:rsid w:val="002F5477"/>
    <w:rsid w:val="002F598D"/>
    <w:rsid w:val="002F5C16"/>
    <w:rsid w:val="002F6179"/>
    <w:rsid w:val="002F62B8"/>
    <w:rsid w:val="002F68AA"/>
    <w:rsid w:val="002F696D"/>
    <w:rsid w:val="002F6E9E"/>
    <w:rsid w:val="002F72D7"/>
    <w:rsid w:val="002F770C"/>
    <w:rsid w:val="00300B5A"/>
    <w:rsid w:val="00300CEF"/>
    <w:rsid w:val="0030195D"/>
    <w:rsid w:val="00303112"/>
    <w:rsid w:val="00304C68"/>
    <w:rsid w:val="0030533C"/>
    <w:rsid w:val="003061CA"/>
    <w:rsid w:val="00306590"/>
    <w:rsid w:val="003065EF"/>
    <w:rsid w:val="0030680F"/>
    <w:rsid w:val="00306BD4"/>
    <w:rsid w:val="00306C07"/>
    <w:rsid w:val="00306C64"/>
    <w:rsid w:val="0030721D"/>
    <w:rsid w:val="0030734D"/>
    <w:rsid w:val="00307996"/>
    <w:rsid w:val="00307EE8"/>
    <w:rsid w:val="0031036F"/>
    <w:rsid w:val="003104CE"/>
    <w:rsid w:val="003107FD"/>
    <w:rsid w:val="003109BE"/>
    <w:rsid w:val="00310D9F"/>
    <w:rsid w:val="003113F8"/>
    <w:rsid w:val="0031152D"/>
    <w:rsid w:val="00311E08"/>
    <w:rsid w:val="00312277"/>
    <w:rsid w:val="0031234E"/>
    <w:rsid w:val="003125AD"/>
    <w:rsid w:val="0031289E"/>
    <w:rsid w:val="00312917"/>
    <w:rsid w:val="00312AA7"/>
    <w:rsid w:val="00313991"/>
    <w:rsid w:val="00314180"/>
    <w:rsid w:val="003147E2"/>
    <w:rsid w:val="00314EA2"/>
    <w:rsid w:val="00316297"/>
    <w:rsid w:val="00316ABF"/>
    <w:rsid w:val="00316CC9"/>
    <w:rsid w:val="0031721E"/>
    <w:rsid w:val="00317223"/>
    <w:rsid w:val="003178C7"/>
    <w:rsid w:val="003202B5"/>
    <w:rsid w:val="00320678"/>
    <w:rsid w:val="0032093D"/>
    <w:rsid w:val="0032099D"/>
    <w:rsid w:val="00320A75"/>
    <w:rsid w:val="0032166F"/>
    <w:rsid w:val="00322331"/>
    <w:rsid w:val="00322660"/>
    <w:rsid w:val="003227B4"/>
    <w:rsid w:val="00322970"/>
    <w:rsid w:val="00322F66"/>
    <w:rsid w:val="00323282"/>
    <w:rsid w:val="003234AE"/>
    <w:rsid w:val="00323C72"/>
    <w:rsid w:val="00323D24"/>
    <w:rsid w:val="00324148"/>
    <w:rsid w:val="00324268"/>
    <w:rsid w:val="0032427E"/>
    <w:rsid w:val="00326673"/>
    <w:rsid w:val="00326891"/>
    <w:rsid w:val="00326B27"/>
    <w:rsid w:val="00326CE1"/>
    <w:rsid w:val="0032709A"/>
    <w:rsid w:val="0032767F"/>
    <w:rsid w:val="003278AF"/>
    <w:rsid w:val="0033014F"/>
    <w:rsid w:val="003307AF"/>
    <w:rsid w:val="003308F2"/>
    <w:rsid w:val="0033119E"/>
    <w:rsid w:val="0033137F"/>
    <w:rsid w:val="003313C5"/>
    <w:rsid w:val="00331456"/>
    <w:rsid w:val="003314EA"/>
    <w:rsid w:val="003319EC"/>
    <w:rsid w:val="00331C4E"/>
    <w:rsid w:val="00332510"/>
    <w:rsid w:val="0033292F"/>
    <w:rsid w:val="00332E01"/>
    <w:rsid w:val="0033314C"/>
    <w:rsid w:val="0033370B"/>
    <w:rsid w:val="00333A6B"/>
    <w:rsid w:val="00333D12"/>
    <w:rsid w:val="00333F39"/>
    <w:rsid w:val="00334938"/>
    <w:rsid w:val="00334AD5"/>
    <w:rsid w:val="00334D06"/>
    <w:rsid w:val="003352C0"/>
    <w:rsid w:val="003353E5"/>
    <w:rsid w:val="00335CA1"/>
    <w:rsid w:val="003363F5"/>
    <w:rsid w:val="00337222"/>
    <w:rsid w:val="0033730F"/>
    <w:rsid w:val="003373AB"/>
    <w:rsid w:val="003373F0"/>
    <w:rsid w:val="00337AB7"/>
    <w:rsid w:val="003403D9"/>
    <w:rsid w:val="003406DE"/>
    <w:rsid w:val="003407E1"/>
    <w:rsid w:val="00340D86"/>
    <w:rsid w:val="00340DD0"/>
    <w:rsid w:val="0034125F"/>
    <w:rsid w:val="003412C9"/>
    <w:rsid w:val="003415CF"/>
    <w:rsid w:val="0034181A"/>
    <w:rsid w:val="003418F6"/>
    <w:rsid w:val="00341D96"/>
    <w:rsid w:val="00341DCC"/>
    <w:rsid w:val="00341EF0"/>
    <w:rsid w:val="00341F97"/>
    <w:rsid w:val="00342161"/>
    <w:rsid w:val="003421BD"/>
    <w:rsid w:val="003430DC"/>
    <w:rsid w:val="00344139"/>
    <w:rsid w:val="00344453"/>
    <w:rsid w:val="00344537"/>
    <w:rsid w:val="003448A6"/>
    <w:rsid w:val="00344ACB"/>
    <w:rsid w:val="00344CA4"/>
    <w:rsid w:val="00345FB2"/>
    <w:rsid w:val="00346619"/>
    <w:rsid w:val="0034671F"/>
    <w:rsid w:val="00350003"/>
    <w:rsid w:val="003500B5"/>
    <w:rsid w:val="003502FC"/>
    <w:rsid w:val="0035079E"/>
    <w:rsid w:val="00350DEB"/>
    <w:rsid w:val="00350FCA"/>
    <w:rsid w:val="0035126D"/>
    <w:rsid w:val="0035134A"/>
    <w:rsid w:val="00351BEE"/>
    <w:rsid w:val="00351EF6"/>
    <w:rsid w:val="00352066"/>
    <w:rsid w:val="00353427"/>
    <w:rsid w:val="0035479A"/>
    <w:rsid w:val="0035491C"/>
    <w:rsid w:val="00354E99"/>
    <w:rsid w:val="00355650"/>
    <w:rsid w:val="0035569B"/>
    <w:rsid w:val="003558AE"/>
    <w:rsid w:val="00355E4F"/>
    <w:rsid w:val="00356C82"/>
    <w:rsid w:val="00356FB7"/>
    <w:rsid w:val="00357678"/>
    <w:rsid w:val="00357694"/>
    <w:rsid w:val="003579DC"/>
    <w:rsid w:val="00357C66"/>
    <w:rsid w:val="0036004F"/>
    <w:rsid w:val="003601EC"/>
    <w:rsid w:val="00360577"/>
    <w:rsid w:val="003606A6"/>
    <w:rsid w:val="0036075C"/>
    <w:rsid w:val="003608FB"/>
    <w:rsid w:val="00360C22"/>
    <w:rsid w:val="00360E4D"/>
    <w:rsid w:val="00361699"/>
    <w:rsid w:val="0036194D"/>
    <w:rsid w:val="00361D8D"/>
    <w:rsid w:val="00361DEA"/>
    <w:rsid w:val="00362602"/>
    <w:rsid w:val="00362A2E"/>
    <w:rsid w:val="00363338"/>
    <w:rsid w:val="003636FE"/>
    <w:rsid w:val="003638AD"/>
    <w:rsid w:val="00363F71"/>
    <w:rsid w:val="00364FE8"/>
    <w:rsid w:val="00365102"/>
    <w:rsid w:val="00365220"/>
    <w:rsid w:val="003653B8"/>
    <w:rsid w:val="0036658A"/>
    <w:rsid w:val="00366914"/>
    <w:rsid w:val="0036786B"/>
    <w:rsid w:val="003679D7"/>
    <w:rsid w:val="0037163D"/>
    <w:rsid w:val="003719FA"/>
    <w:rsid w:val="00371CD4"/>
    <w:rsid w:val="00371D54"/>
    <w:rsid w:val="00371FD3"/>
    <w:rsid w:val="00372382"/>
    <w:rsid w:val="00373188"/>
    <w:rsid w:val="003733CD"/>
    <w:rsid w:val="003736C3"/>
    <w:rsid w:val="00373751"/>
    <w:rsid w:val="003738BA"/>
    <w:rsid w:val="003745FD"/>
    <w:rsid w:val="00374BBC"/>
    <w:rsid w:val="003759D0"/>
    <w:rsid w:val="00375B19"/>
    <w:rsid w:val="00375D3E"/>
    <w:rsid w:val="003760C6"/>
    <w:rsid w:val="0037676B"/>
    <w:rsid w:val="00376B85"/>
    <w:rsid w:val="00376EE1"/>
    <w:rsid w:val="003776B3"/>
    <w:rsid w:val="003779C8"/>
    <w:rsid w:val="003779CF"/>
    <w:rsid w:val="00377B96"/>
    <w:rsid w:val="003802D3"/>
    <w:rsid w:val="003808BC"/>
    <w:rsid w:val="00380E3A"/>
    <w:rsid w:val="00381298"/>
    <w:rsid w:val="0038143A"/>
    <w:rsid w:val="003814B2"/>
    <w:rsid w:val="00381551"/>
    <w:rsid w:val="003816B0"/>
    <w:rsid w:val="00382770"/>
    <w:rsid w:val="0038285B"/>
    <w:rsid w:val="0038294A"/>
    <w:rsid w:val="00382A82"/>
    <w:rsid w:val="00384B5A"/>
    <w:rsid w:val="00384E92"/>
    <w:rsid w:val="00385434"/>
    <w:rsid w:val="003859B8"/>
    <w:rsid w:val="00385ADE"/>
    <w:rsid w:val="0038606E"/>
    <w:rsid w:val="003860AE"/>
    <w:rsid w:val="0038679D"/>
    <w:rsid w:val="003873C7"/>
    <w:rsid w:val="00387656"/>
    <w:rsid w:val="00387A55"/>
    <w:rsid w:val="00387FD4"/>
    <w:rsid w:val="00390BEB"/>
    <w:rsid w:val="003915D7"/>
    <w:rsid w:val="0039179B"/>
    <w:rsid w:val="00391A60"/>
    <w:rsid w:val="00391AC6"/>
    <w:rsid w:val="00391F1F"/>
    <w:rsid w:val="003923BB"/>
    <w:rsid w:val="00393682"/>
    <w:rsid w:val="003936A8"/>
    <w:rsid w:val="003938A0"/>
    <w:rsid w:val="0039424C"/>
    <w:rsid w:val="00394776"/>
    <w:rsid w:val="00394820"/>
    <w:rsid w:val="00394A23"/>
    <w:rsid w:val="00394E58"/>
    <w:rsid w:val="00394EA6"/>
    <w:rsid w:val="00394F64"/>
    <w:rsid w:val="00395210"/>
    <w:rsid w:val="0039550E"/>
    <w:rsid w:val="0039582C"/>
    <w:rsid w:val="00395C7B"/>
    <w:rsid w:val="00396334"/>
    <w:rsid w:val="0039716E"/>
    <w:rsid w:val="00397451"/>
    <w:rsid w:val="00397621"/>
    <w:rsid w:val="00397DD8"/>
    <w:rsid w:val="00397DFD"/>
    <w:rsid w:val="003A049B"/>
    <w:rsid w:val="003A0C10"/>
    <w:rsid w:val="003A21A1"/>
    <w:rsid w:val="003A2ADF"/>
    <w:rsid w:val="003A2D33"/>
    <w:rsid w:val="003A3C73"/>
    <w:rsid w:val="003A3FFE"/>
    <w:rsid w:val="003A4720"/>
    <w:rsid w:val="003A4BED"/>
    <w:rsid w:val="003A4E5C"/>
    <w:rsid w:val="003A4FEF"/>
    <w:rsid w:val="003A566E"/>
    <w:rsid w:val="003A5678"/>
    <w:rsid w:val="003A5914"/>
    <w:rsid w:val="003A6CCE"/>
    <w:rsid w:val="003A70CE"/>
    <w:rsid w:val="003A77B4"/>
    <w:rsid w:val="003B02D8"/>
    <w:rsid w:val="003B06C3"/>
    <w:rsid w:val="003B0A0A"/>
    <w:rsid w:val="003B0E2D"/>
    <w:rsid w:val="003B2C7D"/>
    <w:rsid w:val="003B2CAE"/>
    <w:rsid w:val="003B3110"/>
    <w:rsid w:val="003B33D4"/>
    <w:rsid w:val="003B354F"/>
    <w:rsid w:val="003B37E5"/>
    <w:rsid w:val="003B3A1A"/>
    <w:rsid w:val="003B3D9C"/>
    <w:rsid w:val="003B469E"/>
    <w:rsid w:val="003B4888"/>
    <w:rsid w:val="003B49CB"/>
    <w:rsid w:val="003B4A49"/>
    <w:rsid w:val="003B55AC"/>
    <w:rsid w:val="003B5882"/>
    <w:rsid w:val="003B5B20"/>
    <w:rsid w:val="003B6087"/>
    <w:rsid w:val="003B65B0"/>
    <w:rsid w:val="003B68AA"/>
    <w:rsid w:val="003B6E74"/>
    <w:rsid w:val="003B6EEC"/>
    <w:rsid w:val="003B74B3"/>
    <w:rsid w:val="003B7565"/>
    <w:rsid w:val="003B75CE"/>
    <w:rsid w:val="003C0F40"/>
    <w:rsid w:val="003C1178"/>
    <w:rsid w:val="003C12EA"/>
    <w:rsid w:val="003C1428"/>
    <w:rsid w:val="003C279C"/>
    <w:rsid w:val="003C2D16"/>
    <w:rsid w:val="003C2D77"/>
    <w:rsid w:val="003C3669"/>
    <w:rsid w:val="003C4FBE"/>
    <w:rsid w:val="003C576F"/>
    <w:rsid w:val="003C5B92"/>
    <w:rsid w:val="003C6283"/>
    <w:rsid w:val="003C63F4"/>
    <w:rsid w:val="003C652E"/>
    <w:rsid w:val="003C6543"/>
    <w:rsid w:val="003C76BB"/>
    <w:rsid w:val="003C7BC1"/>
    <w:rsid w:val="003D02B4"/>
    <w:rsid w:val="003D0344"/>
    <w:rsid w:val="003D0394"/>
    <w:rsid w:val="003D0BA2"/>
    <w:rsid w:val="003D0D73"/>
    <w:rsid w:val="003D124C"/>
    <w:rsid w:val="003D1453"/>
    <w:rsid w:val="003D1553"/>
    <w:rsid w:val="003D16EA"/>
    <w:rsid w:val="003D1983"/>
    <w:rsid w:val="003D1EA3"/>
    <w:rsid w:val="003D20A3"/>
    <w:rsid w:val="003D28EA"/>
    <w:rsid w:val="003D32D1"/>
    <w:rsid w:val="003D374F"/>
    <w:rsid w:val="003D39D1"/>
    <w:rsid w:val="003D3F77"/>
    <w:rsid w:val="003D43DD"/>
    <w:rsid w:val="003D4839"/>
    <w:rsid w:val="003D48A5"/>
    <w:rsid w:val="003D55CB"/>
    <w:rsid w:val="003D5872"/>
    <w:rsid w:val="003D68EB"/>
    <w:rsid w:val="003D6CD2"/>
    <w:rsid w:val="003D6E35"/>
    <w:rsid w:val="003D6FC3"/>
    <w:rsid w:val="003D72C5"/>
    <w:rsid w:val="003D7C80"/>
    <w:rsid w:val="003E02C9"/>
    <w:rsid w:val="003E02CB"/>
    <w:rsid w:val="003E05C4"/>
    <w:rsid w:val="003E0754"/>
    <w:rsid w:val="003E0D91"/>
    <w:rsid w:val="003E1BD6"/>
    <w:rsid w:val="003E1BD9"/>
    <w:rsid w:val="003E1C08"/>
    <w:rsid w:val="003E1E04"/>
    <w:rsid w:val="003E21F4"/>
    <w:rsid w:val="003E245C"/>
    <w:rsid w:val="003E28F9"/>
    <w:rsid w:val="003E2D08"/>
    <w:rsid w:val="003E375B"/>
    <w:rsid w:val="003E4A04"/>
    <w:rsid w:val="003E5234"/>
    <w:rsid w:val="003E5578"/>
    <w:rsid w:val="003E57B0"/>
    <w:rsid w:val="003E57F4"/>
    <w:rsid w:val="003E5825"/>
    <w:rsid w:val="003E5D01"/>
    <w:rsid w:val="003E5D12"/>
    <w:rsid w:val="003E5D24"/>
    <w:rsid w:val="003E6972"/>
    <w:rsid w:val="003E72B7"/>
    <w:rsid w:val="003E75B7"/>
    <w:rsid w:val="003E7A32"/>
    <w:rsid w:val="003E7DF0"/>
    <w:rsid w:val="003E7DF1"/>
    <w:rsid w:val="003F00FE"/>
    <w:rsid w:val="003F2E54"/>
    <w:rsid w:val="003F35ED"/>
    <w:rsid w:val="003F3822"/>
    <w:rsid w:val="003F3CBB"/>
    <w:rsid w:val="003F49A4"/>
    <w:rsid w:val="003F49EA"/>
    <w:rsid w:val="003F4F80"/>
    <w:rsid w:val="003F5509"/>
    <w:rsid w:val="003F5804"/>
    <w:rsid w:val="003F58DA"/>
    <w:rsid w:val="003F6727"/>
    <w:rsid w:val="003F68E1"/>
    <w:rsid w:val="003F6B33"/>
    <w:rsid w:val="003F6C25"/>
    <w:rsid w:val="003F6C47"/>
    <w:rsid w:val="003F6D43"/>
    <w:rsid w:val="003F6E79"/>
    <w:rsid w:val="003F707D"/>
    <w:rsid w:val="003F7236"/>
    <w:rsid w:val="003F77AD"/>
    <w:rsid w:val="003F7E71"/>
    <w:rsid w:val="004000E6"/>
    <w:rsid w:val="00400BE9"/>
    <w:rsid w:val="00400E5F"/>
    <w:rsid w:val="00401400"/>
    <w:rsid w:val="00401628"/>
    <w:rsid w:val="00401B4A"/>
    <w:rsid w:val="00401B53"/>
    <w:rsid w:val="00401B87"/>
    <w:rsid w:val="00401F84"/>
    <w:rsid w:val="0040204D"/>
    <w:rsid w:val="004026C5"/>
    <w:rsid w:val="00402DB7"/>
    <w:rsid w:val="00402E45"/>
    <w:rsid w:val="00403A7C"/>
    <w:rsid w:val="00403B60"/>
    <w:rsid w:val="00403BA9"/>
    <w:rsid w:val="00403C80"/>
    <w:rsid w:val="00404597"/>
    <w:rsid w:val="004047C3"/>
    <w:rsid w:val="00404B77"/>
    <w:rsid w:val="00404BE7"/>
    <w:rsid w:val="0040558C"/>
    <w:rsid w:val="00406673"/>
    <w:rsid w:val="00406BC6"/>
    <w:rsid w:val="00406FF0"/>
    <w:rsid w:val="0040762D"/>
    <w:rsid w:val="0040798A"/>
    <w:rsid w:val="00407C07"/>
    <w:rsid w:val="00407C8E"/>
    <w:rsid w:val="00407D50"/>
    <w:rsid w:val="00410995"/>
    <w:rsid w:val="00410EE2"/>
    <w:rsid w:val="0041131D"/>
    <w:rsid w:val="0041217C"/>
    <w:rsid w:val="00412828"/>
    <w:rsid w:val="00412D81"/>
    <w:rsid w:val="00412DBC"/>
    <w:rsid w:val="0041346E"/>
    <w:rsid w:val="0041393E"/>
    <w:rsid w:val="004145FF"/>
    <w:rsid w:val="004149C2"/>
    <w:rsid w:val="00414F38"/>
    <w:rsid w:val="0041598C"/>
    <w:rsid w:val="00415E06"/>
    <w:rsid w:val="00415F38"/>
    <w:rsid w:val="004162AC"/>
    <w:rsid w:val="004166E7"/>
    <w:rsid w:val="00416738"/>
    <w:rsid w:val="00416DB8"/>
    <w:rsid w:val="004172ED"/>
    <w:rsid w:val="004176F5"/>
    <w:rsid w:val="004177ED"/>
    <w:rsid w:val="004178EF"/>
    <w:rsid w:val="00417A20"/>
    <w:rsid w:val="00420DC7"/>
    <w:rsid w:val="00420E72"/>
    <w:rsid w:val="004214DF"/>
    <w:rsid w:val="0042159E"/>
    <w:rsid w:val="00421B25"/>
    <w:rsid w:val="00421DF5"/>
    <w:rsid w:val="00422304"/>
    <w:rsid w:val="00422A1F"/>
    <w:rsid w:val="00422EB7"/>
    <w:rsid w:val="00424015"/>
    <w:rsid w:val="00424BB4"/>
    <w:rsid w:val="00425005"/>
    <w:rsid w:val="004251DA"/>
    <w:rsid w:val="0042620F"/>
    <w:rsid w:val="004263F5"/>
    <w:rsid w:val="0042697D"/>
    <w:rsid w:val="00427035"/>
    <w:rsid w:val="00427227"/>
    <w:rsid w:val="004274F1"/>
    <w:rsid w:val="0042761A"/>
    <w:rsid w:val="00430C69"/>
    <w:rsid w:val="00430F67"/>
    <w:rsid w:val="004310C2"/>
    <w:rsid w:val="0043132B"/>
    <w:rsid w:val="0043132F"/>
    <w:rsid w:val="00431373"/>
    <w:rsid w:val="004314B1"/>
    <w:rsid w:val="004316D1"/>
    <w:rsid w:val="00431933"/>
    <w:rsid w:val="00431BF1"/>
    <w:rsid w:val="004322E7"/>
    <w:rsid w:val="00432420"/>
    <w:rsid w:val="00432C90"/>
    <w:rsid w:val="00433245"/>
    <w:rsid w:val="00433DFF"/>
    <w:rsid w:val="00433ECC"/>
    <w:rsid w:val="00433F95"/>
    <w:rsid w:val="004341EC"/>
    <w:rsid w:val="00434471"/>
    <w:rsid w:val="004346B2"/>
    <w:rsid w:val="004348F6"/>
    <w:rsid w:val="004356CC"/>
    <w:rsid w:val="00435BB9"/>
    <w:rsid w:val="00436E9E"/>
    <w:rsid w:val="0043705F"/>
    <w:rsid w:val="0043769F"/>
    <w:rsid w:val="00440C3F"/>
    <w:rsid w:val="00440DE5"/>
    <w:rsid w:val="004415A1"/>
    <w:rsid w:val="00441728"/>
    <w:rsid w:val="00441D59"/>
    <w:rsid w:val="00442342"/>
    <w:rsid w:val="00442748"/>
    <w:rsid w:val="00443515"/>
    <w:rsid w:val="00443B30"/>
    <w:rsid w:val="00444DC1"/>
    <w:rsid w:val="004451D5"/>
    <w:rsid w:val="00445B63"/>
    <w:rsid w:val="00445CF2"/>
    <w:rsid w:val="00445D45"/>
    <w:rsid w:val="00445D56"/>
    <w:rsid w:val="00445DFA"/>
    <w:rsid w:val="00445F71"/>
    <w:rsid w:val="00446265"/>
    <w:rsid w:val="0044653A"/>
    <w:rsid w:val="00446BAD"/>
    <w:rsid w:val="0044746F"/>
    <w:rsid w:val="004478B2"/>
    <w:rsid w:val="00447964"/>
    <w:rsid w:val="004502BB"/>
    <w:rsid w:val="00450E3C"/>
    <w:rsid w:val="00450EBC"/>
    <w:rsid w:val="0045194B"/>
    <w:rsid w:val="00451B9C"/>
    <w:rsid w:val="00451EDF"/>
    <w:rsid w:val="004520F2"/>
    <w:rsid w:val="00452481"/>
    <w:rsid w:val="00452AE9"/>
    <w:rsid w:val="00452C0C"/>
    <w:rsid w:val="0045371F"/>
    <w:rsid w:val="004538A2"/>
    <w:rsid w:val="00453AE0"/>
    <w:rsid w:val="004540EE"/>
    <w:rsid w:val="0045582E"/>
    <w:rsid w:val="0045638B"/>
    <w:rsid w:val="00456897"/>
    <w:rsid w:val="00456B48"/>
    <w:rsid w:val="0045747F"/>
    <w:rsid w:val="00457A76"/>
    <w:rsid w:val="00460AA2"/>
    <w:rsid w:val="00460AE8"/>
    <w:rsid w:val="00460B71"/>
    <w:rsid w:val="00460F82"/>
    <w:rsid w:val="00461EC9"/>
    <w:rsid w:val="004628B0"/>
    <w:rsid w:val="00462ABE"/>
    <w:rsid w:val="00462D83"/>
    <w:rsid w:val="004632A8"/>
    <w:rsid w:val="004640EF"/>
    <w:rsid w:val="004642EE"/>
    <w:rsid w:val="00464315"/>
    <w:rsid w:val="00464460"/>
    <w:rsid w:val="004649AB"/>
    <w:rsid w:val="00465D6A"/>
    <w:rsid w:val="004664BB"/>
    <w:rsid w:val="00466788"/>
    <w:rsid w:val="00466E00"/>
    <w:rsid w:val="0046707C"/>
    <w:rsid w:val="0046778F"/>
    <w:rsid w:val="004677F9"/>
    <w:rsid w:val="00467E5B"/>
    <w:rsid w:val="00467FA0"/>
    <w:rsid w:val="00470B05"/>
    <w:rsid w:val="0047104D"/>
    <w:rsid w:val="004714B3"/>
    <w:rsid w:val="004715D8"/>
    <w:rsid w:val="0047193E"/>
    <w:rsid w:val="00471BC9"/>
    <w:rsid w:val="00471EE3"/>
    <w:rsid w:val="00472A66"/>
    <w:rsid w:val="004735AB"/>
    <w:rsid w:val="00473647"/>
    <w:rsid w:val="00473732"/>
    <w:rsid w:val="00474031"/>
    <w:rsid w:val="0047417C"/>
    <w:rsid w:val="00474ABD"/>
    <w:rsid w:val="00474DB7"/>
    <w:rsid w:val="004750CD"/>
    <w:rsid w:val="00475299"/>
    <w:rsid w:val="004753DF"/>
    <w:rsid w:val="00475C0A"/>
    <w:rsid w:val="00476767"/>
    <w:rsid w:val="004768B6"/>
    <w:rsid w:val="004772B5"/>
    <w:rsid w:val="004773B7"/>
    <w:rsid w:val="004779D5"/>
    <w:rsid w:val="00477B3D"/>
    <w:rsid w:val="00477D3A"/>
    <w:rsid w:val="004806FA"/>
    <w:rsid w:val="00480FAF"/>
    <w:rsid w:val="00481E98"/>
    <w:rsid w:val="0048247D"/>
    <w:rsid w:val="00482936"/>
    <w:rsid w:val="00482C47"/>
    <w:rsid w:val="004834B5"/>
    <w:rsid w:val="004836E0"/>
    <w:rsid w:val="004839F3"/>
    <w:rsid w:val="00483C78"/>
    <w:rsid w:val="00483DC2"/>
    <w:rsid w:val="00483E5A"/>
    <w:rsid w:val="00484221"/>
    <w:rsid w:val="00484AFB"/>
    <w:rsid w:val="00484BBE"/>
    <w:rsid w:val="00484BDE"/>
    <w:rsid w:val="00485563"/>
    <w:rsid w:val="00485761"/>
    <w:rsid w:val="00485947"/>
    <w:rsid w:val="00485A9E"/>
    <w:rsid w:val="00485ED3"/>
    <w:rsid w:val="00485F31"/>
    <w:rsid w:val="0048618E"/>
    <w:rsid w:val="00486421"/>
    <w:rsid w:val="00486689"/>
    <w:rsid w:val="0048689D"/>
    <w:rsid w:val="00486D75"/>
    <w:rsid w:val="004876C2"/>
    <w:rsid w:val="004876D9"/>
    <w:rsid w:val="0048788D"/>
    <w:rsid w:val="00487EAE"/>
    <w:rsid w:val="00490979"/>
    <w:rsid w:val="00490B1D"/>
    <w:rsid w:val="00492191"/>
    <w:rsid w:val="004923A1"/>
    <w:rsid w:val="0049249C"/>
    <w:rsid w:val="004937A3"/>
    <w:rsid w:val="00494BAC"/>
    <w:rsid w:val="004953E9"/>
    <w:rsid w:val="00495948"/>
    <w:rsid w:val="00496107"/>
    <w:rsid w:val="004964B8"/>
    <w:rsid w:val="004973B4"/>
    <w:rsid w:val="004974D5"/>
    <w:rsid w:val="004979FE"/>
    <w:rsid w:val="00497AB1"/>
    <w:rsid w:val="004A0290"/>
    <w:rsid w:val="004A0600"/>
    <w:rsid w:val="004A0B88"/>
    <w:rsid w:val="004A1768"/>
    <w:rsid w:val="004A1B9C"/>
    <w:rsid w:val="004A2452"/>
    <w:rsid w:val="004A2531"/>
    <w:rsid w:val="004A2735"/>
    <w:rsid w:val="004A3092"/>
    <w:rsid w:val="004A31B1"/>
    <w:rsid w:val="004A3F1F"/>
    <w:rsid w:val="004A431B"/>
    <w:rsid w:val="004A4363"/>
    <w:rsid w:val="004A47FA"/>
    <w:rsid w:val="004A4CAB"/>
    <w:rsid w:val="004A52C0"/>
    <w:rsid w:val="004A5D9C"/>
    <w:rsid w:val="004A5F0F"/>
    <w:rsid w:val="004A6C72"/>
    <w:rsid w:val="004A7544"/>
    <w:rsid w:val="004A7CA1"/>
    <w:rsid w:val="004A7F5A"/>
    <w:rsid w:val="004B0145"/>
    <w:rsid w:val="004B0BD5"/>
    <w:rsid w:val="004B0C57"/>
    <w:rsid w:val="004B0CA7"/>
    <w:rsid w:val="004B129C"/>
    <w:rsid w:val="004B1720"/>
    <w:rsid w:val="004B1CE5"/>
    <w:rsid w:val="004B2055"/>
    <w:rsid w:val="004B2287"/>
    <w:rsid w:val="004B2629"/>
    <w:rsid w:val="004B2A19"/>
    <w:rsid w:val="004B2C75"/>
    <w:rsid w:val="004B3707"/>
    <w:rsid w:val="004B43E4"/>
    <w:rsid w:val="004B58AB"/>
    <w:rsid w:val="004B59C1"/>
    <w:rsid w:val="004B6522"/>
    <w:rsid w:val="004B68B8"/>
    <w:rsid w:val="004B68D7"/>
    <w:rsid w:val="004B7D25"/>
    <w:rsid w:val="004B7D6C"/>
    <w:rsid w:val="004C026F"/>
    <w:rsid w:val="004C094F"/>
    <w:rsid w:val="004C096B"/>
    <w:rsid w:val="004C0A86"/>
    <w:rsid w:val="004C0CD3"/>
    <w:rsid w:val="004C0DBE"/>
    <w:rsid w:val="004C10FC"/>
    <w:rsid w:val="004C2210"/>
    <w:rsid w:val="004C24A8"/>
    <w:rsid w:val="004C24F2"/>
    <w:rsid w:val="004C290E"/>
    <w:rsid w:val="004C2A43"/>
    <w:rsid w:val="004C2BB4"/>
    <w:rsid w:val="004C376D"/>
    <w:rsid w:val="004C3D8D"/>
    <w:rsid w:val="004C3F26"/>
    <w:rsid w:val="004C415A"/>
    <w:rsid w:val="004C4694"/>
    <w:rsid w:val="004C4884"/>
    <w:rsid w:val="004C489F"/>
    <w:rsid w:val="004C5060"/>
    <w:rsid w:val="004C5417"/>
    <w:rsid w:val="004C5CB1"/>
    <w:rsid w:val="004C5D4B"/>
    <w:rsid w:val="004C5EAE"/>
    <w:rsid w:val="004C63ED"/>
    <w:rsid w:val="004C648E"/>
    <w:rsid w:val="004C64B5"/>
    <w:rsid w:val="004C70E9"/>
    <w:rsid w:val="004C760A"/>
    <w:rsid w:val="004C763E"/>
    <w:rsid w:val="004C7A25"/>
    <w:rsid w:val="004C7C14"/>
    <w:rsid w:val="004C7F90"/>
    <w:rsid w:val="004D01B7"/>
    <w:rsid w:val="004D0D74"/>
    <w:rsid w:val="004D0E6D"/>
    <w:rsid w:val="004D1514"/>
    <w:rsid w:val="004D15C9"/>
    <w:rsid w:val="004D1677"/>
    <w:rsid w:val="004D1D7C"/>
    <w:rsid w:val="004D2908"/>
    <w:rsid w:val="004D2C9E"/>
    <w:rsid w:val="004D2D31"/>
    <w:rsid w:val="004D33EF"/>
    <w:rsid w:val="004D446A"/>
    <w:rsid w:val="004D55A7"/>
    <w:rsid w:val="004D59BE"/>
    <w:rsid w:val="004D654D"/>
    <w:rsid w:val="004D6750"/>
    <w:rsid w:val="004D68B6"/>
    <w:rsid w:val="004D7C32"/>
    <w:rsid w:val="004D7CAF"/>
    <w:rsid w:val="004D7DC6"/>
    <w:rsid w:val="004E06CE"/>
    <w:rsid w:val="004E097A"/>
    <w:rsid w:val="004E098E"/>
    <w:rsid w:val="004E0C8B"/>
    <w:rsid w:val="004E1AE5"/>
    <w:rsid w:val="004E1D23"/>
    <w:rsid w:val="004E220D"/>
    <w:rsid w:val="004E243E"/>
    <w:rsid w:val="004E2693"/>
    <w:rsid w:val="004E2CF9"/>
    <w:rsid w:val="004E2FED"/>
    <w:rsid w:val="004E30F2"/>
    <w:rsid w:val="004E3202"/>
    <w:rsid w:val="004E3212"/>
    <w:rsid w:val="004E374D"/>
    <w:rsid w:val="004E4105"/>
    <w:rsid w:val="004E420F"/>
    <w:rsid w:val="004E47F7"/>
    <w:rsid w:val="004E4BFC"/>
    <w:rsid w:val="004E4F34"/>
    <w:rsid w:val="004E501E"/>
    <w:rsid w:val="004E503E"/>
    <w:rsid w:val="004E5206"/>
    <w:rsid w:val="004E550F"/>
    <w:rsid w:val="004E5CB9"/>
    <w:rsid w:val="004E7169"/>
    <w:rsid w:val="004E720C"/>
    <w:rsid w:val="004E7368"/>
    <w:rsid w:val="004E7570"/>
    <w:rsid w:val="004E7976"/>
    <w:rsid w:val="004E7A92"/>
    <w:rsid w:val="004E7D54"/>
    <w:rsid w:val="004F016F"/>
    <w:rsid w:val="004F07EC"/>
    <w:rsid w:val="004F0864"/>
    <w:rsid w:val="004F0A85"/>
    <w:rsid w:val="004F1198"/>
    <w:rsid w:val="004F184D"/>
    <w:rsid w:val="004F1F38"/>
    <w:rsid w:val="004F2AA3"/>
    <w:rsid w:val="004F2C6D"/>
    <w:rsid w:val="004F2D9B"/>
    <w:rsid w:val="004F2F8B"/>
    <w:rsid w:val="004F302A"/>
    <w:rsid w:val="004F31E0"/>
    <w:rsid w:val="004F3593"/>
    <w:rsid w:val="004F3A58"/>
    <w:rsid w:val="004F4766"/>
    <w:rsid w:val="004F47A0"/>
    <w:rsid w:val="004F4FED"/>
    <w:rsid w:val="004F54E1"/>
    <w:rsid w:val="004F576A"/>
    <w:rsid w:val="004F63A4"/>
    <w:rsid w:val="004F660D"/>
    <w:rsid w:val="004F679B"/>
    <w:rsid w:val="004F771E"/>
    <w:rsid w:val="004F7804"/>
    <w:rsid w:val="0050029D"/>
    <w:rsid w:val="00500BB5"/>
    <w:rsid w:val="00501225"/>
    <w:rsid w:val="005013EF"/>
    <w:rsid w:val="005015E6"/>
    <w:rsid w:val="0050186F"/>
    <w:rsid w:val="00502234"/>
    <w:rsid w:val="00502388"/>
    <w:rsid w:val="00502AF0"/>
    <w:rsid w:val="00502B89"/>
    <w:rsid w:val="00502F2C"/>
    <w:rsid w:val="00502FD9"/>
    <w:rsid w:val="00503050"/>
    <w:rsid w:val="00503321"/>
    <w:rsid w:val="00503448"/>
    <w:rsid w:val="00503504"/>
    <w:rsid w:val="005044E0"/>
    <w:rsid w:val="00504FD4"/>
    <w:rsid w:val="00505069"/>
    <w:rsid w:val="00505943"/>
    <w:rsid w:val="00505C03"/>
    <w:rsid w:val="00506054"/>
    <w:rsid w:val="00506103"/>
    <w:rsid w:val="00507118"/>
    <w:rsid w:val="00507493"/>
    <w:rsid w:val="00507A35"/>
    <w:rsid w:val="00511778"/>
    <w:rsid w:val="00512234"/>
    <w:rsid w:val="00512272"/>
    <w:rsid w:val="00513355"/>
    <w:rsid w:val="00513B52"/>
    <w:rsid w:val="0051404E"/>
    <w:rsid w:val="00514BAC"/>
    <w:rsid w:val="00514E37"/>
    <w:rsid w:val="005159E2"/>
    <w:rsid w:val="00515CED"/>
    <w:rsid w:val="00516277"/>
    <w:rsid w:val="005163A3"/>
    <w:rsid w:val="0051672E"/>
    <w:rsid w:val="00516ED2"/>
    <w:rsid w:val="00517015"/>
    <w:rsid w:val="00517BB4"/>
    <w:rsid w:val="00517D6A"/>
    <w:rsid w:val="00517E19"/>
    <w:rsid w:val="00517E94"/>
    <w:rsid w:val="0052040E"/>
    <w:rsid w:val="005209FB"/>
    <w:rsid w:val="00520B04"/>
    <w:rsid w:val="005210D6"/>
    <w:rsid w:val="005215DF"/>
    <w:rsid w:val="00521C73"/>
    <w:rsid w:val="005237CB"/>
    <w:rsid w:val="00523869"/>
    <w:rsid w:val="00523A71"/>
    <w:rsid w:val="00523ACC"/>
    <w:rsid w:val="00523EED"/>
    <w:rsid w:val="005241CE"/>
    <w:rsid w:val="005244D9"/>
    <w:rsid w:val="005250A0"/>
    <w:rsid w:val="00525608"/>
    <w:rsid w:val="00525846"/>
    <w:rsid w:val="00526A13"/>
    <w:rsid w:val="00526B46"/>
    <w:rsid w:val="00526C10"/>
    <w:rsid w:val="00527352"/>
    <w:rsid w:val="005306E5"/>
    <w:rsid w:val="005308A8"/>
    <w:rsid w:val="0053099A"/>
    <w:rsid w:val="00530A2D"/>
    <w:rsid w:val="00530AF9"/>
    <w:rsid w:val="00530DAA"/>
    <w:rsid w:val="00531210"/>
    <w:rsid w:val="0053136A"/>
    <w:rsid w:val="00531780"/>
    <w:rsid w:val="00531976"/>
    <w:rsid w:val="005326B0"/>
    <w:rsid w:val="00532729"/>
    <w:rsid w:val="00533203"/>
    <w:rsid w:val="005339E8"/>
    <w:rsid w:val="00533CFD"/>
    <w:rsid w:val="00534395"/>
    <w:rsid w:val="0053440F"/>
    <w:rsid w:val="0053642C"/>
    <w:rsid w:val="00536CB0"/>
    <w:rsid w:val="00536CD6"/>
    <w:rsid w:val="00537123"/>
    <w:rsid w:val="005371AE"/>
    <w:rsid w:val="00537746"/>
    <w:rsid w:val="005379E3"/>
    <w:rsid w:val="00537D0C"/>
    <w:rsid w:val="00537DB4"/>
    <w:rsid w:val="00537E86"/>
    <w:rsid w:val="00540071"/>
    <w:rsid w:val="0054068F"/>
    <w:rsid w:val="00540989"/>
    <w:rsid w:val="0054102D"/>
    <w:rsid w:val="005410F0"/>
    <w:rsid w:val="0054186A"/>
    <w:rsid w:val="0054192F"/>
    <w:rsid w:val="00541FE5"/>
    <w:rsid w:val="005423C0"/>
    <w:rsid w:val="00542866"/>
    <w:rsid w:val="00543331"/>
    <w:rsid w:val="00543C9E"/>
    <w:rsid w:val="00544048"/>
    <w:rsid w:val="00544077"/>
    <w:rsid w:val="00544A9B"/>
    <w:rsid w:val="00544DD5"/>
    <w:rsid w:val="00544EFE"/>
    <w:rsid w:val="0054501B"/>
    <w:rsid w:val="005457BB"/>
    <w:rsid w:val="005459F1"/>
    <w:rsid w:val="00545A79"/>
    <w:rsid w:val="00545EDF"/>
    <w:rsid w:val="00546233"/>
    <w:rsid w:val="0054683C"/>
    <w:rsid w:val="0054793F"/>
    <w:rsid w:val="00547D62"/>
    <w:rsid w:val="00547FB0"/>
    <w:rsid w:val="005500C4"/>
    <w:rsid w:val="00550420"/>
    <w:rsid w:val="00550638"/>
    <w:rsid w:val="005508EA"/>
    <w:rsid w:val="005511A2"/>
    <w:rsid w:val="005516E5"/>
    <w:rsid w:val="00551878"/>
    <w:rsid w:val="005521F4"/>
    <w:rsid w:val="005523C4"/>
    <w:rsid w:val="0055306E"/>
    <w:rsid w:val="00554A21"/>
    <w:rsid w:val="00554AF4"/>
    <w:rsid w:val="00554CEA"/>
    <w:rsid w:val="00555003"/>
    <w:rsid w:val="00555640"/>
    <w:rsid w:val="00555702"/>
    <w:rsid w:val="00555E7F"/>
    <w:rsid w:val="005562C5"/>
    <w:rsid w:val="00556F14"/>
    <w:rsid w:val="00557B80"/>
    <w:rsid w:val="00557ECF"/>
    <w:rsid w:val="0056005B"/>
    <w:rsid w:val="00560862"/>
    <w:rsid w:val="00560A35"/>
    <w:rsid w:val="00560B31"/>
    <w:rsid w:val="00561127"/>
    <w:rsid w:val="005617C4"/>
    <w:rsid w:val="005624B8"/>
    <w:rsid w:val="00562B42"/>
    <w:rsid w:val="00562B57"/>
    <w:rsid w:val="00562EAE"/>
    <w:rsid w:val="00563352"/>
    <w:rsid w:val="005639E4"/>
    <w:rsid w:val="00564587"/>
    <w:rsid w:val="00564E26"/>
    <w:rsid w:val="005655F4"/>
    <w:rsid w:val="00565649"/>
    <w:rsid w:val="00565911"/>
    <w:rsid w:val="00565A8E"/>
    <w:rsid w:val="00566090"/>
    <w:rsid w:val="0056674E"/>
    <w:rsid w:val="00566863"/>
    <w:rsid w:val="005668FC"/>
    <w:rsid w:val="00566FEA"/>
    <w:rsid w:val="00567166"/>
    <w:rsid w:val="00567259"/>
    <w:rsid w:val="00570088"/>
    <w:rsid w:val="00572CD2"/>
    <w:rsid w:val="00573405"/>
    <w:rsid w:val="005738D5"/>
    <w:rsid w:val="00573FF4"/>
    <w:rsid w:val="005754C8"/>
    <w:rsid w:val="0057552D"/>
    <w:rsid w:val="0057564E"/>
    <w:rsid w:val="005757C4"/>
    <w:rsid w:val="00575A30"/>
    <w:rsid w:val="00575D58"/>
    <w:rsid w:val="00576221"/>
    <w:rsid w:val="005763F4"/>
    <w:rsid w:val="00576588"/>
    <w:rsid w:val="00576CC3"/>
    <w:rsid w:val="00577045"/>
    <w:rsid w:val="005772F8"/>
    <w:rsid w:val="00577543"/>
    <w:rsid w:val="00577598"/>
    <w:rsid w:val="00577723"/>
    <w:rsid w:val="00577925"/>
    <w:rsid w:val="00580633"/>
    <w:rsid w:val="00580969"/>
    <w:rsid w:val="0058120F"/>
    <w:rsid w:val="005812CE"/>
    <w:rsid w:val="00581355"/>
    <w:rsid w:val="00581AFA"/>
    <w:rsid w:val="00581BF8"/>
    <w:rsid w:val="00581E10"/>
    <w:rsid w:val="00582577"/>
    <w:rsid w:val="00582AD1"/>
    <w:rsid w:val="00582CE5"/>
    <w:rsid w:val="00583213"/>
    <w:rsid w:val="00583288"/>
    <w:rsid w:val="00583FDC"/>
    <w:rsid w:val="00584363"/>
    <w:rsid w:val="005847AF"/>
    <w:rsid w:val="005848E6"/>
    <w:rsid w:val="005849FD"/>
    <w:rsid w:val="00584A50"/>
    <w:rsid w:val="00584BDC"/>
    <w:rsid w:val="00584E54"/>
    <w:rsid w:val="00585A23"/>
    <w:rsid w:val="00585A6D"/>
    <w:rsid w:val="00586024"/>
    <w:rsid w:val="0058715F"/>
    <w:rsid w:val="0058781E"/>
    <w:rsid w:val="00587B39"/>
    <w:rsid w:val="00590017"/>
    <w:rsid w:val="0059005A"/>
    <w:rsid w:val="005900C8"/>
    <w:rsid w:val="00590BEE"/>
    <w:rsid w:val="00590C34"/>
    <w:rsid w:val="00590D61"/>
    <w:rsid w:val="00590E1F"/>
    <w:rsid w:val="00590F4C"/>
    <w:rsid w:val="005917A7"/>
    <w:rsid w:val="00591CBF"/>
    <w:rsid w:val="00592ACF"/>
    <w:rsid w:val="005939F7"/>
    <w:rsid w:val="005943C1"/>
    <w:rsid w:val="005944A8"/>
    <w:rsid w:val="005947E5"/>
    <w:rsid w:val="00594B02"/>
    <w:rsid w:val="00594E60"/>
    <w:rsid w:val="00595B22"/>
    <w:rsid w:val="00595BCB"/>
    <w:rsid w:val="00595D15"/>
    <w:rsid w:val="0059616A"/>
    <w:rsid w:val="005962F9"/>
    <w:rsid w:val="0059686A"/>
    <w:rsid w:val="005971CD"/>
    <w:rsid w:val="0059759A"/>
    <w:rsid w:val="005976C2"/>
    <w:rsid w:val="005978DC"/>
    <w:rsid w:val="00597AEA"/>
    <w:rsid w:val="00597B3B"/>
    <w:rsid w:val="00597DC7"/>
    <w:rsid w:val="005A0539"/>
    <w:rsid w:val="005A05BF"/>
    <w:rsid w:val="005A07A8"/>
    <w:rsid w:val="005A0F3D"/>
    <w:rsid w:val="005A1478"/>
    <w:rsid w:val="005A17D2"/>
    <w:rsid w:val="005A19DB"/>
    <w:rsid w:val="005A1A61"/>
    <w:rsid w:val="005A1B5E"/>
    <w:rsid w:val="005A1FA5"/>
    <w:rsid w:val="005A240B"/>
    <w:rsid w:val="005A2548"/>
    <w:rsid w:val="005A2AAF"/>
    <w:rsid w:val="005A3039"/>
    <w:rsid w:val="005A33CC"/>
    <w:rsid w:val="005A3458"/>
    <w:rsid w:val="005A3A77"/>
    <w:rsid w:val="005A3E54"/>
    <w:rsid w:val="005A3EC0"/>
    <w:rsid w:val="005A3F1D"/>
    <w:rsid w:val="005A42FB"/>
    <w:rsid w:val="005A4715"/>
    <w:rsid w:val="005A485E"/>
    <w:rsid w:val="005A4F58"/>
    <w:rsid w:val="005A5359"/>
    <w:rsid w:val="005A53D9"/>
    <w:rsid w:val="005A5574"/>
    <w:rsid w:val="005A56D7"/>
    <w:rsid w:val="005A57AA"/>
    <w:rsid w:val="005A5A4C"/>
    <w:rsid w:val="005A5A57"/>
    <w:rsid w:val="005A5D24"/>
    <w:rsid w:val="005A6274"/>
    <w:rsid w:val="005A6478"/>
    <w:rsid w:val="005A6822"/>
    <w:rsid w:val="005A6C78"/>
    <w:rsid w:val="005A76E5"/>
    <w:rsid w:val="005A79A0"/>
    <w:rsid w:val="005A7BC1"/>
    <w:rsid w:val="005A7F17"/>
    <w:rsid w:val="005B02CC"/>
    <w:rsid w:val="005B053A"/>
    <w:rsid w:val="005B0702"/>
    <w:rsid w:val="005B0839"/>
    <w:rsid w:val="005B0D9E"/>
    <w:rsid w:val="005B1A17"/>
    <w:rsid w:val="005B1F6E"/>
    <w:rsid w:val="005B234A"/>
    <w:rsid w:val="005B2357"/>
    <w:rsid w:val="005B29D4"/>
    <w:rsid w:val="005B32E2"/>
    <w:rsid w:val="005B33A9"/>
    <w:rsid w:val="005B33BD"/>
    <w:rsid w:val="005B3624"/>
    <w:rsid w:val="005B3C97"/>
    <w:rsid w:val="005B4092"/>
    <w:rsid w:val="005B432D"/>
    <w:rsid w:val="005B4C2E"/>
    <w:rsid w:val="005B5AEA"/>
    <w:rsid w:val="005B5EC7"/>
    <w:rsid w:val="005B5F41"/>
    <w:rsid w:val="005B5F8C"/>
    <w:rsid w:val="005B5FD7"/>
    <w:rsid w:val="005B6020"/>
    <w:rsid w:val="005B61CA"/>
    <w:rsid w:val="005B652D"/>
    <w:rsid w:val="005B6567"/>
    <w:rsid w:val="005B6717"/>
    <w:rsid w:val="005B72DB"/>
    <w:rsid w:val="005B75CB"/>
    <w:rsid w:val="005B7DD0"/>
    <w:rsid w:val="005C0170"/>
    <w:rsid w:val="005C06C8"/>
    <w:rsid w:val="005C0F54"/>
    <w:rsid w:val="005C1558"/>
    <w:rsid w:val="005C17FC"/>
    <w:rsid w:val="005C24E4"/>
    <w:rsid w:val="005C280F"/>
    <w:rsid w:val="005C29D9"/>
    <w:rsid w:val="005C30AE"/>
    <w:rsid w:val="005C3446"/>
    <w:rsid w:val="005C3B3A"/>
    <w:rsid w:val="005C424A"/>
    <w:rsid w:val="005C4A41"/>
    <w:rsid w:val="005C4B74"/>
    <w:rsid w:val="005C4BD9"/>
    <w:rsid w:val="005C51C8"/>
    <w:rsid w:val="005C5E1C"/>
    <w:rsid w:val="005C5E2C"/>
    <w:rsid w:val="005C5FD7"/>
    <w:rsid w:val="005C656F"/>
    <w:rsid w:val="005C71BC"/>
    <w:rsid w:val="005C72B5"/>
    <w:rsid w:val="005C79ED"/>
    <w:rsid w:val="005C7ABB"/>
    <w:rsid w:val="005D0DF5"/>
    <w:rsid w:val="005D1498"/>
    <w:rsid w:val="005D15EC"/>
    <w:rsid w:val="005D25C0"/>
    <w:rsid w:val="005D289C"/>
    <w:rsid w:val="005D2C35"/>
    <w:rsid w:val="005D30CE"/>
    <w:rsid w:val="005D30DE"/>
    <w:rsid w:val="005D4549"/>
    <w:rsid w:val="005D4682"/>
    <w:rsid w:val="005D4869"/>
    <w:rsid w:val="005D4D1F"/>
    <w:rsid w:val="005D4D70"/>
    <w:rsid w:val="005D5284"/>
    <w:rsid w:val="005D5312"/>
    <w:rsid w:val="005D5340"/>
    <w:rsid w:val="005D5436"/>
    <w:rsid w:val="005D551B"/>
    <w:rsid w:val="005D58E3"/>
    <w:rsid w:val="005D5E27"/>
    <w:rsid w:val="005D5EE8"/>
    <w:rsid w:val="005D6268"/>
    <w:rsid w:val="005D702E"/>
    <w:rsid w:val="005E0036"/>
    <w:rsid w:val="005E01C4"/>
    <w:rsid w:val="005E087B"/>
    <w:rsid w:val="005E0FFB"/>
    <w:rsid w:val="005E101A"/>
    <w:rsid w:val="005E18D2"/>
    <w:rsid w:val="005E1C39"/>
    <w:rsid w:val="005E27B5"/>
    <w:rsid w:val="005E34E4"/>
    <w:rsid w:val="005E3713"/>
    <w:rsid w:val="005E48DB"/>
    <w:rsid w:val="005E50EA"/>
    <w:rsid w:val="005E5971"/>
    <w:rsid w:val="005E5A04"/>
    <w:rsid w:val="005E5BBC"/>
    <w:rsid w:val="005E6257"/>
    <w:rsid w:val="005E655D"/>
    <w:rsid w:val="005E70FE"/>
    <w:rsid w:val="005E72F3"/>
    <w:rsid w:val="005F064A"/>
    <w:rsid w:val="005F080E"/>
    <w:rsid w:val="005F0BCF"/>
    <w:rsid w:val="005F0F29"/>
    <w:rsid w:val="005F0F80"/>
    <w:rsid w:val="005F135B"/>
    <w:rsid w:val="005F1C85"/>
    <w:rsid w:val="005F2BCA"/>
    <w:rsid w:val="005F329B"/>
    <w:rsid w:val="005F336D"/>
    <w:rsid w:val="005F342C"/>
    <w:rsid w:val="005F46DC"/>
    <w:rsid w:val="005F4701"/>
    <w:rsid w:val="005F4F2D"/>
    <w:rsid w:val="005F4F40"/>
    <w:rsid w:val="005F5135"/>
    <w:rsid w:val="005F51F0"/>
    <w:rsid w:val="005F5C99"/>
    <w:rsid w:val="005F628E"/>
    <w:rsid w:val="005F7A7A"/>
    <w:rsid w:val="00600412"/>
    <w:rsid w:val="00600427"/>
    <w:rsid w:val="00600473"/>
    <w:rsid w:val="0060047E"/>
    <w:rsid w:val="0060053E"/>
    <w:rsid w:val="00600845"/>
    <w:rsid w:val="00600A74"/>
    <w:rsid w:val="00600C4B"/>
    <w:rsid w:val="00601294"/>
    <w:rsid w:val="00601FAC"/>
    <w:rsid w:val="0060278A"/>
    <w:rsid w:val="00602958"/>
    <w:rsid w:val="006032B4"/>
    <w:rsid w:val="00603514"/>
    <w:rsid w:val="00603D62"/>
    <w:rsid w:val="006048EE"/>
    <w:rsid w:val="006051A8"/>
    <w:rsid w:val="0060525C"/>
    <w:rsid w:val="0060531C"/>
    <w:rsid w:val="00605A1D"/>
    <w:rsid w:val="00605B00"/>
    <w:rsid w:val="00606087"/>
    <w:rsid w:val="00606129"/>
    <w:rsid w:val="00606256"/>
    <w:rsid w:val="0060653F"/>
    <w:rsid w:val="00606CB7"/>
    <w:rsid w:val="00606E5B"/>
    <w:rsid w:val="00607024"/>
    <w:rsid w:val="00607567"/>
    <w:rsid w:val="0060797B"/>
    <w:rsid w:val="00610139"/>
    <w:rsid w:val="0061113F"/>
    <w:rsid w:val="006111B7"/>
    <w:rsid w:val="006111DA"/>
    <w:rsid w:val="006120DB"/>
    <w:rsid w:val="0061253D"/>
    <w:rsid w:val="006125F4"/>
    <w:rsid w:val="0061260E"/>
    <w:rsid w:val="00612EA1"/>
    <w:rsid w:val="006131AB"/>
    <w:rsid w:val="00613429"/>
    <w:rsid w:val="006138B2"/>
    <w:rsid w:val="00614406"/>
    <w:rsid w:val="0061454D"/>
    <w:rsid w:val="00614C1E"/>
    <w:rsid w:val="006150DF"/>
    <w:rsid w:val="00615483"/>
    <w:rsid w:val="00615608"/>
    <w:rsid w:val="00616E31"/>
    <w:rsid w:val="00617113"/>
    <w:rsid w:val="006171CB"/>
    <w:rsid w:val="006175E6"/>
    <w:rsid w:val="00617AC5"/>
    <w:rsid w:val="00620C01"/>
    <w:rsid w:val="00621F36"/>
    <w:rsid w:val="00622021"/>
    <w:rsid w:val="006222CA"/>
    <w:rsid w:val="006223ED"/>
    <w:rsid w:val="00623937"/>
    <w:rsid w:val="00623A87"/>
    <w:rsid w:val="006240D6"/>
    <w:rsid w:val="0062433A"/>
    <w:rsid w:val="00624EC2"/>
    <w:rsid w:val="00625010"/>
    <w:rsid w:val="00625C1D"/>
    <w:rsid w:val="00626113"/>
    <w:rsid w:val="00626D13"/>
    <w:rsid w:val="00626D17"/>
    <w:rsid w:val="00626E1D"/>
    <w:rsid w:val="00626F34"/>
    <w:rsid w:val="0063001D"/>
    <w:rsid w:val="00630255"/>
    <w:rsid w:val="00630282"/>
    <w:rsid w:val="0063040B"/>
    <w:rsid w:val="00630575"/>
    <w:rsid w:val="006307F6"/>
    <w:rsid w:val="00630FE4"/>
    <w:rsid w:val="00631399"/>
    <w:rsid w:val="00631875"/>
    <w:rsid w:val="00631A49"/>
    <w:rsid w:val="00631CEC"/>
    <w:rsid w:val="00632174"/>
    <w:rsid w:val="00632AAB"/>
    <w:rsid w:val="00632DDF"/>
    <w:rsid w:val="00632E50"/>
    <w:rsid w:val="006330F9"/>
    <w:rsid w:val="00633AEA"/>
    <w:rsid w:val="00633F7B"/>
    <w:rsid w:val="006342AB"/>
    <w:rsid w:val="0063438D"/>
    <w:rsid w:val="0063441F"/>
    <w:rsid w:val="00634530"/>
    <w:rsid w:val="006345C4"/>
    <w:rsid w:val="006346AB"/>
    <w:rsid w:val="00634DD9"/>
    <w:rsid w:val="0063578C"/>
    <w:rsid w:val="00635B00"/>
    <w:rsid w:val="00635D13"/>
    <w:rsid w:val="00635DAA"/>
    <w:rsid w:val="006362B7"/>
    <w:rsid w:val="006367A7"/>
    <w:rsid w:val="00637475"/>
    <w:rsid w:val="00637E49"/>
    <w:rsid w:val="0064078C"/>
    <w:rsid w:val="00640B82"/>
    <w:rsid w:val="00640DB9"/>
    <w:rsid w:val="00640E3A"/>
    <w:rsid w:val="00641049"/>
    <w:rsid w:val="0064151C"/>
    <w:rsid w:val="00641595"/>
    <w:rsid w:val="006418A9"/>
    <w:rsid w:val="006420D0"/>
    <w:rsid w:val="0064372F"/>
    <w:rsid w:val="00643FB5"/>
    <w:rsid w:val="00644515"/>
    <w:rsid w:val="00644BAD"/>
    <w:rsid w:val="00644DDA"/>
    <w:rsid w:val="006457C6"/>
    <w:rsid w:val="0064598A"/>
    <w:rsid w:val="00645C33"/>
    <w:rsid w:val="006460F2"/>
    <w:rsid w:val="00646C0C"/>
    <w:rsid w:val="00646D29"/>
    <w:rsid w:val="0064770F"/>
    <w:rsid w:val="00647833"/>
    <w:rsid w:val="00647C9A"/>
    <w:rsid w:val="00650DE0"/>
    <w:rsid w:val="00650F24"/>
    <w:rsid w:val="00651786"/>
    <w:rsid w:val="00651850"/>
    <w:rsid w:val="00651E6F"/>
    <w:rsid w:val="006522FF"/>
    <w:rsid w:val="0065264B"/>
    <w:rsid w:val="00652F72"/>
    <w:rsid w:val="00654282"/>
    <w:rsid w:val="00654C1D"/>
    <w:rsid w:val="00654D8B"/>
    <w:rsid w:val="0065503D"/>
    <w:rsid w:val="006555C2"/>
    <w:rsid w:val="00655E89"/>
    <w:rsid w:val="00655FE4"/>
    <w:rsid w:val="00656A33"/>
    <w:rsid w:val="00656C6D"/>
    <w:rsid w:val="00656E2A"/>
    <w:rsid w:val="00657107"/>
    <w:rsid w:val="00657350"/>
    <w:rsid w:val="00657990"/>
    <w:rsid w:val="00657E2C"/>
    <w:rsid w:val="00657F92"/>
    <w:rsid w:val="00660C2E"/>
    <w:rsid w:val="00660FF3"/>
    <w:rsid w:val="00660FFB"/>
    <w:rsid w:val="006613C6"/>
    <w:rsid w:val="00661654"/>
    <w:rsid w:val="00661949"/>
    <w:rsid w:val="00661E1A"/>
    <w:rsid w:val="00662444"/>
    <w:rsid w:val="00663143"/>
    <w:rsid w:val="00663883"/>
    <w:rsid w:val="00663A58"/>
    <w:rsid w:val="00663C06"/>
    <w:rsid w:val="00663D58"/>
    <w:rsid w:val="00664641"/>
    <w:rsid w:val="006648B8"/>
    <w:rsid w:val="00664E16"/>
    <w:rsid w:val="006654E9"/>
    <w:rsid w:val="00665616"/>
    <w:rsid w:val="00665CFB"/>
    <w:rsid w:val="00665F3C"/>
    <w:rsid w:val="00666021"/>
    <w:rsid w:val="006662E1"/>
    <w:rsid w:val="0066653D"/>
    <w:rsid w:val="006666BD"/>
    <w:rsid w:val="0066705E"/>
    <w:rsid w:val="006676C8"/>
    <w:rsid w:val="00667999"/>
    <w:rsid w:val="00670416"/>
    <w:rsid w:val="0067070D"/>
    <w:rsid w:val="00670725"/>
    <w:rsid w:val="00670B5E"/>
    <w:rsid w:val="00670D79"/>
    <w:rsid w:val="00671F12"/>
    <w:rsid w:val="006723A4"/>
    <w:rsid w:val="00673605"/>
    <w:rsid w:val="00674A53"/>
    <w:rsid w:val="006753D2"/>
    <w:rsid w:val="006755FB"/>
    <w:rsid w:val="006757D1"/>
    <w:rsid w:val="006764FD"/>
    <w:rsid w:val="00676502"/>
    <w:rsid w:val="006767F6"/>
    <w:rsid w:val="00677465"/>
    <w:rsid w:val="006803FA"/>
    <w:rsid w:val="006806C0"/>
    <w:rsid w:val="00680750"/>
    <w:rsid w:val="006809AB"/>
    <w:rsid w:val="00680D92"/>
    <w:rsid w:val="00680F8E"/>
    <w:rsid w:val="006833A8"/>
    <w:rsid w:val="006838AB"/>
    <w:rsid w:val="006839E6"/>
    <w:rsid w:val="00684C3B"/>
    <w:rsid w:val="00685254"/>
    <w:rsid w:val="006857D1"/>
    <w:rsid w:val="00685AD8"/>
    <w:rsid w:val="00685E89"/>
    <w:rsid w:val="00685EA2"/>
    <w:rsid w:val="00686345"/>
    <w:rsid w:val="00686E03"/>
    <w:rsid w:val="00686F6D"/>
    <w:rsid w:val="0068738F"/>
    <w:rsid w:val="006874A3"/>
    <w:rsid w:val="00687502"/>
    <w:rsid w:val="00687669"/>
    <w:rsid w:val="006879FD"/>
    <w:rsid w:val="00690263"/>
    <w:rsid w:val="00690543"/>
    <w:rsid w:val="00690646"/>
    <w:rsid w:val="00690767"/>
    <w:rsid w:val="0069094C"/>
    <w:rsid w:val="00690BA2"/>
    <w:rsid w:val="00690CED"/>
    <w:rsid w:val="00690DE2"/>
    <w:rsid w:val="0069142C"/>
    <w:rsid w:val="00691B87"/>
    <w:rsid w:val="00692951"/>
    <w:rsid w:val="00692D1A"/>
    <w:rsid w:val="00693292"/>
    <w:rsid w:val="0069376C"/>
    <w:rsid w:val="00693DCB"/>
    <w:rsid w:val="00694605"/>
    <w:rsid w:val="00695036"/>
    <w:rsid w:val="0069558F"/>
    <w:rsid w:val="00695613"/>
    <w:rsid w:val="00695CAD"/>
    <w:rsid w:val="00696236"/>
    <w:rsid w:val="006967B5"/>
    <w:rsid w:val="00696CBC"/>
    <w:rsid w:val="00696D71"/>
    <w:rsid w:val="00697156"/>
    <w:rsid w:val="0069777E"/>
    <w:rsid w:val="006978FB"/>
    <w:rsid w:val="006979CD"/>
    <w:rsid w:val="006A0F39"/>
    <w:rsid w:val="006A164D"/>
    <w:rsid w:val="006A169D"/>
    <w:rsid w:val="006A1B9A"/>
    <w:rsid w:val="006A1EF4"/>
    <w:rsid w:val="006A2D51"/>
    <w:rsid w:val="006A313D"/>
    <w:rsid w:val="006A38B4"/>
    <w:rsid w:val="006A3C03"/>
    <w:rsid w:val="006A4315"/>
    <w:rsid w:val="006A4391"/>
    <w:rsid w:val="006A47D6"/>
    <w:rsid w:val="006A53C6"/>
    <w:rsid w:val="006A611E"/>
    <w:rsid w:val="006A67B7"/>
    <w:rsid w:val="006A73C9"/>
    <w:rsid w:val="006A763F"/>
    <w:rsid w:val="006B08CC"/>
    <w:rsid w:val="006B09C7"/>
    <w:rsid w:val="006B09FE"/>
    <w:rsid w:val="006B104E"/>
    <w:rsid w:val="006B23CF"/>
    <w:rsid w:val="006B2A12"/>
    <w:rsid w:val="006B457E"/>
    <w:rsid w:val="006B4B4E"/>
    <w:rsid w:val="006B4C25"/>
    <w:rsid w:val="006B54BC"/>
    <w:rsid w:val="006B56A2"/>
    <w:rsid w:val="006B5723"/>
    <w:rsid w:val="006B5ED6"/>
    <w:rsid w:val="006B6132"/>
    <w:rsid w:val="006B66DE"/>
    <w:rsid w:val="006B76D3"/>
    <w:rsid w:val="006C0408"/>
    <w:rsid w:val="006C0AAC"/>
    <w:rsid w:val="006C1697"/>
    <w:rsid w:val="006C2098"/>
    <w:rsid w:val="006C29E7"/>
    <w:rsid w:val="006C302B"/>
    <w:rsid w:val="006C32C8"/>
    <w:rsid w:val="006C3305"/>
    <w:rsid w:val="006C3714"/>
    <w:rsid w:val="006C384D"/>
    <w:rsid w:val="006C3C08"/>
    <w:rsid w:val="006C3DA5"/>
    <w:rsid w:val="006C462E"/>
    <w:rsid w:val="006C4A00"/>
    <w:rsid w:val="006C4C75"/>
    <w:rsid w:val="006C5648"/>
    <w:rsid w:val="006C592D"/>
    <w:rsid w:val="006C7057"/>
    <w:rsid w:val="006C71B0"/>
    <w:rsid w:val="006C75C4"/>
    <w:rsid w:val="006C7AAA"/>
    <w:rsid w:val="006C7CA2"/>
    <w:rsid w:val="006C7E9B"/>
    <w:rsid w:val="006D0007"/>
    <w:rsid w:val="006D016A"/>
    <w:rsid w:val="006D0AD9"/>
    <w:rsid w:val="006D0B84"/>
    <w:rsid w:val="006D145A"/>
    <w:rsid w:val="006D165A"/>
    <w:rsid w:val="006D1FEC"/>
    <w:rsid w:val="006D2CE6"/>
    <w:rsid w:val="006D35A4"/>
    <w:rsid w:val="006D3B3A"/>
    <w:rsid w:val="006D3D11"/>
    <w:rsid w:val="006D3FA6"/>
    <w:rsid w:val="006D4441"/>
    <w:rsid w:val="006D46E8"/>
    <w:rsid w:val="006D46F8"/>
    <w:rsid w:val="006D4D47"/>
    <w:rsid w:val="006D4E05"/>
    <w:rsid w:val="006D5461"/>
    <w:rsid w:val="006D64C0"/>
    <w:rsid w:val="006D6509"/>
    <w:rsid w:val="006D667A"/>
    <w:rsid w:val="006D6E1E"/>
    <w:rsid w:val="006D7A50"/>
    <w:rsid w:val="006E07C6"/>
    <w:rsid w:val="006E09D9"/>
    <w:rsid w:val="006E1355"/>
    <w:rsid w:val="006E13E6"/>
    <w:rsid w:val="006E2498"/>
    <w:rsid w:val="006E24C5"/>
    <w:rsid w:val="006E24EF"/>
    <w:rsid w:val="006E28E8"/>
    <w:rsid w:val="006E2DC5"/>
    <w:rsid w:val="006E307C"/>
    <w:rsid w:val="006E3675"/>
    <w:rsid w:val="006E4F6E"/>
    <w:rsid w:val="006E51D3"/>
    <w:rsid w:val="006E53E3"/>
    <w:rsid w:val="006E54E2"/>
    <w:rsid w:val="006E5628"/>
    <w:rsid w:val="006E5A82"/>
    <w:rsid w:val="006E61AC"/>
    <w:rsid w:val="006E61C5"/>
    <w:rsid w:val="006E61FD"/>
    <w:rsid w:val="006E6568"/>
    <w:rsid w:val="006E6E7E"/>
    <w:rsid w:val="006E7771"/>
    <w:rsid w:val="006E7EA6"/>
    <w:rsid w:val="006F0776"/>
    <w:rsid w:val="006F09A4"/>
    <w:rsid w:val="006F1234"/>
    <w:rsid w:val="006F135A"/>
    <w:rsid w:val="006F1AF1"/>
    <w:rsid w:val="006F2208"/>
    <w:rsid w:val="006F2F31"/>
    <w:rsid w:val="006F344E"/>
    <w:rsid w:val="006F388F"/>
    <w:rsid w:val="006F41AB"/>
    <w:rsid w:val="006F4295"/>
    <w:rsid w:val="006F47C1"/>
    <w:rsid w:val="006F4873"/>
    <w:rsid w:val="006F4943"/>
    <w:rsid w:val="006F50F4"/>
    <w:rsid w:val="006F5615"/>
    <w:rsid w:val="006F5F88"/>
    <w:rsid w:val="006F6228"/>
    <w:rsid w:val="006F78D2"/>
    <w:rsid w:val="006F7A38"/>
    <w:rsid w:val="006F7A4F"/>
    <w:rsid w:val="00700069"/>
    <w:rsid w:val="00700A8D"/>
    <w:rsid w:val="00700D2F"/>
    <w:rsid w:val="00700E96"/>
    <w:rsid w:val="00700EAA"/>
    <w:rsid w:val="0070114A"/>
    <w:rsid w:val="00701404"/>
    <w:rsid w:val="00701502"/>
    <w:rsid w:val="00701703"/>
    <w:rsid w:val="00701AED"/>
    <w:rsid w:val="00701DC3"/>
    <w:rsid w:val="00702568"/>
    <w:rsid w:val="00702572"/>
    <w:rsid w:val="00703115"/>
    <w:rsid w:val="00703AB3"/>
    <w:rsid w:val="007044BB"/>
    <w:rsid w:val="007048D6"/>
    <w:rsid w:val="007053FE"/>
    <w:rsid w:val="0070550D"/>
    <w:rsid w:val="007057FD"/>
    <w:rsid w:val="007061D4"/>
    <w:rsid w:val="0070640C"/>
    <w:rsid w:val="00706DB7"/>
    <w:rsid w:val="00706DCF"/>
    <w:rsid w:val="00707CB2"/>
    <w:rsid w:val="00710090"/>
    <w:rsid w:val="00710906"/>
    <w:rsid w:val="00710ECA"/>
    <w:rsid w:val="00711A65"/>
    <w:rsid w:val="00711AB3"/>
    <w:rsid w:val="00712073"/>
    <w:rsid w:val="00712142"/>
    <w:rsid w:val="00712519"/>
    <w:rsid w:val="00712753"/>
    <w:rsid w:val="0071278E"/>
    <w:rsid w:val="007134E5"/>
    <w:rsid w:val="00713A63"/>
    <w:rsid w:val="00714173"/>
    <w:rsid w:val="007153C2"/>
    <w:rsid w:val="00715584"/>
    <w:rsid w:val="0071562A"/>
    <w:rsid w:val="0071586D"/>
    <w:rsid w:val="00715917"/>
    <w:rsid w:val="00715E63"/>
    <w:rsid w:val="00716707"/>
    <w:rsid w:val="007167C5"/>
    <w:rsid w:val="007172A7"/>
    <w:rsid w:val="0071746F"/>
    <w:rsid w:val="007174D9"/>
    <w:rsid w:val="00717535"/>
    <w:rsid w:val="007177B7"/>
    <w:rsid w:val="007201D6"/>
    <w:rsid w:val="00720E4B"/>
    <w:rsid w:val="0072107F"/>
    <w:rsid w:val="007215A0"/>
    <w:rsid w:val="0072172B"/>
    <w:rsid w:val="00721B36"/>
    <w:rsid w:val="00721C46"/>
    <w:rsid w:val="0072229A"/>
    <w:rsid w:val="00722378"/>
    <w:rsid w:val="00722E4E"/>
    <w:rsid w:val="00723164"/>
    <w:rsid w:val="0072347C"/>
    <w:rsid w:val="007234FD"/>
    <w:rsid w:val="00723B38"/>
    <w:rsid w:val="00723E40"/>
    <w:rsid w:val="007241A2"/>
    <w:rsid w:val="00725001"/>
    <w:rsid w:val="007250FB"/>
    <w:rsid w:val="00725A4A"/>
    <w:rsid w:val="00726857"/>
    <w:rsid w:val="0072751E"/>
    <w:rsid w:val="0072753B"/>
    <w:rsid w:val="007317A7"/>
    <w:rsid w:val="00732066"/>
    <w:rsid w:val="0073319A"/>
    <w:rsid w:val="0073330A"/>
    <w:rsid w:val="0073400E"/>
    <w:rsid w:val="00734117"/>
    <w:rsid w:val="00734976"/>
    <w:rsid w:val="00734DFA"/>
    <w:rsid w:val="00734DFF"/>
    <w:rsid w:val="007350D3"/>
    <w:rsid w:val="007357A7"/>
    <w:rsid w:val="007357D0"/>
    <w:rsid w:val="00735D6C"/>
    <w:rsid w:val="00736031"/>
    <w:rsid w:val="00736481"/>
    <w:rsid w:val="0073662B"/>
    <w:rsid w:val="00736685"/>
    <w:rsid w:val="00736794"/>
    <w:rsid w:val="00736C8D"/>
    <w:rsid w:val="00736CCD"/>
    <w:rsid w:val="00736F15"/>
    <w:rsid w:val="0073708C"/>
    <w:rsid w:val="0073755F"/>
    <w:rsid w:val="007378D6"/>
    <w:rsid w:val="00737CE4"/>
    <w:rsid w:val="00740474"/>
    <w:rsid w:val="00740643"/>
    <w:rsid w:val="00740DF5"/>
    <w:rsid w:val="00741013"/>
    <w:rsid w:val="00741576"/>
    <w:rsid w:val="00741783"/>
    <w:rsid w:val="007418E4"/>
    <w:rsid w:val="007420D5"/>
    <w:rsid w:val="007423E8"/>
    <w:rsid w:val="00742F20"/>
    <w:rsid w:val="00742F87"/>
    <w:rsid w:val="0074510F"/>
    <w:rsid w:val="0074528F"/>
    <w:rsid w:val="00745B93"/>
    <w:rsid w:val="00745BD4"/>
    <w:rsid w:val="00745E34"/>
    <w:rsid w:val="00745FA8"/>
    <w:rsid w:val="0074755E"/>
    <w:rsid w:val="007476C6"/>
    <w:rsid w:val="00747AC1"/>
    <w:rsid w:val="00750BBA"/>
    <w:rsid w:val="00750E41"/>
    <w:rsid w:val="00750FD3"/>
    <w:rsid w:val="00751A25"/>
    <w:rsid w:val="0075238B"/>
    <w:rsid w:val="007529E6"/>
    <w:rsid w:val="00752A6B"/>
    <w:rsid w:val="00752F20"/>
    <w:rsid w:val="0075398A"/>
    <w:rsid w:val="00753EBF"/>
    <w:rsid w:val="0075456E"/>
    <w:rsid w:val="007545CE"/>
    <w:rsid w:val="00754779"/>
    <w:rsid w:val="00755A5B"/>
    <w:rsid w:val="00755B01"/>
    <w:rsid w:val="0075646D"/>
    <w:rsid w:val="007565C3"/>
    <w:rsid w:val="00756660"/>
    <w:rsid w:val="007569DD"/>
    <w:rsid w:val="00756AFE"/>
    <w:rsid w:val="007572E9"/>
    <w:rsid w:val="007574AF"/>
    <w:rsid w:val="0075752C"/>
    <w:rsid w:val="00757774"/>
    <w:rsid w:val="007579A6"/>
    <w:rsid w:val="00757ADC"/>
    <w:rsid w:val="00757BA5"/>
    <w:rsid w:val="00760177"/>
    <w:rsid w:val="00760CFB"/>
    <w:rsid w:val="00760D53"/>
    <w:rsid w:val="007613F4"/>
    <w:rsid w:val="007619AC"/>
    <w:rsid w:val="007622E9"/>
    <w:rsid w:val="007626AC"/>
    <w:rsid w:val="00762AB4"/>
    <w:rsid w:val="00762F26"/>
    <w:rsid w:val="0076354B"/>
    <w:rsid w:val="00763B7E"/>
    <w:rsid w:val="00763E08"/>
    <w:rsid w:val="00763E43"/>
    <w:rsid w:val="00763FFB"/>
    <w:rsid w:val="00764115"/>
    <w:rsid w:val="007641BB"/>
    <w:rsid w:val="0076440C"/>
    <w:rsid w:val="007646B0"/>
    <w:rsid w:val="00765645"/>
    <w:rsid w:val="007656C6"/>
    <w:rsid w:val="007658DA"/>
    <w:rsid w:val="00765D98"/>
    <w:rsid w:val="00766518"/>
    <w:rsid w:val="007668B4"/>
    <w:rsid w:val="007671B0"/>
    <w:rsid w:val="0077019B"/>
    <w:rsid w:val="00770265"/>
    <w:rsid w:val="007704E4"/>
    <w:rsid w:val="00770623"/>
    <w:rsid w:val="0077188B"/>
    <w:rsid w:val="0077207F"/>
    <w:rsid w:val="00772352"/>
    <w:rsid w:val="00772401"/>
    <w:rsid w:val="00772434"/>
    <w:rsid w:val="00772482"/>
    <w:rsid w:val="0077257E"/>
    <w:rsid w:val="00772AA1"/>
    <w:rsid w:val="00773373"/>
    <w:rsid w:val="00773636"/>
    <w:rsid w:val="00774040"/>
    <w:rsid w:val="007747C5"/>
    <w:rsid w:val="007762A4"/>
    <w:rsid w:val="0077654D"/>
    <w:rsid w:val="00776641"/>
    <w:rsid w:val="00776B9F"/>
    <w:rsid w:val="007771C3"/>
    <w:rsid w:val="007774E6"/>
    <w:rsid w:val="00777867"/>
    <w:rsid w:val="0078044B"/>
    <w:rsid w:val="00780663"/>
    <w:rsid w:val="00780A6A"/>
    <w:rsid w:val="00781006"/>
    <w:rsid w:val="007810AE"/>
    <w:rsid w:val="00782944"/>
    <w:rsid w:val="00782D9A"/>
    <w:rsid w:val="007832EA"/>
    <w:rsid w:val="007836D5"/>
    <w:rsid w:val="00783E1D"/>
    <w:rsid w:val="00783FD3"/>
    <w:rsid w:val="007846C2"/>
    <w:rsid w:val="00785261"/>
    <w:rsid w:val="00785CD4"/>
    <w:rsid w:val="00786021"/>
    <w:rsid w:val="00786A83"/>
    <w:rsid w:val="00786F8E"/>
    <w:rsid w:val="00787487"/>
    <w:rsid w:val="00787985"/>
    <w:rsid w:val="0079061A"/>
    <w:rsid w:val="00790719"/>
    <w:rsid w:val="00790F61"/>
    <w:rsid w:val="00791EA0"/>
    <w:rsid w:val="00792005"/>
    <w:rsid w:val="007921B8"/>
    <w:rsid w:val="0079248D"/>
    <w:rsid w:val="00792521"/>
    <w:rsid w:val="00792E5A"/>
    <w:rsid w:val="00793393"/>
    <w:rsid w:val="0079356E"/>
    <w:rsid w:val="007937FC"/>
    <w:rsid w:val="007938DF"/>
    <w:rsid w:val="00793B5F"/>
    <w:rsid w:val="0079447A"/>
    <w:rsid w:val="00794911"/>
    <w:rsid w:val="00794FF0"/>
    <w:rsid w:val="007952A3"/>
    <w:rsid w:val="00795331"/>
    <w:rsid w:val="00795938"/>
    <w:rsid w:val="007961A1"/>
    <w:rsid w:val="0079628A"/>
    <w:rsid w:val="0079667D"/>
    <w:rsid w:val="00796687"/>
    <w:rsid w:val="00796931"/>
    <w:rsid w:val="00796DFB"/>
    <w:rsid w:val="00796FC2"/>
    <w:rsid w:val="00797C78"/>
    <w:rsid w:val="00797E44"/>
    <w:rsid w:val="007A0489"/>
    <w:rsid w:val="007A072E"/>
    <w:rsid w:val="007A0BCC"/>
    <w:rsid w:val="007A0FF2"/>
    <w:rsid w:val="007A197C"/>
    <w:rsid w:val="007A1B88"/>
    <w:rsid w:val="007A28A6"/>
    <w:rsid w:val="007A2D6A"/>
    <w:rsid w:val="007A2ECA"/>
    <w:rsid w:val="007A333D"/>
    <w:rsid w:val="007A35E5"/>
    <w:rsid w:val="007A38D5"/>
    <w:rsid w:val="007A3BE6"/>
    <w:rsid w:val="007A445B"/>
    <w:rsid w:val="007A45CD"/>
    <w:rsid w:val="007A4727"/>
    <w:rsid w:val="007A5392"/>
    <w:rsid w:val="007A584E"/>
    <w:rsid w:val="007A5E00"/>
    <w:rsid w:val="007A6468"/>
    <w:rsid w:val="007A6B4F"/>
    <w:rsid w:val="007A6C07"/>
    <w:rsid w:val="007A77D6"/>
    <w:rsid w:val="007A7877"/>
    <w:rsid w:val="007A7D89"/>
    <w:rsid w:val="007A7E44"/>
    <w:rsid w:val="007B0150"/>
    <w:rsid w:val="007B02B2"/>
    <w:rsid w:val="007B06DD"/>
    <w:rsid w:val="007B1142"/>
    <w:rsid w:val="007B1362"/>
    <w:rsid w:val="007B1724"/>
    <w:rsid w:val="007B20BC"/>
    <w:rsid w:val="007B2138"/>
    <w:rsid w:val="007B22C7"/>
    <w:rsid w:val="007B24D0"/>
    <w:rsid w:val="007B2C65"/>
    <w:rsid w:val="007B2F22"/>
    <w:rsid w:val="007B3865"/>
    <w:rsid w:val="007B38EA"/>
    <w:rsid w:val="007B3A0B"/>
    <w:rsid w:val="007B3AF8"/>
    <w:rsid w:val="007B3CC9"/>
    <w:rsid w:val="007B3FC8"/>
    <w:rsid w:val="007B47C8"/>
    <w:rsid w:val="007B4C2D"/>
    <w:rsid w:val="007B4FD4"/>
    <w:rsid w:val="007B518B"/>
    <w:rsid w:val="007B54DB"/>
    <w:rsid w:val="007B55F5"/>
    <w:rsid w:val="007B5B70"/>
    <w:rsid w:val="007B5BE0"/>
    <w:rsid w:val="007B635B"/>
    <w:rsid w:val="007B7B8E"/>
    <w:rsid w:val="007B7E16"/>
    <w:rsid w:val="007C05D4"/>
    <w:rsid w:val="007C157E"/>
    <w:rsid w:val="007C20CE"/>
    <w:rsid w:val="007C23CF"/>
    <w:rsid w:val="007C2FE8"/>
    <w:rsid w:val="007C3349"/>
    <w:rsid w:val="007C483E"/>
    <w:rsid w:val="007C544E"/>
    <w:rsid w:val="007C56D6"/>
    <w:rsid w:val="007C5B80"/>
    <w:rsid w:val="007C7AF8"/>
    <w:rsid w:val="007C7E0C"/>
    <w:rsid w:val="007D014B"/>
    <w:rsid w:val="007D01D6"/>
    <w:rsid w:val="007D01E8"/>
    <w:rsid w:val="007D07BF"/>
    <w:rsid w:val="007D0D54"/>
    <w:rsid w:val="007D182C"/>
    <w:rsid w:val="007D19E2"/>
    <w:rsid w:val="007D1B90"/>
    <w:rsid w:val="007D27E4"/>
    <w:rsid w:val="007D2B27"/>
    <w:rsid w:val="007D2BAA"/>
    <w:rsid w:val="007D314B"/>
    <w:rsid w:val="007D3286"/>
    <w:rsid w:val="007D3831"/>
    <w:rsid w:val="007D3D48"/>
    <w:rsid w:val="007D3FDA"/>
    <w:rsid w:val="007D4390"/>
    <w:rsid w:val="007D43FC"/>
    <w:rsid w:val="007D472D"/>
    <w:rsid w:val="007D484A"/>
    <w:rsid w:val="007D4B32"/>
    <w:rsid w:val="007D4ED6"/>
    <w:rsid w:val="007D5232"/>
    <w:rsid w:val="007D54AB"/>
    <w:rsid w:val="007D5F96"/>
    <w:rsid w:val="007D6274"/>
    <w:rsid w:val="007D63D8"/>
    <w:rsid w:val="007D6BAF"/>
    <w:rsid w:val="007D6FEA"/>
    <w:rsid w:val="007D793E"/>
    <w:rsid w:val="007D7DF8"/>
    <w:rsid w:val="007E0201"/>
    <w:rsid w:val="007E1057"/>
    <w:rsid w:val="007E1A0D"/>
    <w:rsid w:val="007E1C24"/>
    <w:rsid w:val="007E1EED"/>
    <w:rsid w:val="007E33C2"/>
    <w:rsid w:val="007E3C73"/>
    <w:rsid w:val="007E3FE4"/>
    <w:rsid w:val="007E407B"/>
    <w:rsid w:val="007E4444"/>
    <w:rsid w:val="007E49DD"/>
    <w:rsid w:val="007E49FC"/>
    <w:rsid w:val="007E5356"/>
    <w:rsid w:val="007E5938"/>
    <w:rsid w:val="007E5F02"/>
    <w:rsid w:val="007E600B"/>
    <w:rsid w:val="007E62B6"/>
    <w:rsid w:val="007E6913"/>
    <w:rsid w:val="007E6EB4"/>
    <w:rsid w:val="007E7888"/>
    <w:rsid w:val="007F04AF"/>
    <w:rsid w:val="007F0729"/>
    <w:rsid w:val="007F07D2"/>
    <w:rsid w:val="007F0967"/>
    <w:rsid w:val="007F0FE3"/>
    <w:rsid w:val="007F12EE"/>
    <w:rsid w:val="007F12FD"/>
    <w:rsid w:val="007F1511"/>
    <w:rsid w:val="007F1F3A"/>
    <w:rsid w:val="007F20B5"/>
    <w:rsid w:val="007F26A2"/>
    <w:rsid w:val="007F2CE2"/>
    <w:rsid w:val="007F33FE"/>
    <w:rsid w:val="007F34CA"/>
    <w:rsid w:val="007F357E"/>
    <w:rsid w:val="007F37AF"/>
    <w:rsid w:val="007F3827"/>
    <w:rsid w:val="007F3885"/>
    <w:rsid w:val="007F3C5F"/>
    <w:rsid w:val="007F3DC4"/>
    <w:rsid w:val="007F4759"/>
    <w:rsid w:val="007F4831"/>
    <w:rsid w:val="007F4EFC"/>
    <w:rsid w:val="007F5232"/>
    <w:rsid w:val="007F5446"/>
    <w:rsid w:val="007F56B7"/>
    <w:rsid w:val="007F58F8"/>
    <w:rsid w:val="007F5962"/>
    <w:rsid w:val="007F59CA"/>
    <w:rsid w:val="007F5BF6"/>
    <w:rsid w:val="007F6064"/>
    <w:rsid w:val="007F6685"/>
    <w:rsid w:val="007F6886"/>
    <w:rsid w:val="007F6A64"/>
    <w:rsid w:val="007F6A95"/>
    <w:rsid w:val="0080005D"/>
    <w:rsid w:val="00800F74"/>
    <w:rsid w:val="00800F7C"/>
    <w:rsid w:val="00801149"/>
    <w:rsid w:val="00801B06"/>
    <w:rsid w:val="00801FF3"/>
    <w:rsid w:val="00803500"/>
    <w:rsid w:val="00803F1D"/>
    <w:rsid w:val="00803F7D"/>
    <w:rsid w:val="00804166"/>
    <w:rsid w:val="0080568E"/>
    <w:rsid w:val="00805AE1"/>
    <w:rsid w:val="00805E14"/>
    <w:rsid w:val="0080660E"/>
    <w:rsid w:val="0080689A"/>
    <w:rsid w:val="00806919"/>
    <w:rsid w:val="00806E6C"/>
    <w:rsid w:val="008079AF"/>
    <w:rsid w:val="00810293"/>
    <w:rsid w:val="008104F7"/>
    <w:rsid w:val="008107D3"/>
    <w:rsid w:val="008107EB"/>
    <w:rsid w:val="008111EF"/>
    <w:rsid w:val="0081147D"/>
    <w:rsid w:val="00811C32"/>
    <w:rsid w:val="00811C50"/>
    <w:rsid w:val="00811E6C"/>
    <w:rsid w:val="00812038"/>
    <w:rsid w:val="008124F2"/>
    <w:rsid w:val="00812EA2"/>
    <w:rsid w:val="00812F46"/>
    <w:rsid w:val="008135AB"/>
    <w:rsid w:val="008135C2"/>
    <w:rsid w:val="008139A7"/>
    <w:rsid w:val="00813AFE"/>
    <w:rsid w:val="00813B3A"/>
    <w:rsid w:val="00814B5A"/>
    <w:rsid w:val="00814B80"/>
    <w:rsid w:val="008150EF"/>
    <w:rsid w:val="00815BEB"/>
    <w:rsid w:val="00816014"/>
    <w:rsid w:val="0081660B"/>
    <w:rsid w:val="00816FA5"/>
    <w:rsid w:val="008175E7"/>
    <w:rsid w:val="00817AF4"/>
    <w:rsid w:val="008201EF"/>
    <w:rsid w:val="00820633"/>
    <w:rsid w:val="008212F7"/>
    <w:rsid w:val="0082167D"/>
    <w:rsid w:val="00822097"/>
    <w:rsid w:val="00822BFE"/>
    <w:rsid w:val="00822F17"/>
    <w:rsid w:val="00823266"/>
    <w:rsid w:val="00823468"/>
    <w:rsid w:val="0082421F"/>
    <w:rsid w:val="008247ED"/>
    <w:rsid w:val="00824B88"/>
    <w:rsid w:val="008252B2"/>
    <w:rsid w:val="008253E3"/>
    <w:rsid w:val="00825B80"/>
    <w:rsid w:val="00825F65"/>
    <w:rsid w:val="0082613F"/>
    <w:rsid w:val="0082731D"/>
    <w:rsid w:val="00827CD0"/>
    <w:rsid w:val="00827E2D"/>
    <w:rsid w:val="00827FE8"/>
    <w:rsid w:val="00830230"/>
    <w:rsid w:val="008304EA"/>
    <w:rsid w:val="00830C01"/>
    <w:rsid w:val="00830DA0"/>
    <w:rsid w:val="00831168"/>
    <w:rsid w:val="00831434"/>
    <w:rsid w:val="00832937"/>
    <w:rsid w:val="00832D00"/>
    <w:rsid w:val="00833CB2"/>
    <w:rsid w:val="0083449B"/>
    <w:rsid w:val="00834968"/>
    <w:rsid w:val="00834B5A"/>
    <w:rsid w:val="00835126"/>
    <w:rsid w:val="00835D19"/>
    <w:rsid w:val="00835F2E"/>
    <w:rsid w:val="00836924"/>
    <w:rsid w:val="00837236"/>
    <w:rsid w:val="008375B3"/>
    <w:rsid w:val="0083785D"/>
    <w:rsid w:val="00837DF3"/>
    <w:rsid w:val="00837FBF"/>
    <w:rsid w:val="0084029D"/>
    <w:rsid w:val="00840576"/>
    <w:rsid w:val="00840B1D"/>
    <w:rsid w:val="008411F3"/>
    <w:rsid w:val="00841435"/>
    <w:rsid w:val="008414D0"/>
    <w:rsid w:val="008416FD"/>
    <w:rsid w:val="00841793"/>
    <w:rsid w:val="008417E9"/>
    <w:rsid w:val="00841DA3"/>
    <w:rsid w:val="00842037"/>
    <w:rsid w:val="00842278"/>
    <w:rsid w:val="008434EB"/>
    <w:rsid w:val="00843688"/>
    <w:rsid w:val="0084401C"/>
    <w:rsid w:val="00844333"/>
    <w:rsid w:val="0084464B"/>
    <w:rsid w:val="0084474D"/>
    <w:rsid w:val="0084488A"/>
    <w:rsid w:val="0084528B"/>
    <w:rsid w:val="00845BC4"/>
    <w:rsid w:val="008462A9"/>
    <w:rsid w:val="008463B2"/>
    <w:rsid w:val="00847021"/>
    <w:rsid w:val="0084787A"/>
    <w:rsid w:val="00851C45"/>
    <w:rsid w:val="00852646"/>
    <w:rsid w:val="00853250"/>
    <w:rsid w:val="00853EBD"/>
    <w:rsid w:val="00854DAC"/>
    <w:rsid w:val="00854E6B"/>
    <w:rsid w:val="0085569A"/>
    <w:rsid w:val="00855CAA"/>
    <w:rsid w:val="008566AA"/>
    <w:rsid w:val="00856A1A"/>
    <w:rsid w:val="00856A20"/>
    <w:rsid w:val="00857318"/>
    <w:rsid w:val="00857592"/>
    <w:rsid w:val="0085784B"/>
    <w:rsid w:val="008603E6"/>
    <w:rsid w:val="0086053A"/>
    <w:rsid w:val="008618D4"/>
    <w:rsid w:val="0086190E"/>
    <w:rsid w:val="00861A3E"/>
    <w:rsid w:val="00861C51"/>
    <w:rsid w:val="008626FB"/>
    <w:rsid w:val="008628BA"/>
    <w:rsid w:val="00862C23"/>
    <w:rsid w:val="008631F0"/>
    <w:rsid w:val="00864140"/>
    <w:rsid w:val="00864820"/>
    <w:rsid w:val="00864861"/>
    <w:rsid w:val="0086487C"/>
    <w:rsid w:val="0086533D"/>
    <w:rsid w:val="00865D33"/>
    <w:rsid w:val="00866364"/>
    <w:rsid w:val="008668BC"/>
    <w:rsid w:val="00866C1D"/>
    <w:rsid w:val="0087123F"/>
    <w:rsid w:val="008714E2"/>
    <w:rsid w:val="00871A52"/>
    <w:rsid w:val="00871F05"/>
    <w:rsid w:val="00871FD5"/>
    <w:rsid w:val="00872027"/>
    <w:rsid w:val="0087222B"/>
    <w:rsid w:val="008728C8"/>
    <w:rsid w:val="00872BFB"/>
    <w:rsid w:val="00872C3E"/>
    <w:rsid w:val="008733B3"/>
    <w:rsid w:val="008735B7"/>
    <w:rsid w:val="00873975"/>
    <w:rsid w:val="00873CA6"/>
    <w:rsid w:val="008740C4"/>
    <w:rsid w:val="008744D9"/>
    <w:rsid w:val="00874691"/>
    <w:rsid w:val="008753A2"/>
    <w:rsid w:val="00875783"/>
    <w:rsid w:val="0087581C"/>
    <w:rsid w:val="00875CCF"/>
    <w:rsid w:val="00876493"/>
    <w:rsid w:val="008764D2"/>
    <w:rsid w:val="0087660A"/>
    <w:rsid w:val="0087665F"/>
    <w:rsid w:val="00876975"/>
    <w:rsid w:val="00876E81"/>
    <w:rsid w:val="00877178"/>
    <w:rsid w:val="008774BC"/>
    <w:rsid w:val="00877BB1"/>
    <w:rsid w:val="00880545"/>
    <w:rsid w:val="00880D49"/>
    <w:rsid w:val="00880DAA"/>
    <w:rsid w:val="00881141"/>
    <w:rsid w:val="00881378"/>
    <w:rsid w:val="008824E9"/>
    <w:rsid w:val="0088256A"/>
    <w:rsid w:val="0088294D"/>
    <w:rsid w:val="008833F2"/>
    <w:rsid w:val="008836FD"/>
    <w:rsid w:val="0088489E"/>
    <w:rsid w:val="00885A0E"/>
    <w:rsid w:val="008865AD"/>
    <w:rsid w:val="008865DC"/>
    <w:rsid w:val="008869F6"/>
    <w:rsid w:val="00886DB9"/>
    <w:rsid w:val="008870C6"/>
    <w:rsid w:val="008875E5"/>
    <w:rsid w:val="0089048A"/>
    <w:rsid w:val="008907BD"/>
    <w:rsid w:val="008917E7"/>
    <w:rsid w:val="00891DA8"/>
    <w:rsid w:val="0089246D"/>
    <w:rsid w:val="00892842"/>
    <w:rsid w:val="008928FB"/>
    <w:rsid w:val="00892A1A"/>
    <w:rsid w:val="0089313F"/>
    <w:rsid w:val="00893A6C"/>
    <w:rsid w:val="00893B92"/>
    <w:rsid w:val="00893E7C"/>
    <w:rsid w:val="00893FAF"/>
    <w:rsid w:val="00894117"/>
    <w:rsid w:val="008941ED"/>
    <w:rsid w:val="00894374"/>
    <w:rsid w:val="008944C7"/>
    <w:rsid w:val="00894787"/>
    <w:rsid w:val="00894974"/>
    <w:rsid w:val="00894EBA"/>
    <w:rsid w:val="00895876"/>
    <w:rsid w:val="0089590C"/>
    <w:rsid w:val="00895B59"/>
    <w:rsid w:val="00895E31"/>
    <w:rsid w:val="008960CE"/>
    <w:rsid w:val="00896355"/>
    <w:rsid w:val="008968B5"/>
    <w:rsid w:val="00896E42"/>
    <w:rsid w:val="00897163"/>
    <w:rsid w:val="008973B1"/>
    <w:rsid w:val="00897629"/>
    <w:rsid w:val="008A00DF"/>
    <w:rsid w:val="008A0737"/>
    <w:rsid w:val="008A09C8"/>
    <w:rsid w:val="008A0D3D"/>
    <w:rsid w:val="008A0F36"/>
    <w:rsid w:val="008A1758"/>
    <w:rsid w:val="008A1F8C"/>
    <w:rsid w:val="008A230F"/>
    <w:rsid w:val="008A2444"/>
    <w:rsid w:val="008A2ACF"/>
    <w:rsid w:val="008A2D27"/>
    <w:rsid w:val="008A2FC8"/>
    <w:rsid w:val="008A3133"/>
    <w:rsid w:val="008A3346"/>
    <w:rsid w:val="008A37E7"/>
    <w:rsid w:val="008A3F72"/>
    <w:rsid w:val="008A49E3"/>
    <w:rsid w:val="008A4B0C"/>
    <w:rsid w:val="008A4BD8"/>
    <w:rsid w:val="008A51A1"/>
    <w:rsid w:val="008A5BCA"/>
    <w:rsid w:val="008A61A0"/>
    <w:rsid w:val="008A6B5B"/>
    <w:rsid w:val="008A6E2C"/>
    <w:rsid w:val="008A762F"/>
    <w:rsid w:val="008A76CC"/>
    <w:rsid w:val="008A7DBF"/>
    <w:rsid w:val="008B0099"/>
    <w:rsid w:val="008B0295"/>
    <w:rsid w:val="008B066A"/>
    <w:rsid w:val="008B06C7"/>
    <w:rsid w:val="008B087E"/>
    <w:rsid w:val="008B0C01"/>
    <w:rsid w:val="008B0C65"/>
    <w:rsid w:val="008B0E00"/>
    <w:rsid w:val="008B19EA"/>
    <w:rsid w:val="008B1D86"/>
    <w:rsid w:val="008B1F97"/>
    <w:rsid w:val="008B2071"/>
    <w:rsid w:val="008B2145"/>
    <w:rsid w:val="008B23CE"/>
    <w:rsid w:val="008B2E69"/>
    <w:rsid w:val="008B2EF6"/>
    <w:rsid w:val="008B3331"/>
    <w:rsid w:val="008B3B29"/>
    <w:rsid w:val="008B3C83"/>
    <w:rsid w:val="008B449D"/>
    <w:rsid w:val="008B4604"/>
    <w:rsid w:val="008B5249"/>
    <w:rsid w:val="008B5676"/>
    <w:rsid w:val="008B5DCA"/>
    <w:rsid w:val="008B6FE2"/>
    <w:rsid w:val="008B778B"/>
    <w:rsid w:val="008B7A09"/>
    <w:rsid w:val="008B7E8A"/>
    <w:rsid w:val="008C0785"/>
    <w:rsid w:val="008C0C08"/>
    <w:rsid w:val="008C0FC5"/>
    <w:rsid w:val="008C1483"/>
    <w:rsid w:val="008C1499"/>
    <w:rsid w:val="008C1D7B"/>
    <w:rsid w:val="008C2135"/>
    <w:rsid w:val="008C2430"/>
    <w:rsid w:val="008C2818"/>
    <w:rsid w:val="008C2BA3"/>
    <w:rsid w:val="008C2C48"/>
    <w:rsid w:val="008C4026"/>
    <w:rsid w:val="008C46A0"/>
    <w:rsid w:val="008C5B27"/>
    <w:rsid w:val="008C5C03"/>
    <w:rsid w:val="008C5C26"/>
    <w:rsid w:val="008C6653"/>
    <w:rsid w:val="008C73EB"/>
    <w:rsid w:val="008C7B3A"/>
    <w:rsid w:val="008C7E27"/>
    <w:rsid w:val="008D000E"/>
    <w:rsid w:val="008D067C"/>
    <w:rsid w:val="008D0E5D"/>
    <w:rsid w:val="008D0F35"/>
    <w:rsid w:val="008D12F3"/>
    <w:rsid w:val="008D1476"/>
    <w:rsid w:val="008D1E65"/>
    <w:rsid w:val="008D1FF7"/>
    <w:rsid w:val="008D3750"/>
    <w:rsid w:val="008D3BD3"/>
    <w:rsid w:val="008D44C9"/>
    <w:rsid w:val="008D480B"/>
    <w:rsid w:val="008D4BF9"/>
    <w:rsid w:val="008D4C0B"/>
    <w:rsid w:val="008D4E55"/>
    <w:rsid w:val="008D55A8"/>
    <w:rsid w:val="008D6FB6"/>
    <w:rsid w:val="008E0261"/>
    <w:rsid w:val="008E0303"/>
    <w:rsid w:val="008E0BE7"/>
    <w:rsid w:val="008E1362"/>
    <w:rsid w:val="008E1422"/>
    <w:rsid w:val="008E15C8"/>
    <w:rsid w:val="008E17AB"/>
    <w:rsid w:val="008E1D9A"/>
    <w:rsid w:val="008E1DCF"/>
    <w:rsid w:val="008E23C9"/>
    <w:rsid w:val="008E2ED4"/>
    <w:rsid w:val="008E4BF4"/>
    <w:rsid w:val="008E4CCB"/>
    <w:rsid w:val="008E4EFA"/>
    <w:rsid w:val="008E521D"/>
    <w:rsid w:val="008E54E0"/>
    <w:rsid w:val="008E5D40"/>
    <w:rsid w:val="008E5E45"/>
    <w:rsid w:val="008E63D4"/>
    <w:rsid w:val="008E63F8"/>
    <w:rsid w:val="008E669F"/>
    <w:rsid w:val="008E6F00"/>
    <w:rsid w:val="008E77F3"/>
    <w:rsid w:val="008E79B7"/>
    <w:rsid w:val="008E7BA7"/>
    <w:rsid w:val="008E7CE1"/>
    <w:rsid w:val="008F0A7D"/>
    <w:rsid w:val="008F0DE7"/>
    <w:rsid w:val="008F124C"/>
    <w:rsid w:val="008F147A"/>
    <w:rsid w:val="008F155B"/>
    <w:rsid w:val="008F1606"/>
    <w:rsid w:val="008F183D"/>
    <w:rsid w:val="008F302F"/>
    <w:rsid w:val="008F310B"/>
    <w:rsid w:val="008F35A1"/>
    <w:rsid w:val="008F3911"/>
    <w:rsid w:val="008F4338"/>
    <w:rsid w:val="008F43EC"/>
    <w:rsid w:val="008F454D"/>
    <w:rsid w:val="008F4605"/>
    <w:rsid w:val="008F4797"/>
    <w:rsid w:val="008F579A"/>
    <w:rsid w:val="008F5C8F"/>
    <w:rsid w:val="008F60A0"/>
    <w:rsid w:val="008F617C"/>
    <w:rsid w:val="008F621F"/>
    <w:rsid w:val="008F66A7"/>
    <w:rsid w:val="008F67B9"/>
    <w:rsid w:val="008F6C1E"/>
    <w:rsid w:val="008F7675"/>
    <w:rsid w:val="008F7E46"/>
    <w:rsid w:val="00900285"/>
    <w:rsid w:val="0090036F"/>
    <w:rsid w:val="00900872"/>
    <w:rsid w:val="00900B26"/>
    <w:rsid w:val="00900BAB"/>
    <w:rsid w:val="00900EEE"/>
    <w:rsid w:val="00900FDE"/>
    <w:rsid w:val="009010EC"/>
    <w:rsid w:val="009011AD"/>
    <w:rsid w:val="009012CC"/>
    <w:rsid w:val="009013C2"/>
    <w:rsid w:val="00901413"/>
    <w:rsid w:val="00901438"/>
    <w:rsid w:val="009014B1"/>
    <w:rsid w:val="009015FB"/>
    <w:rsid w:val="0090183F"/>
    <w:rsid w:val="00901848"/>
    <w:rsid w:val="00902415"/>
    <w:rsid w:val="0090369C"/>
    <w:rsid w:val="00903D11"/>
    <w:rsid w:val="00903E46"/>
    <w:rsid w:val="00903E93"/>
    <w:rsid w:val="00904746"/>
    <w:rsid w:val="00904A74"/>
    <w:rsid w:val="00904B4C"/>
    <w:rsid w:val="00905D71"/>
    <w:rsid w:val="00906AFD"/>
    <w:rsid w:val="0091002E"/>
    <w:rsid w:val="0091006A"/>
    <w:rsid w:val="009100B8"/>
    <w:rsid w:val="00910307"/>
    <w:rsid w:val="00910430"/>
    <w:rsid w:val="0091088A"/>
    <w:rsid w:val="00910B82"/>
    <w:rsid w:val="00911EA7"/>
    <w:rsid w:val="0091210C"/>
    <w:rsid w:val="00912138"/>
    <w:rsid w:val="00912610"/>
    <w:rsid w:val="0091267F"/>
    <w:rsid w:val="00912F15"/>
    <w:rsid w:val="00913629"/>
    <w:rsid w:val="00913BF4"/>
    <w:rsid w:val="00913FC6"/>
    <w:rsid w:val="00914859"/>
    <w:rsid w:val="00914F25"/>
    <w:rsid w:val="009151AA"/>
    <w:rsid w:val="009151DF"/>
    <w:rsid w:val="00915AFB"/>
    <w:rsid w:val="00915B4A"/>
    <w:rsid w:val="00915CD0"/>
    <w:rsid w:val="00915DA9"/>
    <w:rsid w:val="00916113"/>
    <w:rsid w:val="009161AB"/>
    <w:rsid w:val="00916216"/>
    <w:rsid w:val="009169DE"/>
    <w:rsid w:val="0091710F"/>
    <w:rsid w:val="00917413"/>
    <w:rsid w:val="00917AD9"/>
    <w:rsid w:val="00917BE7"/>
    <w:rsid w:val="00920087"/>
    <w:rsid w:val="00920509"/>
    <w:rsid w:val="00921948"/>
    <w:rsid w:val="00921B62"/>
    <w:rsid w:val="00922101"/>
    <w:rsid w:val="00922165"/>
    <w:rsid w:val="009228E4"/>
    <w:rsid w:val="0092309E"/>
    <w:rsid w:val="00923891"/>
    <w:rsid w:val="00923DF4"/>
    <w:rsid w:val="0092448F"/>
    <w:rsid w:val="00924784"/>
    <w:rsid w:val="00924E9E"/>
    <w:rsid w:val="0092514B"/>
    <w:rsid w:val="00926333"/>
    <w:rsid w:val="00926DE6"/>
    <w:rsid w:val="0092706D"/>
    <w:rsid w:val="00927845"/>
    <w:rsid w:val="00927BAD"/>
    <w:rsid w:val="0093025F"/>
    <w:rsid w:val="009302AD"/>
    <w:rsid w:val="0093070F"/>
    <w:rsid w:val="00930C01"/>
    <w:rsid w:val="00932745"/>
    <w:rsid w:val="009328CE"/>
    <w:rsid w:val="00933373"/>
    <w:rsid w:val="009333CA"/>
    <w:rsid w:val="00933B5A"/>
    <w:rsid w:val="0093408D"/>
    <w:rsid w:val="00934283"/>
    <w:rsid w:val="00934C2C"/>
    <w:rsid w:val="00934FFA"/>
    <w:rsid w:val="009359F5"/>
    <w:rsid w:val="00935A5D"/>
    <w:rsid w:val="00935E13"/>
    <w:rsid w:val="00935FDF"/>
    <w:rsid w:val="0093605A"/>
    <w:rsid w:val="009366F6"/>
    <w:rsid w:val="00936947"/>
    <w:rsid w:val="00936EF1"/>
    <w:rsid w:val="00936F32"/>
    <w:rsid w:val="00937B47"/>
    <w:rsid w:val="009400BB"/>
    <w:rsid w:val="009405E4"/>
    <w:rsid w:val="00940684"/>
    <w:rsid w:val="0094098B"/>
    <w:rsid w:val="00940EBB"/>
    <w:rsid w:val="009410ED"/>
    <w:rsid w:val="0094121C"/>
    <w:rsid w:val="00941A32"/>
    <w:rsid w:val="00942086"/>
    <w:rsid w:val="00942144"/>
    <w:rsid w:val="00942397"/>
    <w:rsid w:val="00943321"/>
    <w:rsid w:val="009437B6"/>
    <w:rsid w:val="00943FAB"/>
    <w:rsid w:val="00944009"/>
    <w:rsid w:val="00944A7F"/>
    <w:rsid w:val="00944D89"/>
    <w:rsid w:val="00945089"/>
    <w:rsid w:val="009451D5"/>
    <w:rsid w:val="009453C0"/>
    <w:rsid w:val="00945EDC"/>
    <w:rsid w:val="00945F7C"/>
    <w:rsid w:val="00946D5B"/>
    <w:rsid w:val="009472B1"/>
    <w:rsid w:val="00947E4F"/>
    <w:rsid w:val="00950EC1"/>
    <w:rsid w:val="0095131A"/>
    <w:rsid w:val="009516B6"/>
    <w:rsid w:val="00951785"/>
    <w:rsid w:val="0095181D"/>
    <w:rsid w:val="00951F9D"/>
    <w:rsid w:val="00952079"/>
    <w:rsid w:val="00952275"/>
    <w:rsid w:val="0095267F"/>
    <w:rsid w:val="00952F0C"/>
    <w:rsid w:val="0095345C"/>
    <w:rsid w:val="009537ED"/>
    <w:rsid w:val="00953D51"/>
    <w:rsid w:val="0095424C"/>
    <w:rsid w:val="00954AAD"/>
    <w:rsid w:val="00955C23"/>
    <w:rsid w:val="00955C3C"/>
    <w:rsid w:val="00955FE8"/>
    <w:rsid w:val="00956A82"/>
    <w:rsid w:val="00956C48"/>
    <w:rsid w:val="00956E1C"/>
    <w:rsid w:val="00960335"/>
    <w:rsid w:val="009605EC"/>
    <w:rsid w:val="00960D75"/>
    <w:rsid w:val="0096132D"/>
    <w:rsid w:val="00961442"/>
    <w:rsid w:val="00961537"/>
    <w:rsid w:val="00962052"/>
    <w:rsid w:val="009623CF"/>
    <w:rsid w:val="009624F4"/>
    <w:rsid w:val="00962777"/>
    <w:rsid w:val="0096315D"/>
    <w:rsid w:val="00963243"/>
    <w:rsid w:val="009632AD"/>
    <w:rsid w:val="009640D6"/>
    <w:rsid w:val="00964102"/>
    <w:rsid w:val="00964466"/>
    <w:rsid w:val="009644DF"/>
    <w:rsid w:val="00964BEE"/>
    <w:rsid w:val="00965427"/>
    <w:rsid w:val="00965734"/>
    <w:rsid w:val="00965755"/>
    <w:rsid w:val="00965D17"/>
    <w:rsid w:val="0096670E"/>
    <w:rsid w:val="00966882"/>
    <w:rsid w:val="00966A7D"/>
    <w:rsid w:val="00966E46"/>
    <w:rsid w:val="009702EF"/>
    <w:rsid w:val="009703FC"/>
    <w:rsid w:val="009709A4"/>
    <w:rsid w:val="00970B90"/>
    <w:rsid w:val="009711FD"/>
    <w:rsid w:val="0097223B"/>
    <w:rsid w:val="00972425"/>
    <w:rsid w:val="009729E3"/>
    <w:rsid w:val="00972DF4"/>
    <w:rsid w:val="009737AD"/>
    <w:rsid w:val="00973AC8"/>
    <w:rsid w:val="0097452D"/>
    <w:rsid w:val="00974A6A"/>
    <w:rsid w:val="00974AFC"/>
    <w:rsid w:val="00974D6F"/>
    <w:rsid w:val="00974EAE"/>
    <w:rsid w:val="00975917"/>
    <w:rsid w:val="00975CA1"/>
    <w:rsid w:val="0097606A"/>
    <w:rsid w:val="009766A8"/>
    <w:rsid w:val="00976841"/>
    <w:rsid w:val="00976CE4"/>
    <w:rsid w:val="00976F77"/>
    <w:rsid w:val="009778E8"/>
    <w:rsid w:val="00980033"/>
    <w:rsid w:val="009807C8"/>
    <w:rsid w:val="0098152F"/>
    <w:rsid w:val="009817F8"/>
    <w:rsid w:val="0098259B"/>
    <w:rsid w:val="009825F1"/>
    <w:rsid w:val="00983174"/>
    <w:rsid w:val="0098356D"/>
    <w:rsid w:val="00983826"/>
    <w:rsid w:val="0098385E"/>
    <w:rsid w:val="00984123"/>
    <w:rsid w:val="00984B66"/>
    <w:rsid w:val="00984CDD"/>
    <w:rsid w:val="00985337"/>
    <w:rsid w:val="009855C0"/>
    <w:rsid w:val="0098566A"/>
    <w:rsid w:val="009862AE"/>
    <w:rsid w:val="009866C4"/>
    <w:rsid w:val="00986DA1"/>
    <w:rsid w:val="009871FE"/>
    <w:rsid w:val="009872AC"/>
    <w:rsid w:val="0098765F"/>
    <w:rsid w:val="00987899"/>
    <w:rsid w:val="009907D5"/>
    <w:rsid w:val="0099088D"/>
    <w:rsid w:val="009911DD"/>
    <w:rsid w:val="009913E5"/>
    <w:rsid w:val="009923E1"/>
    <w:rsid w:val="009923F7"/>
    <w:rsid w:val="0099250F"/>
    <w:rsid w:val="009929D8"/>
    <w:rsid w:val="0099302B"/>
    <w:rsid w:val="00993316"/>
    <w:rsid w:val="00993B56"/>
    <w:rsid w:val="00993E37"/>
    <w:rsid w:val="00993F22"/>
    <w:rsid w:val="00994132"/>
    <w:rsid w:val="00994398"/>
    <w:rsid w:val="00994929"/>
    <w:rsid w:val="00994BB4"/>
    <w:rsid w:val="009955D4"/>
    <w:rsid w:val="0099577E"/>
    <w:rsid w:val="00995920"/>
    <w:rsid w:val="00996F80"/>
    <w:rsid w:val="009971DE"/>
    <w:rsid w:val="00997B55"/>
    <w:rsid w:val="009A0017"/>
    <w:rsid w:val="009A0669"/>
    <w:rsid w:val="009A0FD4"/>
    <w:rsid w:val="009A1168"/>
    <w:rsid w:val="009A1180"/>
    <w:rsid w:val="009A1926"/>
    <w:rsid w:val="009A2664"/>
    <w:rsid w:val="009A28E5"/>
    <w:rsid w:val="009A2ED7"/>
    <w:rsid w:val="009A3458"/>
    <w:rsid w:val="009A3CE4"/>
    <w:rsid w:val="009A3EB5"/>
    <w:rsid w:val="009A3F4C"/>
    <w:rsid w:val="009A46C2"/>
    <w:rsid w:val="009A511E"/>
    <w:rsid w:val="009A54F8"/>
    <w:rsid w:val="009A5702"/>
    <w:rsid w:val="009A5755"/>
    <w:rsid w:val="009A5E99"/>
    <w:rsid w:val="009A671F"/>
    <w:rsid w:val="009A7F1D"/>
    <w:rsid w:val="009A7F21"/>
    <w:rsid w:val="009B04B8"/>
    <w:rsid w:val="009B0FBB"/>
    <w:rsid w:val="009B1134"/>
    <w:rsid w:val="009B1909"/>
    <w:rsid w:val="009B1AC3"/>
    <w:rsid w:val="009B20D5"/>
    <w:rsid w:val="009B28A7"/>
    <w:rsid w:val="009B2D1A"/>
    <w:rsid w:val="009B2F4C"/>
    <w:rsid w:val="009B457C"/>
    <w:rsid w:val="009B5921"/>
    <w:rsid w:val="009B6D69"/>
    <w:rsid w:val="009B6E4F"/>
    <w:rsid w:val="009B70A5"/>
    <w:rsid w:val="009B71C4"/>
    <w:rsid w:val="009C0118"/>
    <w:rsid w:val="009C093D"/>
    <w:rsid w:val="009C0C6A"/>
    <w:rsid w:val="009C0F5D"/>
    <w:rsid w:val="009C1607"/>
    <w:rsid w:val="009C2487"/>
    <w:rsid w:val="009C2588"/>
    <w:rsid w:val="009C2913"/>
    <w:rsid w:val="009C29E7"/>
    <w:rsid w:val="009C364B"/>
    <w:rsid w:val="009C3676"/>
    <w:rsid w:val="009C3832"/>
    <w:rsid w:val="009C3881"/>
    <w:rsid w:val="009C399D"/>
    <w:rsid w:val="009C4509"/>
    <w:rsid w:val="009C4EF5"/>
    <w:rsid w:val="009C507D"/>
    <w:rsid w:val="009C538E"/>
    <w:rsid w:val="009C5404"/>
    <w:rsid w:val="009C640B"/>
    <w:rsid w:val="009C66F6"/>
    <w:rsid w:val="009C678A"/>
    <w:rsid w:val="009C7047"/>
    <w:rsid w:val="009C7059"/>
    <w:rsid w:val="009C7243"/>
    <w:rsid w:val="009C7C28"/>
    <w:rsid w:val="009C7C37"/>
    <w:rsid w:val="009C7FE4"/>
    <w:rsid w:val="009D02B9"/>
    <w:rsid w:val="009D02C3"/>
    <w:rsid w:val="009D02DE"/>
    <w:rsid w:val="009D05BE"/>
    <w:rsid w:val="009D0AF7"/>
    <w:rsid w:val="009D1217"/>
    <w:rsid w:val="009D1481"/>
    <w:rsid w:val="009D201B"/>
    <w:rsid w:val="009D3031"/>
    <w:rsid w:val="009D3450"/>
    <w:rsid w:val="009D35DA"/>
    <w:rsid w:val="009D3ABB"/>
    <w:rsid w:val="009D3C6F"/>
    <w:rsid w:val="009D3F8B"/>
    <w:rsid w:val="009D458E"/>
    <w:rsid w:val="009D5153"/>
    <w:rsid w:val="009D551F"/>
    <w:rsid w:val="009D5964"/>
    <w:rsid w:val="009D5BBA"/>
    <w:rsid w:val="009D626B"/>
    <w:rsid w:val="009D64E2"/>
    <w:rsid w:val="009D6B67"/>
    <w:rsid w:val="009D79D8"/>
    <w:rsid w:val="009D7B24"/>
    <w:rsid w:val="009E1EE0"/>
    <w:rsid w:val="009E2032"/>
    <w:rsid w:val="009E2333"/>
    <w:rsid w:val="009E27A5"/>
    <w:rsid w:val="009E3082"/>
    <w:rsid w:val="009E4219"/>
    <w:rsid w:val="009E462C"/>
    <w:rsid w:val="009E588F"/>
    <w:rsid w:val="009E6DB6"/>
    <w:rsid w:val="009E727C"/>
    <w:rsid w:val="009E74BE"/>
    <w:rsid w:val="009E7771"/>
    <w:rsid w:val="009E79DF"/>
    <w:rsid w:val="009E7F7E"/>
    <w:rsid w:val="009F07C9"/>
    <w:rsid w:val="009F088D"/>
    <w:rsid w:val="009F0D5D"/>
    <w:rsid w:val="009F1303"/>
    <w:rsid w:val="009F16B3"/>
    <w:rsid w:val="009F1DD9"/>
    <w:rsid w:val="009F2076"/>
    <w:rsid w:val="009F2219"/>
    <w:rsid w:val="009F2448"/>
    <w:rsid w:val="009F25A5"/>
    <w:rsid w:val="009F25D5"/>
    <w:rsid w:val="009F2C51"/>
    <w:rsid w:val="009F2D60"/>
    <w:rsid w:val="009F2E7B"/>
    <w:rsid w:val="009F3E22"/>
    <w:rsid w:val="009F4180"/>
    <w:rsid w:val="009F484C"/>
    <w:rsid w:val="009F4DE5"/>
    <w:rsid w:val="009F5290"/>
    <w:rsid w:val="009F6780"/>
    <w:rsid w:val="009F6934"/>
    <w:rsid w:val="009F772E"/>
    <w:rsid w:val="009F7A5C"/>
    <w:rsid w:val="009F7AA8"/>
    <w:rsid w:val="009F7AEC"/>
    <w:rsid w:val="00A009ED"/>
    <w:rsid w:val="00A00B02"/>
    <w:rsid w:val="00A014F4"/>
    <w:rsid w:val="00A0192C"/>
    <w:rsid w:val="00A0285D"/>
    <w:rsid w:val="00A029C4"/>
    <w:rsid w:val="00A02A8B"/>
    <w:rsid w:val="00A02C36"/>
    <w:rsid w:val="00A03B8C"/>
    <w:rsid w:val="00A0426D"/>
    <w:rsid w:val="00A04CAD"/>
    <w:rsid w:val="00A05CD7"/>
    <w:rsid w:val="00A06C49"/>
    <w:rsid w:val="00A06CAE"/>
    <w:rsid w:val="00A06D09"/>
    <w:rsid w:val="00A06E73"/>
    <w:rsid w:val="00A0703A"/>
    <w:rsid w:val="00A072D8"/>
    <w:rsid w:val="00A075A1"/>
    <w:rsid w:val="00A07978"/>
    <w:rsid w:val="00A07D2F"/>
    <w:rsid w:val="00A07DF8"/>
    <w:rsid w:val="00A10102"/>
    <w:rsid w:val="00A1015C"/>
    <w:rsid w:val="00A103A8"/>
    <w:rsid w:val="00A105A3"/>
    <w:rsid w:val="00A1070E"/>
    <w:rsid w:val="00A10884"/>
    <w:rsid w:val="00A109D6"/>
    <w:rsid w:val="00A10BD0"/>
    <w:rsid w:val="00A114F2"/>
    <w:rsid w:val="00A1176A"/>
    <w:rsid w:val="00A11BD4"/>
    <w:rsid w:val="00A11D87"/>
    <w:rsid w:val="00A123EC"/>
    <w:rsid w:val="00A124E1"/>
    <w:rsid w:val="00A12A9A"/>
    <w:rsid w:val="00A13B8D"/>
    <w:rsid w:val="00A151C8"/>
    <w:rsid w:val="00A16245"/>
    <w:rsid w:val="00A16277"/>
    <w:rsid w:val="00A16CCD"/>
    <w:rsid w:val="00A16FD2"/>
    <w:rsid w:val="00A17790"/>
    <w:rsid w:val="00A17BF5"/>
    <w:rsid w:val="00A17FB1"/>
    <w:rsid w:val="00A20611"/>
    <w:rsid w:val="00A20B82"/>
    <w:rsid w:val="00A20B8C"/>
    <w:rsid w:val="00A212AC"/>
    <w:rsid w:val="00A21C0A"/>
    <w:rsid w:val="00A21F3E"/>
    <w:rsid w:val="00A2256F"/>
    <w:rsid w:val="00A22669"/>
    <w:rsid w:val="00A22D33"/>
    <w:rsid w:val="00A22DF0"/>
    <w:rsid w:val="00A22F63"/>
    <w:rsid w:val="00A239ED"/>
    <w:rsid w:val="00A23B2F"/>
    <w:rsid w:val="00A23DD9"/>
    <w:rsid w:val="00A244B2"/>
    <w:rsid w:val="00A24ED4"/>
    <w:rsid w:val="00A2567C"/>
    <w:rsid w:val="00A2577A"/>
    <w:rsid w:val="00A259A1"/>
    <w:rsid w:val="00A25AC4"/>
    <w:rsid w:val="00A2619A"/>
    <w:rsid w:val="00A267F0"/>
    <w:rsid w:val="00A2684F"/>
    <w:rsid w:val="00A2699A"/>
    <w:rsid w:val="00A26AE3"/>
    <w:rsid w:val="00A26CF7"/>
    <w:rsid w:val="00A27958"/>
    <w:rsid w:val="00A27DEE"/>
    <w:rsid w:val="00A306C9"/>
    <w:rsid w:val="00A30BA5"/>
    <w:rsid w:val="00A30F03"/>
    <w:rsid w:val="00A316E0"/>
    <w:rsid w:val="00A31759"/>
    <w:rsid w:val="00A3198D"/>
    <w:rsid w:val="00A31AF6"/>
    <w:rsid w:val="00A31C12"/>
    <w:rsid w:val="00A32958"/>
    <w:rsid w:val="00A32C2A"/>
    <w:rsid w:val="00A32EA5"/>
    <w:rsid w:val="00A33A67"/>
    <w:rsid w:val="00A33D7A"/>
    <w:rsid w:val="00A34059"/>
    <w:rsid w:val="00A34161"/>
    <w:rsid w:val="00A343C7"/>
    <w:rsid w:val="00A344E4"/>
    <w:rsid w:val="00A34514"/>
    <w:rsid w:val="00A34C10"/>
    <w:rsid w:val="00A34C30"/>
    <w:rsid w:val="00A34E75"/>
    <w:rsid w:val="00A34EEA"/>
    <w:rsid w:val="00A3544C"/>
    <w:rsid w:val="00A35931"/>
    <w:rsid w:val="00A36226"/>
    <w:rsid w:val="00A36E3B"/>
    <w:rsid w:val="00A37695"/>
    <w:rsid w:val="00A377A6"/>
    <w:rsid w:val="00A40458"/>
    <w:rsid w:val="00A40BCB"/>
    <w:rsid w:val="00A41035"/>
    <w:rsid w:val="00A4126D"/>
    <w:rsid w:val="00A414BE"/>
    <w:rsid w:val="00A4156D"/>
    <w:rsid w:val="00A41570"/>
    <w:rsid w:val="00A41CFE"/>
    <w:rsid w:val="00A423E2"/>
    <w:rsid w:val="00A42A29"/>
    <w:rsid w:val="00A42C62"/>
    <w:rsid w:val="00A42CA6"/>
    <w:rsid w:val="00A43E4F"/>
    <w:rsid w:val="00A444ED"/>
    <w:rsid w:val="00A44624"/>
    <w:rsid w:val="00A44B0F"/>
    <w:rsid w:val="00A44D0C"/>
    <w:rsid w:val="00A44EDF"/>
    <w:rsid w:val="00A44F1A"/>
    <w:rsid w:val="00A45932"/>
    <w:rsid w:val="00A45943"/>
    <w:rsid w:val="00A45EB0"/>
    <w:rsid w:val="00A45EBA"/>
    <w:rsid w:val="00A460F1"/>
    <w:rsid w:val="00A462FD"/>
    <w:rsid w:val="00A475A8"/>
    <w:rsid w:val="00A47633"/>
    <w:rsid w:val="00A50073"/>
    <w:rsid w:val="00A50552"/>
    <w:rsid w:val="00A50B29"/>
    <w:rsid w:val="00A5166A"/>
    <w:rsid w:val="00A519EF"/>
    <w:rsid w:val="00A51B29"/>
    <w:rsid w:val="00A51E70"/>
    <w:rsid w:val="00A52B4C"/>
    <w:rsid w:val="00A52DDE"/>
    <w:rsid w:val="00A533BE"/>
    <w:rsid w:val="00A53439"/>
    <w:rsid w:val="00A53630"/>
    <w:rsid w:val="00A536CC"/>
    <w:rsid w:val="00A538F6"/>
    <w:rsid w:val="00A542A2"/>
    <w:rsid w:val="00A545E5"/>
    <w:rsid w:val="00A547F8"/>
    <w:rsid w:val="00A549D1"/>
    <w:rsid w:val="00A54BBF"/>
    <w:rsid w:val="00A54F05"/>
    <w:rsid w:val="00A5505A"/>
    <w:rsid w:val="00A562F5"/>
    <w:rsid w:val="00A56385"/>
    <w:rsid w:val="00A568A0"/>
    <w:rsid w:val="00A568F4"/>
    <w:rsid w:val="00A569A0"/>
    <w:rsid w:val="00A574F2"/>
    <w:rsid w:val="00A579E1"/>
    <w:rsid w:val="00A57B48"/>
    <w:rsid w:val="00A601D5"/>
    <w:rsid w:val="00A609EC"/>
    <w:rsid w:val="00A60BFB"/>
    <w:rsid w:val="00A61382"/>
    <w:rsid w:val="00A6178B"/>
    <w:rsid w:val="00A619EF"/>
    <w:rsid w:val="00A623FF"/>
    <w:rsid w:val="00A628CB"/>
    <w:rsid w:val="00A62908"/>
    <w:rsid w:val="00A62D07"/>
    <w:rsid w:val="00A62F9C"/>
    <w:rsid w:val="00A6318B"/>
    <w:rsid w:val="00A63AB5"/>
    <w:rsid w:val="00A63E60"/>
    <w:rsid w:val="00A643A2"/>
    <w:rsid w:val="00A65953"/>
    <w:rsid w:val="00A665F4"/>
    <w:rsid w:val="00A66739"/>
    <w:rsid w:val="00A67CEF"/>
    <w:rsid w:val="00A70718"/>
    <w:rsid w:val="00A7084C"/>
    <w:rsid w:val="00A70957"/>
    <w:rsid w:val="00A70FD4"/>
    <w:rsid w:val="00A71240"/>
    <w:rsid w:val="00A7177E"/>
    <w:rsid w:val="00A7191D"/>
    <w:rsid w:val="00A71975"/>
    <w:rsid w:val="00A71C60"/>
    <w:rsid w:val="00A722D6"/>
    <w:rsid w:val="00A72818"/>
    <w:rsid w:val="00A72DC6"/>
    <w:rsid w:val="00A72FF4"/>
    <w:rsid w:val="00A73127"/>
    <w:rsid w:val="00A73683"/>
    <w:rsid w:val="00A73B86"/>
    <w:rsid w:val="00A73C5D"/>
    <w:rsid w:val="00A73DA0"/>
    <w:rsid w:val="00A73FEC"/>
    <w:rsid w:val="00A73FFF"/>
    <w:rsid w:val="00A74315"/>
    <w:rsid w:val="00A74647"/>
    <w:rsid w:val="00A749D0"/>
    <w:rsid w:val="00A74E6D"/>
    <w:rsid w:val="00A74E86"/>
    <w:rsid w:val="00A74EC9"/>
    <w:rsid w:val="00A751B9"/>
    <w:rsid w:val="00A752BA"/>
    <w:rsid w:val="00A75358"/>
    <w:rsid w:val="00A75531"/>
    <w:rsid w:val="00A75E5B"/>
    <w:rsid w:val="00A76420"/>
    <w:rsid w:val="00A76AE4"/>
    <w:rsid w:val="00A76F12"/>
    <w:rsid w:val="00A7761A"/>
    <w:rsid w:val="00A77CFB"/>
    <w:rsid w:val="00A77E9C"/>
    <w:rsid w:val="00A80253"/>
    <w:rsid w:val="00A8025C"/>
    <w:rsid w:val="00A808E2"/>
    <w:rsid w:val="00A80F10"/>
    <w:rsid w:val="00A8109C"/>
    <w:rsid w:val="00A815B3"/>
    <w:rsid w:val="00A81831"/>
    <w:rsid w:val="00A81D74"/>
    <w:rsid w:val="00A81F3A"/>
    <w:rsid w:val="00A82528"/>
    <w:rsid w:val="00A83BD4"/>
    <w:rsid w:val="00A83C23"/>
    <w:rsid w:val="00A84A6B"/>
    <w:rsid w:val="00A84EFC"/>
    <w:rsid w:val="00A85007"/>
    <w:rsid w:val="00A8556C"/>
    <w:rsid w:val="00A865DB"/>
    <w:rsid w:val="00A867F2"/>
    <w:rsid w:val="00A86B1C"/>
    <w:rsid w:val="00A877AA"/>
    <w:rsid w:val="00A8799A"/>
    <w:rsid w:val="00A87BF2"/>
    <w:rsid w:val="00A87F4A"/>
    <w:rsid w:val="00A9000E"/>
    <w:rsid w:val="00A919FB"/>
    <w:rsid w:val="00A925A1"/>
    <w:rsid w:val="00A92A35"/>
    <w:rsid w:val="00A930C5"/>
    <w:rsid w:val="00A93655"/>
    <w:rsid w:val="00A93661"/>
    <w:rsid w:val="00A93E5C"/>
    <w:rsid w:val="00A94FA5"/>
    <w:rsid w:val="00A954F5"/>
    <w:rsid w:val="00A959D2"/>
    <w:rsid w:val="00A95B5B"/>
    <w:rsid w:val="00A9661C"/>
    <w:rsid w:val="00A96F83"/>
    <w:rsid w:val="00A976AF"/>
    <w:rsid w:val="00A97C07"/>
    <w:rsid w:val="00A97C6A"/>
    <w:rsid w:val="00A97E1A"/>
    <w:rsid w:val="00AA06E4"/>
    <w:rsid w:val="00AA1311"/>
    <w:rsid w:val="00AA1961"/>
    <w:rsid w:val="00AA1B44"/>
    <w:rsid w:val="00AA1CA7"/>
    <w:rsid w:val="00AA272C"/>
    <w:rsid w:val="00AA2929"/>
    <w:rsid w:val="00AA2BF4"/>
    <w:rsid w:val="00AA313A"/>
    <w:rsid w:val="00AA3595"/>
    <w:rsid w:val="00AA49CB"/>
    <w:rsid w:val="00AA4B1F"/>
    <w:rsid w:val="00AA5138"/>
    <w:rsid w:val="00AA5A23"/>
    <w:rsid w:val="00AA60FD"/>
    <w:rsid w:val="00AA61D1"/>
    <w:rsid w:val="00AA6CFE"/>
    <w:rsid w:val="00AA6D92"/>
    <w:rsid w:val="00AA76CE"/>
    <w:rsid w:val="00AA7D2C"/>
    <w:rsid w:val="00AA7D59"/>
    <w:rsid w:val="00AB0F9E"/>
    <w:rsid w:val="00AB155E"/>
    <w:rsid w:val="00AB1C95"/>
    <w:rsid w:val="00AB1E59"/>
    <w:rsid w:val="00AB2EF6"/>
    <w:rsid w:val="00AB2FBC"/>
    <w:rsid w:val="00AB317A"/>
    <w:rsid w:val="00AB358B"/>
    <w:rsid w:val="00AB3BFB"/>
    <w:rsid w:val="00AB3CC7"/>
    <w:rsid w:val="00AB4625"/>
    <w:rsid w:val="00AB4856"/>
    <w:rsid w:val="00AB49B2"/>
    <w:rsid w:val="00AB4D4B"/>
    <w:rsid w:val="00AB4E3D"/>
    <w:rsid w:val="00AB4FE5"/>
    <w:rsid w:val="00AB5160"/>
    <w:rsid w:val="00AB58CE"/>
    <w:rsid w:val="00AB5917"/>
    <w:rsid w:val="00AB5DF1"/>
    <w:rsid w:val="00AB6554"/>
    <w:rsid w:val="00AB7150"/>
    <w:rsid w:val="00AB746B"/>
    <w:rsid w:val="00AB74DD"/>
    <w:rsid w:val="00AB7CD4"/>
    <w:rsid w:val="00AC0062"/>
    <w:rsid w:val="00AC00B8"/>
    <w:rsid w:val="00AC02D8"/>
    <w:rsid w:val="00AC07F4"/>
    <w:rsid w:val="00AC0A59"/>
    <w:rsid w:val="00AC1C9C"/>
    <w:rsid w:val="00AC1E6F"/>
    <w:rsid w:val="00AC224C"/>
    <w:rsid w:val="00AC301D"/>
    <w:rsid w:val="00AC314E"/>
    <w:rsid w:val="00AC3FB7"/>
    <w:rsid w:val="00AC4818"/>
    <w:rsid w:val="00AC4845"/>
    <w:rsid w:val="00AC4920"/>
    <w:rsid w:val="00AC49F8"/>
    <w:rsid w:val="00AC4E11"/>
    <w:rsid w:val="00AC5EC5"/>
    <w:rsid w:val="00AC5FE0"/>
    <w:rsid w:val="00AC6044"/>
    <w:rsid w:val="00AC60E3"/>
    <w:rsid w:val="00AC683B"/>
    <w:rsid w:val="00AC69EF"/>
    <w:rsid w:val="00AC6ACA"/>
    <w:rsid w:val="00AC6E1E"/>
    <w:rsid w:val="00AC72F5"/>
    <w:rsid w:val="00AC799F"/>
    <w:rsid w:val="00AC7AE0"/>
    <w:rsid w:val="00AC7C37"/>
    <w:rsid w:val="00AD008D"/>
    <w:rsid w:val="00AD04D1"/>
    <w:rsid w:val="00AD0702"/>
    <w:rsid w:val="00AD07B6"/>
    <w:rsid w:val="00AD0E5B"/>
    <w:rsid w:val="00AD27B1"/>
    <w:rsid w:val="00AD3D8F"/>
    <w:rsid w:val="00AD3EEF"/>
    <w:rsid w:val="00AD4946"/>
    <w:rsid w:val="00AD4E77"/>
    <w:rsid w:val="00AD50D1"/>
    <w:rsid w:val="00AD5781"/>
    <w:rsid w:val="00AD65D2"/>
    <w:rsid w:val="00AD666E"/>
    <w:rsid w:val="00AD694A"/>
    <w:rsid w:val="00AD6B8D"/>
    <w:rsid w:val="00AD6E14"/>
    <w:rsid w:val="00AD6F0D"/>
    <w:rsid w:val="00AD7575"/>
    <w:rsid w:val="00AD779A"/>
    <w:rsid w:val="00AD79FC"/>
    <w:rsid w:val="00AD7C7F"/>
    <w:rsid w:val="00AE0E3D"/>
    <w:rsid w:val="00AE0E79"/>
    <w:rsid w:val="00AE0F28"/>
    <w:rsid w:val="00AE1142"/>
    <w:rsid w:val="00AE1438"/>
    <w:rsid w:val="00AE19BC"/>
    <w:rsid w:val="00AE2368"/>
    <w:rsid w:val="00AE2DCD"/>
    <w:rsid w:val="00AE3552"/>
    <w:rsid w:val="00AE3E07"/>
    <w:rsid w:val="00AE4043"/>
    <w:rsid w:val="00AE462D"/>
    <w:rsid w:val="00AE4A85"/>
    <w:rsid w:val="00AE4E7D"/>
    <w:rsid w:val="00AE4E8F"/>
    <w:rsid w:val="00AE5147"/>
    <w:rsid w:val="00AE54FE"/>
    <w:rsid w:val="00AE5B81"/>
    <w:rsid w:val="00AE5C08"/>
    <w:rsid w:val="00AE5DE2"/>
    <w:rsid w:val="00AE63CE"/>
    <w:rsid w:val="00AE6C63"/>
    <w:rsid w:val="00AE6F29"/>
    <w:rsid w:val="00AE6F90"/>
    <w:rsid w:val="00AE7D56"/>
    <w:rsid w:val="00AF0349"/>
    <w:rsid w:val="00AF137A"/>
    <w:rsid w:val="00AF1536"/>
    <w:rsid w:val="00AF1DEB"/>
    <w:rsid w:val="00AF2705"/>
    <w:rsid w:val="00AF32FB"/>
    <w:rsid w:val="00AF4064"/>
    <w:rsid w:val="00AF409E"/>
    <w:rsid w:val="00AF489C"/>
    <w:rsid w:val="00AF4EC5"/>
    <w:rsid w:val="00AF4F07"/>
    <w:rsid w:val="00AF5959"/>
    <w:rsid w:val="00AF6238"/>
    <w:rsid w:val="00AF64C7"/>
    <w:rsid w:val="00AF6898"/>
    <w:rsid w:val="00AF68B3"/>
    <w:rsid w:val="00AF69A1"/>
    <w:rsid w:val="00AF6A7A"/>
    <w:rsid w:val="00AF71AC"/>
    <w:rsid w:val="00AF724B"/>
    <w:rsid w:val="00AF7551"/>
    <w:rsid w:val="00AF77B9"/>
    <w:rsid w:val="00B00B73"/>
    <w:rsid w:val="00B01685"/>
    <w:rsid w:val="00B01FB5"/>
    <w:rsid w:val="00B01FEF"/>
    <w:rsid w:val="00B02171"/>
    <w:rsid w:val="00B02249"/>
    <w:rsid w:val="00B027A9"/>
    <w:rsid w:val="00B02F90"/>
    <w:rsid w:val="00B03047"/>
    <w:rsid w:val="00B03204"/>
    <w:rsid w:val="00B053D1"/>
    <w:rsid w:val="00B05C16"/>
    <w:rsid w:val="00B06B8B"/>
    <w:rsid w:val="00B07235"/>
    <w:rsid w:val="00B076CF"/>
    <w:rsid w:val="00B100EB"/>
    <w:rsid w:val="00B1029E"/>
    <w:rsid w:val="00B11206"/>
    <w:rsid w:val="00B1121E"/>
    <w:rsid w:val="00B11263"/>
    <w:rsid w:val="00B1178A"/>
    <w:rsid w:val="00B11EFD"/>
    <w:rsid w:val="00B1230D"/>
    <w:rsid w:val="00B12701"/>
    <w:rsid w:val="00B12F5C"/>
    <w:rsid w:val="00B13650"/>
    <w:rsid w:val="00B138EC"/>
    <w:rsid w:val="00B13947"/>
    <w:rsid w:val="00B13F9E"/>
    <w:rsid w:val="00B14341"/>
    <w:rsid w:val="00B14589"/>
    <w:rsid w:val="00B15186"/>
    <w:rsid w:val="00B15A37"/>
    <w:rsid w:val="00B166AB"/>
    <w:rsid w:val="00B169DC"/>
    <w:rsid w:val="00B16E93"/>
    <w:rsid w:val="00B16FFE"/>
    <w:rsid w:val="00B17329"/>
    <w:rsid w:val="00B177D4"/>
    <w:rsid w:val="00B17FC3"/>
    <w:rsid w:val="00B2012C"/>
    <w:rsid w:val="00B20310"/>
    <w:rsid w:val="00B204B1"/>
    <w:rsid w:val="00B209E8"/>
    <w:rsid w:val="00B2103F"/>
    <w:rsid w:val="00B217BB"/>
    <w:rsid w:val="00B2185F"/>
    <w:rsid w:val="00B2202E"/>
    <w:rsid w:val="00B2246B"/>
    <w:rsid w:val="00B2291E"/>
    <w:rsid w:val="00B22DB7"/>
    <w:rsid w:val="00B2347A"/>
    <w:rsid w:val="00B239AC"/>
    <w:rsid w:val="00B23F07"/>
    <w:rsid w:val="00B24DE8"/>
    <w:rsid w:val="00B25071"/>
    <w:rsid w:val="00B2514E"/>
    <w:rsid w:val="00B257AF"/>
    <w:rsid w:val="00B25B67"/>
    <w:rsid w:val="00B26166"/>
    <w:rsid w:val="00B261B3"/>
    <w:rsid w:val="00B26CD5"/>
    <w:rsid w:val="00B271B7"/>
    <w:rsid w:val="00B27F87"/>
    <w:rsid w:val="00B3016D"/>
    <w:rsid w:val="00B309A8"/>
    <w:rsid w:val="00B30AE7"/>
    <w:rsid w:val="00B3124C"/>
    <w:rsid w:val="00B32162"/>
    <w:rsid w:val="00B32D54"/>
    <w:rsid w:val="00B32ECC"/>
    <w:rsid w:val="00B33078"/>
    <w:rsid w:val="00B330C2"/>
    <w:rsid w:val="00B342BF"/>
    <w:rsid w:val="00B345A5"/>
    <w:rsid w:val="00B346BD"/>
    <w:rsid w:val="00B34861"/>
    <w:rsid w:val="00B34AA6"/>
    <w:rsid w:val="00B355E2"/>
    <w:rsid w:val="00B360C3"/>
    <w:rsid w:val="00B36247"/>
    <w:rsid w:val="00B366A9"/>
    <w:rsid w:val="00B3702C"/>
    <w:rsid w:val="00B375CB"/>
    <w:rsid w:val="00B37982"/>
    <w:rsid w:val="00B37CF6"/>
    <w:rsid w:val="00B4014F"/>
    <w:rsid w:val="00B4057E"/>
    <w:rsid w:val="00B408A1"/>
    <w:rsid w:val="00B419F0"/>
    <w:rsid w:val="00B43009"/>
    <w:rsid w:val="00B43AD1"/>
    <w:rsid w:val="00B43BE4"/>
    <w:rsid w:val="00B44891"/>
    <w:rsid w:val="00B44B14"/>
    <w:rsid w:val="00B44BC7"/>
    <w:rsid w:val="00B454D1"/>
    <w:rsid w:val="00B45506"/>
    <w:rsid w:val="00B45654"/>
    <w:rsid w:val="00B4565A"/>
    <w:rsid w:val="00B457E8"/>
    <w:rsid w:val="00B45D6D"/>
    <w:rsid w:val="00B46004"/>
    <w:rsid w:val="00B460C3"/>
    <w:rsid w:val="00B465DC"/>
    <w:rsid w:val="00B4723D"/>
    <w:rsid w:val="00B4776A"/>
    <w:rsid w:val="00B47880"/>
    <w:rsid w:val="00B503E7"/>
    <w:rsid w:val="00B504CB"/>
    <w:rsid w:val="00B50B3A"/>
    <w:rsid w:val="00B50D34"/>
    <w:rsid w:val="00B50D8E"/>
    <w:rsid w:val="00B50F6B"/>
    <w:rsid w:val="00B51457"/>
    <w:rsid w:val="00B526FB"/>
    <w:rsid w:val="00B52872"/>
    <w:rsid w:val="00B52B98"/>
    <w:rsid w:val="00B536AE"/>
    <w:rsid w:val="00B538D7"/>
    <w:rsid w:val="00B53D68"/>
    <w:rsid w:val="00B53F0E"/>
    <w:rsid w:val="00B53F83"/>
    <w:rsid w:val="00B54A20"/>
    <w:rsid w:val="00B54DA7"/>
    <w:rsid w:val="00B54E30"/>
    <w:rsid w:val="00B559C5"/>
    <w:rsid w:val="00B55A2F"/>
    <w:rsid w:val="00B55DF8"/>
    <w:rsid w:val="00B56128"/>
    <w:rsid w:val="00B5656C"/>
    <w:rsid w:val="00B56F80"/>
    <w:rsid w:val="00B5737D"/>
    <w:rsid w:val="00B577A4"/>
    <w:rsid w:val="00B60426"/>
    <w:rsid w:val="00B60CC1"/>
    <w:rsid w:val="00B60DD5"/>
    <w:rsid w:val="00B60F24"/>
    <w:rsid w:val="00B61445"/>
    <w:rsid w:val="00B618D8"/>
    <w:rsid w:val="00B61C1B"/>
    <w:rsid w:val="00B62460"/>
    <w:rsid w:val="00B62855"/>
    <w:rsid w:val="00B62A7C"/>
    <w:rsid w:val="00B62F1A"/>
    <w:rsid w:val="00B63140"/>
    <w:rsid w:val="00B63B3F"/>
    <w:rsid w:val="00B640BE"/>
    <w:rsid w:val="00B640E9"/>
    <w:rsid w:val="00B64278"/>
    <w:rsid w:val="00B642A3"/>
    <w:rsid w:val="00B64C6B"/>
    <w:rsid w:val="00B64CEF"/>
    <w:rsid w:val="00B6530D"/>
    <w:rsid w:val="00B6553C"/>
    <w:rsid w:val="00B659E0"/>
    <w:rsid w:val="00B65D62"/>
    <w:rsid w:val="00B66120"/>
    <w:rsid w:val="00B66AC8"/>
    <w:rsid w:val="00B67378"/>
    <w:rsid w:val="00B675FC"/>
    <w:rsid w:val="00B70206"/>
    <w:rsid w:val="00B706A0"/>
    <w:rsid w:val="00B70A9D"/>
    <w:rsid w:val="00B70B68"/>
    <w:rsid w:val="00B71133"/>
    <w:rsid w:val="00B71E79"/>
    <w:rsid w:val="00B71EB6"/>
    <w:rsid w:val="00B71F28"/>
    <w:rsid w:val="00B7220B"/>
    <w:rsid w:val="00B7252C"/>
    <w:rsid w:val="00B72C56"/>
    <w:rsid w:val="00B754BA"/>
    <w:rsid w:val="00B755A1"/>
    <w:rsid w:val="00B7573D"/>
    <w:rsid w:val="00B75F26"/>
    <w:rsid w:val="00B76C47"/>
    <w:rsid w:val="00B76CA3"/>
    <w:rsid w:val="00B76EF9"/>
    <w:rsid w:val="00B77705"/>
    <w:rsid w:val="00B77B7E"/>
    <w:rsid w:val="00B80FBA"/>
    <w:rsid w:val="00B8183F"/>
    <w:rsid w:val="00B818DB"/>
    <w:rsid w:val="00B818F0"/>
    <w:rsid w:val="00B819E6"/>
    <w:rsid w:val="00B81BC5"/>
    <w:rsid w:val="00B82159"/>
    <w:rsid w:val="00B82424"/>
    <w:rsid w:val="00B82450"/>
    <w:rsid w:val="00B82A45"/>
    <w:rsid w:val="00B83AB7"/>
    <w:rsid w:val="00B843E7"/>
    <w:rsid w:val="00B8443D"/>
    <w:rsid w:val="00B84CFC"/>
    <w:rsid w:val="00B85388"/>
    <w:rsid w:val="00B857AF"/>
    <w:rsid w:val="00B857C7"/>
    <w:rsid w:val="00B8588E"/>
    <w:rsid w:val="00B8591A"/>
    <w:rsid w:val="00B8616B"/>
    <w:rsid w:val="00B86649"/>
    <w:rsid w:val="00B86BBA"/>
    <w:rsid w:val="00B86EA8"/>
    <w:rsid w:val="00B8706B"/>
    <w:rsid w:val="00B8759E"/>
    <w:rsid w:val="00B87D94"/>
    <w:rsid w:val="00B87EDF"/>
    <w:rsid w:val="00B903FA"/>
    <w:rsid w:val="00B907BF"/>
    <w:rsid w:val="00B90A85"/>
    <w:rsid w:val="00B91479"/>
    <w:rsid w:val="00B91B59"/>
    <w:rsid w:val="00B91CAD"/>
    <w:rsid w:val="00B9266D"/>
    <w:rsid w:val="00B929F7"/>
    <w:rsid w:val="00B92A1A"/>
    <w:rsid w:val="00B932FD"/>
    <w:rsid w:val="00B93449"/>
    <w:rsid w:val="00B9364F"/>
    <w:rsid w:val="00B9416E"/>
    <w:rsid w:val="00B95B5D"/>
    <w:rsid w:val="00B95D1E"/>
    <w:rsid w:val="00B96843"/>
    <w:rsid w:val="00B96D47"/>
    <w:rsid w:val="00B9791E"/>
    <w:rsid w:val="00B97B77"/>
    <w:rsid w:val="00BA02CA"/>
    <w:rsid w:val="00BA068D"/>
    <w:rsid w:val="00BA1009"/>
    <w:rsid w:val="00BA1040"/>
    <w:rsid w:val="00BA2432"/>
    <w:rsid w:val="00BA270A"/>
    <w:rsid w:val="00BA2EC3"/>
    <w:rsid w:val="00BA3D55"/>
    <w:rsid w:val="00BA44C2"/>
    <w:rsid w:val="00BA4F6B"/>
    <w:rsid w:val="00BA5480"/>
    <w:rsid w:val="00BA571B"/>
    <w:rsid w:val="00BA60BE"/>
    <w:rsid w:val="00BA6640"/>
    <w:rsid w:val="00BA70C3"/>
    <w:rsid w:val="00BA70D9"/>
    <w:rsid w:val="00BA7445"/>
    <w:rsid w:val="00BA7932"/>
    <w:rsid w:val="00BA794B"/>
    <w:rsid w:val="00BA796B"/>
    <w:rsid w:val="00BA7D84"/>
    <w:rsid w:val="00BB0100"/>
    <w:rsid w:val="00BB043A"/>
    <w:rsid w:val="00BB0AED"/>
    <w:rsid w:val="00BB0FA9"/>
    <w:rsid w:val="00BB1766"/>
    <w:rsid w:val="00BB24B3"/>
    <w:rsid w:val="00BB2575"/>
    <w:rsid w:val="00BB298A"/>
    <w:rsid w:val="00BB2A35"/>
    <w:rsid w:val="00BB2A85"/>
    <w:rsid w:val="00BB2EA2"/>
    <w:rsid w:val="00BB3236"/>
    <w:rsid w:val="00BB3362"/>
    <w:rsid w:val="00BB3A80"/>
    <w:rsid w:val="00BB432A"/>
    <w:rsid w:val="00BB438A"/>
    <w:rsid w:val="00BB453C"/>
    <w:rsid w:val="00BB454F"/>
    <w:rsid w:val="00BB471C"/>
    <w:rsid w:val="00BB4952"/>
    <w:rsid w:val="00BB4F9C"/>
    <w:rsid w:val="00BB4FB5"/>
    <w:rsid w:val="00BB56C8"/>
    <w:rsid w:val="00BB5AE6"/>
    <w:rsid w:val="00BB5C1F"/>
    <w:rsid w:val="00BB5E3C"/>
    <w:rsid w:val="00BB6040"/>
    <w:rsid w:val="00BB620D"/>
    <w:rsid w:val="00BB6523"/>
    <w:rsid w:val="00BB653D"/>
    <w:rsid w:val="00BB655F"/>
    <w:rsid w:val="00BB6ECB"/>
    <w:rsid w:val="00BB6FE7"/>
    <w:rsid w:val="00BB7DF0"/>
    <w:rsid w:val="00BB7F18"/>
    <w:rsid w:val="00BC0258"/>
    <w:rsid w:val="00BC042B"/>
    <w:rsid w:val="00BC0654"/>
    <w:rsid w:val="00BC0A0C"/>
    <w:rsid w:val="00BC0C2B"/>
    <w:rsid w:val="00BC0DAA"/>
    <w:rsid w:val="00BC1474"/>
    <w:rsid w:val="00BC148A"/>
    <w:rsid w:val="00BC175C"/>
    <w:rsid w:val="00BC19C5"/>
    <w:rsid w:val="00BC19FA"/>
    <w:rsid w:val="00BC1B82"/>
    <w:rsid w:val="00BC25E0"/>
    <w:rsid w:val="00BC3C29"/>
    <w:rsid w:val="00BC3E6A"/>
    <w:rsid w:val="00BC589F"/>
    <w:rsid w:val="00BC5B96"/>
    <w:rsid w:val="00BC641D"/>
    <w:rsid w:val="00BC649C"/>
    <w:rsid w:val="00BC663A"/>
    <w:rsid w:val="00BC6874"/>
    <w:rsid w:val="00BC788B"/>
    <w:rsid w:val="00BC7BBF"/>
    <w:rsid w:val="00BC7CAB"/>
    <w:rsid w:val="00BC7F42"/>
    <w:rsid w:val="00BD07E1"/>
    <w:rsid w:val="00BD0976"/>
    <w:rsid w:val="00BD10A6"/>
    <w:rsid w:val="00BD170B"/>
    <w:rsid w:val="00BD177B"/>
    <w:rsid w:val="00BD1C58"/>
    <w:rsid w:val="00BD1E45"/>
    <w:rsid w:val="00BD247C"/>
    <w:rsid w:val="00BD27A0"/>
    <w:rsid w:val="00BD292E"/>
    <w:rsid w:val="00BD3A03"/>
    <w:rsid w:val="00BD4F5C"/>
    <w:rsid w:val="00BD55DE"/>
    <w:rsid w:val="00BD5B29"/>
    <w:rsid w:val="00BD5E19"/>
    <w:rsid w:val="00BD6346"/>
    <w:rsid w:val="00BD6471"/>
    <w:rsid w:val="00BD66D4"/>
    <w:rsid w:val="00BD67ED"/>
    <w:rsid w:val="00BD688B"/>
    <w:rsid w:val="00BD6AF4"/>
    <w:rsid w:val="00BD6C3F"/>
    <w:rsid w:val="00BD6D4C"/>
    <w:rsid w:val="00BD7161"/>
    <w:rsid w:val="00BD7BB0"/>
    <w:rsid w:val="00BE0147"/>
    <w:rsid w:val="00BE036D"/>
    <w:rsid w:val="00BE090E"/>
    <w:rsid w:val="00BE0B5F"/>
    <w:rsid w:val="00BE0E1D"/>
    <w:rsid w:val="00BE16D3"/>
    <w:rsid w:val="00BE1FA2"/>
    <w:rsid w:val="00BE241C"/>
    <w:rsid w:val="00BE24E2"/>
    <w:rsid w:val="00BE252C"/>
    <w:rsid w:val="00BE2B49"/>
    <w:rsid w:val="00BE2BFF"/>
    <w:rsid w:val="00BE3027"/>
    <w:rsid w:val="00BE3304"/>
    <w:rsid w:val="00BE351F"/>
    <w:rsid w:val="00BE3B19"/>
    <w:rsid w:val="00BE3EA9"/>
    <w:rsid w:val="00BE4EBA"/>
    <w:rsid w:val="00BE55C6"/>
    <w:rsid w:val="00BE5AAF"/>
    <w:rsid w:val="00BE63AC"/>
    <w:rsid w:val="00BE69DC"/>
    <w:rsid w:val="00BE6BEC"/>
    <w:rsid w:val="00BE6C30"/>
    <w:rsid w:val="00BE6D42"/>
    <w:rsid w:val="00BE734C"/>
    <w:rsid w:val="00BE7636"/>
    <w:rsid w:val="00BE7B74"/>
    <w:rsid w:val="00BE7BCD"/>
    <w:rsid w:val="00BE7D12"/>
    <w:rsid w:val="00BE7E49"/>
    <w:rsid w:val="00BE7F5C"/>
    <w:rsid w:val="00BF0520"/>
    <w:rsid w:val="00BF0B4E"/>
    <w:rsid w:val="00BF0DD0"/>
    <w:rsid w:val="00BF1023"/>
    <w:rsid w:val="00BF18A9"/>
    <w:rsid w:val="00BF2292"/>
    <w:rsid w:val="00BF23F8"/>
    <w:rsid w:val="00BF25A7"/>
    <w:rsid w:val="00BF31C2"/>
    <w:rsid w:val="00BF3860"/>
    <w:rsid w:val="00BF3D5C"/>
    <w:rsid w:val="00BF4B5D"/>
    <w:rsid w:val="00BF4DF4"/>
    <w:rsid w:val="00BF56C5"/>
    <w:rsid w:val="00BF6383"/>
    <w:rsid w:val="00BF65E2"/>
    <w:rsid w:val="00BF7E6C"/>
    <w:rsid w:val="00C001F4"/>
    <w:rsid w:val="00C00B0B"/>
    <w:rsid w:val="00C00CE6"/>
    <w:rsid w:val="00C00E4F"/>
    <w:rsid w:val="00C01198"/>
    <w:rsid w:val="00C0160E"/>
    <w:rsid w:val="00C01D42"/>
    <w:rsid w:val="00C03104"/>
    <w:rsid w:val="00C03429"/>
    <w:rsid w:val="00C03A70"/>
    <w:rsid w:val="00C0419E"/>
    <w:rsid w:val="00C042BC"/>
    <w:rsid w:val="00C045A4"/>
    <w:rsid w:val="00C04FED"/>
    <w:rsid w:val="00C05101"/>
    <w:rsid w:val="00C05133"/>
    <w:rsid w:val="00C05B16"/>
    <w:rsid w:val="00C06460"/>
    <w:rsid w:val="00C06841"/>
    <w:rsid w:val="00C06E5D"/>
    <w:rsid w:val="00C07B9A"/>
    <w:rsid w:val="00C07C97"/>
    <w:rsid w:val="00C109D2"/>
    <w:rsid w:val="00C10CC6"/>
    <w:rsid w:val="00C1133C"/>
    <w:rsid w:val="00C113BD"/>
    <w:rsid w:val="00C11448"/>
    <w:rsid w:val="00C116DA"/>
    <w:rsid w:val="00C117C8"/>
    <w:rsid w:val="00C11979"/>
    <w:rsid w:val="00C11C1A"/>
    <w:rsid w:val="00C1214E"/>
    <w:rsid w:val="00C12775"/>
    <w:rsid w:val="00C12996"/>
    <w:rsid w:val="00C12CD5"/>
    <w:rsid w:val="00C134D2"/>
    <w:rsid w:val="00C13EC5"/>
    <w:rsid w:val="00C14037"/>
    <w:rsid w:val="00C1434C"/>
    <w:rsid w:val="00C1472F"/>
    <w:rsid w:val="00C1547A"/>
    <w:rsid w:val="00C1598A"/>
    <w:rsid w:val="00C15E00"/>
    <w:rsid w:val="00C15EFA"/>
    <w:rsid w:val="00C16938"/>
    <w:rsid w:val="00C16AB0"/>
    <w:rsid w:val="00C16C4D"/>
    <w:rsid w:val="00C16DB6"/>
    <w:rsid w:val="00C16E6C"/>
    <w:rsid w:val="00C174B5"/>
    <w:rsid w:val="00C179A6"/>
    <w:rsid w:val="00C17E6A"/>
    <w:rsid w:val="00C17EF3"/>
    <w:rsid w:val="00C17FCA"/>
    <w:rsid w:val="00C20108"/>
    <w:rsid w:val="00C20816"/>
    <w:rsid w:val="00C20ED9"/>
    <w:rsid w:val="00C211DC"/>
    <w:rsid w:val="00C21A66"/>
    <w:rsid w:val="00C21C26"/>
    <w:rsid w:val="00C22D1E"/>
    <w:rsid w:val="00C22EA3"/>
    <w:rsid w:val="00C23163"/>
    <w:rsid w:val="00C23231"/>
    <w:rsid w:val="00C232EE"/>
    <w:rsid w:val="00C2335F"/>
    <w:rsid w:val="00C233AE"/>
    <w:rsid w:val="00C240BB"/>
    <w:rsid w:val="00C244F6"/>
    <w:rsid w:val="00C246CE"/>
    <w:rsid w:val="00C24874"/>
    <w:rsid w:val="00C24D05"/>
    <w:rsid w:val="00C2601F"/>
    <w:rsid w:val="00C26343"/>
    <w:rsid w:val="00C26A1B"/>
    <w:rsid w:val="00C26A80"/>
    <w:rsid w:val="00C274E1"/>
    <w:rsid w:val="00C3058E"/>
    <w:rsid w:val="00C30683"/>
    <w:rsid w:val="00C30838"/>
    <w:rsid w:val="00C308B9"/>
    <w:rsid w:val="00C30931"/>
    <w:rsid w:val="00C30B5A"/>
    <w:rsid w:val="00C3105B"/>
    <w:rsid w:val="00C31739"/>
    <w:rsid w:val="00C31A06"/>
    <w:rsid w:val="00C3222A"/>
    <w:rsid w:val="00C324C2"/>
    <w:rsid w:val="00C32649"/>
    <w:rsid w:val="00C32665"/>
    <w:rsid w:val="00C32985"/>
    <w:rsid w:val="00C32D28"/>
    <w:rsid w:val="00C32DFB"/>
    <w:rsid w:val="00C33211"/>
    <w:rsid w:val="00C33458"/>
    <w:rsid w:val="00C33898"/>
    <w:rsid w:val="00C33933"/>
    <w:rsid w:val="00C33BEB"/>
    <w:rsid w:val="00C33F78"/>
    <w:rsid w:val="00C34183"/>
    <w:rsid w:val="00C342BD"/>
    <w:rsid w:val="00C3437A"/>
    <w:rsid w:val="00C349FE"/>
    <w:rsid w:val="00C34EA2"/>
    <w:rsid w:val="00C35EFC"/>
    <w:rsid w:val="00C35F67"/>
    <w:rsid w:val="00C36734"/>
    <w:rsid w:val="00C369AA"/>
    <w:rsid w:val="00C36B9F"/>
    <w:rsid w:val="00C372DC"/>
    <w:rsid w:val="00C3776E"/>
    <w:rsid w:val="00C37A29"/>
    <w:rsid w:val="00C37AB1"/>
    <w:rsid w:val="00C402EC"/>
    <w:rsid w:val="00C4037B"/>
    <w:rsid w:val="00C40A0F"/>
    <w:rsid w:val="00C40D4D"/>
    <w:rsid w:val="00C4113A"/>
    <w:rsid w:val="00C4186B"/>
    <w:rsid w:val="00C41ACF"/>
    <w:rsid w:val="00C41DC4"/>
    <w:rsid w:val="00C41E9B"/>
    <w:rsid w:val="00C421C7"/>
    <w:rsid w:val="00C42F32"/>
    <w:rsid w:val="00C43169"/>
    <w:rsid w:val="00C435DE"/>
    <w:rsid w:val="00C436DD"/>
    <w:rsid w:val="00C437C5"/>
    <w:rsid w:val="00C43D51"/>
    <w:rsid w:val="00C442E3"/>
    <w:rsid w:val="00C44680"/>
    <w:rsid w:val="00C44C64"/>
    <w:rsid w:val="00C44EB4"/>
    <w:rsid w:val="00C45820"/>
    <w:rsid w:val="00C45A17"/>
    <w:rsid w:val="00C45AF9"/>
    <w:rsid w:val="00C4604F"/>
    <w:rsid w:val="00C4667C"/>
    <w:rsid w:val="00C46981"/>
    <w:rsid w:val="00C472FB"/>
    <w:rsid w:val="00C4737A"/>
    <w:rsid w:val="00C47892"/>
    <w:rsid w:val="00C47BC2"/>
    <w:rsid w:val="00C50892"/>
    <w:rsid w:val="00C50B05"/>
    <w:rsid w:val="00C514C3"/>
    <w:rsid w:val="00C51662"/>
    <w:rsid w:val="00C517E4"/>
    <w:rsid w:val="00C51881"/>
    <w:rsid w:val="00C51891"/>
    <w:rsid w:val="00C523EA"/>
    <w:rsid w:val="00C526CD"/>
    <w:rsid w:val="00C5284C"/>
    <w:rsid w:val="00C52A18"/>
    <w:rsid w:val="00C52B48"/>
    <w:rsid w:val="00C52E26"/>
    <w:rsid w:val="00C53006"/>
    <w:rsid w:val="00C53320"/>
    <w:rsid w:val="00C5355D"/>
    <w:rsid w:val="00C53942"/>
    <w:rsid w:val="00C53C32"/>
    <w:rsid w:val="00C54FA8"/>
    <w:rsid w:val="00C553CA"/>
    <w:rsid w:val="00C55A8C"/>
    <w:rsid w:val="00C55C4D"/>
    <w:rsid w:val="00C560A7"/>
    <w:rsid w:val="00C5617A"/>
    <w:rsid w:val="00C5627F"/>
    <w:rsid w:val="00C56425"/>
    <w:rsid w:val="00C56494"/>
    <w:rsid w:val="00C56763"/>
    <w:rsid w:val="00C57045"/>
    <w:rsid w:val="00C574DB"/>
    <w:rsid w:val="00C60332"/>
    <w:rsid w:val="00C60A7D"/>
    <w:rsid w:val="00C60D15"/>
    <w:rsid w:val="00C60EC4"/>
    <w:rsid w:val="00C6163B"/>
    <w:rsid w:val="00C617C0"/>
    <w:rsid w:val="00C61CBD"/>
    <w:rsid w:val="00C61CCE"/>
    <w:rsid w:val="00C61E0B"/>
    <w:rsid w:val="00C6272B"/>
    <w:rsid w:val="00C62A84"/>
    <w:rsid w:val="00C62BA1"/>
    <w:rsid w:val="00C62D2F"/>
    <w:rsid w:val="00C64C7F"/>
    <w:rsid w:val="00C64CA9"/>
    <w:rsid w:val="00C65110"/>
    <w:rsid w:val="00C65FBD"/>
    <w:rsid w:val="00C6611F"/>
    <w:rsid w:val="00C66EC3"/>
    <w:rsid w:val="00C673CA"/>
    <w:rsid w:val="00C676DC"/>
    <w:rsid w:val="00C67B73"/>
    <w:rsid w:val="00C67C4D"/>
    <w:rsid w:val="00C67DFB"/>
    <w:rsid w:val="00C70292"/>
    <w:rsid w:val="00C702C0"/>
    <w:rsid w:val="00C702DB"/>
    <w:rsid w:val="00C7085B"/>
    <w:rsid w:val="00C70A2C"/>
    <w:rsid w:val="00C71571"/>
    <w:rsid w:val="00C71AB5"/>
    <w:rsid w:val="00C71DC7"/>
    <w:rsid w:val="00C71E0F"/>
    <w:rsid w:val="00C7243E"/>
    <w:rsid w:val="00C728AC"/>
    <w:rsid w:val="00C72EBB"/>
    <w:rsid w:val="00C734E9"/>
    <w:rsid w:val="00C735CD"/>
    <w:rsid w:val="00C73AC6"/>
    <w:rsid w:val="00C73ECE"/>
    <w:rsid w:val="00C73FA6"/>
    <w:rsid w:val="00C7441C"/>
    <w:rsid w:val="00C74763"/>
    <w:rsid w:val="00C74D0C"/>
    <w:rsid w:val="00C75876"/>
    <w:rsid w:val="00C759BB"/>
    <w:rsid w:val="00C75A70"/>
    <w:rsid w:val="00C75F5C"/>
    <w:rsid w:val="00C76108"/>
    <w:rsid w:val="00C7687A"/>
    <w:rsid w:val="00C769CC"/>
    <w:rsid w:val="00C76A95"/>
    <w:rsid w:val="00C76CB8"/>
    <w:rsid w:val="00C77431"/>
    <w:rsid w:val="00C77ACA"/>
    <w:rsid w:val="00C800A9"/>
    <w:rsid w:val="00C815CB"/>
    <w:rsid w:val="00C81624"/>
    <w:rsid w:val="00C81F37"/>
    <w:rsid w:val="00C82277"/>
    <w:rsid w:val="00C822D1"/>
    <w:rsid w:val="00C82640"/>
    <w:rsid w:val="00C82AC2"/>
    <w:rsid w:val="00C82F1E"/>
    <w:rsid w:val="00C831C8"/>
    <w:rsid w:val="00C83281"/>
    <w:rsid w:val="00C832F8"/>
    <w:rsid w:val="00C8337F"/>
    <w:rsid w:val="00C84081"/>
    <w:rsid w:val="00C840C5"/>
    <w:rsid w:val="00C843BD"/>
    <w:rsid w:val="00C84686"/>
    <w:rsid w:val="00C84FEC"/>
    <w:rsid w:val="00C85084"/>
    <w:rsid w:val="00C85255"/>
    <w:rsid w:val="00C852AA"/>
    <w:rsid w:val="00C8532C"/>
    <w:rsid w:val="00C8544E"/>
    <w:rsid w:val="00C862ED"/>
    <w:rsid w:val="00C865CC"/>
    <w:rsid w:val="00C865FC"/>
    <w:rsid w:val="00C86807"/>
    <w:rsid w:val="00C86CA6"/>
    <w:rsid w:val="00C870D8"/>
    <w:rsid w:val="00C8735A"/>
    <w:rsid w:val="00C87652"/>
    <w:rsid w:val="00C87B01"/>
    <w:rsid w:val="00C87C4D"/>
    <w:rsid w:val="00C87C85"/>
    <w:rsid w:val="00C9030B"/>
    <w:rsid w:val="00C903C0"/>
    <w:rsid w:val="00C90DAD"/>
    <w:rsid w:val="00C91052"/>
    <w:rsid w:val="00C92097"/>
    <w:rsid w:val="00C92724"/>
    <w:rsid w:val="00C93801"/>
    <w:rsid w:val="00C939CE"/>
    <w:rsid w:val="00C939DE"/>
    <w:rsid w:val="00C942F5"/>
    <w:rsid w:val="00C94495"/>
    <w:rsid w:val="00C9454B"/>
    <w:rsid w:val="00C94583"/>
    <w:rsid w:val="00C945E7"/>
    <w:rsid w:val="00C9471C"/>
    <w:rsid w:val="00C94810"/>
    <w:rsid w:val="00C94B5E"/>
    <w:rsid w:val="00C95015"/>
    <w:rsid w:val="00C950C7"/>
    <w:rsid w:val="00C955B0"/>
    <w:rsid w:val="00C9565A"/>
    <w:rsid w:val="00C96113"/>
    <w:rsid w:val="00C96686"/>
    <w:rsid w:val="00C96805"/>
    <w:rsid w:val="00C96BDC"/>
    <w:rsid w:val="00C972ED"/>
    <w:rsid w:val="00C978D3"/>
    <w:rsid w:val="00C979A7"/>
    <w:rsid w:val="00C97CE0"/>
    <w:rsid w:val="00CA052B"/>
    <w:rsid w:val="00CA05A4"/>
    <w:rsid w:val="00CA0874"/>
    <w:rsid w:val="00CA0E1C"/>
    <w:rsid w:val="00CA0F3A"/>
    <w:rsid w:val="00CA1086"/>
    <w:rsid w:val="00CA192C"/>
    <w:rsid w:val="00CA1C26"/>
    <w:rsid w:val="00CA1C73"/>
    <w:rsid w:val="00CA1CBC"/>
    <w:rsid w:val="00CA2531"/>
    <w:rsid w:val="00CA2CB1"/>
    <w:rsid w:val="00CA2D0D"/>
    <w:rsid w:val="00CA2DFF"/>
    <w:rsid w:val="00CA2E8F"/>
    <w:rsid w:val="00CA2ED5"/>
    <w:rsid w:val="00CA3591"/>
    <w:rsid w:val="00CA3D23"/>
    <w:rsid w:val="00CA3E62"/>
    <w:rsid w:val="00CA3FD7"/>
    <w:rsid w:val="00CA42AF"/>
    <w:rsid w:val="00CA4890"/>
    <w:rsid w:val="00CA495C"/>
    <w:rsid w:val="00CA4E80"/>
    <w:rsid w:val="00CA4EC6"/>
    <w:rsid w:val="00CA57A0"/>
    <w:rsid w:val="00CA6155"/>
    <w:rsid w:val="00CA691B"/>
    <w:rsid w:val="00CA7148"/>
    <w:rsid w:val="00CA792D"/>
    <w:rsid w:val="00CB0EA6"/>
    <w:rsid w:val="00CB0ED6"/>
    <w:rsid w:val="00CB11BC"/>
    <w:rsid w:val="00CB1515"/>
    <w:rsid w:val="00CB2612"/>
    <w:rsid w:val="00CB2A7A"/>
    <w:rsid w:val="00CB2C40"/>
    <w:rsid w:val="00CB2E3D"/>
    <w:rsid w:val="00CB3F68"/>
    <w:rsid w:val="00CB4093"/>
    <w:rsid w:val="00CB41C8"/>
    <w:rsid w:val="00CB454C"/>
    <w:rsid w:val="00CB4713"/>
    <w:rsid w:val="00CB50ED"/>
    <w:rsid w:val="00CB557F"/>
    <w:rsid w:val="00CB5CE8"/>
    <w:rsid w:val="00CB6111"/>
    <w:rsid w:val="00CB64CC"/>
    <w:rsid w:val="00CB6510"/>
    <w:rsid w:val="00CB696B"/>
    <w:rsid w:val="00CB6FA7"/>
    <w:rsid w:val="00CB78F6"/>
    <w:rsid w:val="00CC04A0"/>
    <w:rsid w:val="00CC081B"/>
    <w:rsid w:val="00CC0A86"/>
    <w:rsid w:val="00CC13FF"/>
    <w:rsid w:val="00CC1DBC"/>
    <w:rsid w:val="00CC296C"/>
    <w:rsid w:val="00CC2DE0"/>
    <w:rsid w:val="00CC30B5"/>
    <w:rsid w:val="00CC3255"/>
    <w:rsid w:val="00CC3318"/>
    <w:rsid w:val="00CC4359"/>
    <w:rsid w:val="00CC437C"/>
    <w:rsid w:val="00CC49AF"/>
    <w:rsid w:val="00CC4D24"/>
    <w:rsid w:val="00CC5437"/>
    <w:rsid w:val="00CC57A9"/>
    <w:rsid w:val="00CC6040"/>
    <w:rsid w:val="00CC6694"/>
    <w:rsid w:val="00CC6D53"/>
    <w:rsid w:val="00CC6EF6"/>
    <w:rsid w:val="00CC74C2"/>
    <w:rsid w:val="00CC74DD"/>
    <w:rsid w:val="00CC7692"/>
    <w:rsid w:val="00CD00B0"/>
    <w:rsid w:val="00CD1AB9"/>
    <w:rsid w:val="00CD26A6"/>
    <w:rsid w:val="00CD3407"/>
    <w:rsid w:val="00CD3532"/>
    <w:rsid w:val="00CD3680"/>
    <w:rsid w:val="00CD3B44"/>
    <w:rsid w:val="00CD3C77"/>
    <w:rsid w:val="00CD43ED"/>
    <w:rsid w:val="00CD4823"/>
    <w:rsid w:val="00CD4DD9"/>
    <w:rsid w:val="00CD4E7E"/>
    <w:rsid w:val="00CD61D7"/>
    <w:rsid w:val="00CD61E4"/>
    <w:rsid w:val="00CD742A"/>
    <w:rsid w:val="00CD745C"/>
    <w:rsid w:val="00CD76F2"/>
    <w:rsid w:val="00CD7C86"/>
    <w:rsid w:val="00CE09C3"/>
    <w:rsid w:val="00CE146E"/>
    <w:rsid w:val="00CE1AB4"/>
    <w:rsid w:val="00CE2117"/>
    <w:rsid w:val="00CE2DAD"/>
    <w:rsid w:val="00CE2ED2"/>
    <w:rsid w:val="00CE4E5A"/>
    <w:rsid w:val="00CE535F"/>
    <w:rsid w:val="00CE546B"/>
    <w:rsid w:val="00CE714D"/>
    <w:rsid w:val="00CE7583"/>
    <w:rsid w:val="00CE7637"/>
    <w:rsid w:val="00CE78C2"/>
    <w:rsid w:val="00CF1B55"/>
    <w:rsid w:val="00CF1B8A"/>
    <w:rsid w:val="00CF1D31"/>
    <w:rsid w:val="00CF207B"/>
    <w:rsid w:val="00CF2664"/>
    <w:rsid w:val="00CF271C"/>
    <w:rsid w:val="00CF33EC"/>
    <w:rsid w:val="00CF3653"/>
    <w:rsid w:val="00CF38BC"/>
    <w:rsid w:val="00CF424F"/>
    <w:rsid w:val="00CF4432"/>
    <w:rsid w:val="00CF44AA"/>
    <w:rsid w:val="00CF4B3B"/>
    <w:rsid w:val="00CF4E58"/>
    <w:rsid w:val="00CF540A"/>
    <w:rsid w:val="00CF5727"/>
    <w:rsid w:val="00CF5EC6"/>
    <w:rsid w:val="00CF6080"/>
    <w:rsid w:val="00CF612B"/>
    <w:rsid w:val="00CF7904"/>
    <w:rsid w:val="00CF799A"/>
    <w:rsid w:val="00D009A7"/>
    <w:rsid w:val="00D00D9A"/>
    <w:rsid w:val="00D01685"/>
    <w:rsid w:val="00D017CC"/>
    <w:rsid w:val="00D01C4A"/>
    <w:rsid w:val="00D01FB2"/>
    <w:rsid w:val="00D02223"/>
    <w:rsid w:val="00D024B5"/>
    <w:rsid w:val="00D02A63"/>
    <w:rsid w:val="00D02CE9"/>
    <w:rsid w:val="00D02E42"/>
    <w:rsid w:val="00D03402"/>
    <w:rsid w:val="00D048EF"/>
    <w:rsid w:val="00D051F0"/>
    <w:rsid w:val="00D053DE"/>
    <w:rsid w:val="00D057BF"/>
    <w:rsid w:val="00D05A95"/>
    <w:rsid w:val="00D06067"/>
    <w:rsid w:val="00D0670D"/>
    <w:rsid w:val="00D067B5"/>
    <w:rsid w:val="00D06B53"/>
    <w:rsid w:val="00D0756F"/>
    <w:rsid w:val="00D07834"/>
    <w:rsid w:val="00D07A49"/>
    <w:rsid w:val="00D10266"/>
    <w:rsid w:val="00D1253F"/>
    <w:rsid w:val="00D12826"/>
    <w:rsid w:val="00D12837"/>
    <w:rsid w:val="00D12A44"/>
    <w:rsid w:val="00D12D5A"/>
    <w:rsid w:val="00D13B73"/>
    <w:rsid w:val="00D13EF5"/>
    <w:rsid w:val="00D13F91"/>
    <w:rsid w:val="00D142EA"/>
    <w:rsid w:val="00D143F7"/>
    <w:rsid w:val="00D1474E"/>
    <w:rsid w:val="00D14851"/>
    <w:rsid w:val="00D149A6"/>
    <w:rsid w:val="00D14AF2"/>
    <w:rsid w:val="00D1579F"/>
    <w:rsid w:val="00D157EA"/>
    <w:rsid w:val="00D15F98"/>
    <w:rsid w:val="00D163DD"/>
    <w:rsid w:val="00D16553"/>
    <w:rsid w:val="00D166F7"/>
    <w:rsid w:val="00D16845"/>
    <w:rsid w:val="00D173E5"/>
    <w:rsid w:val="00D17941"/>
    <w:rsid w:val="00D20258"/>
    <w:rsid w:val="00D204DC"/>
    <w:rsid w:val="00D20D98"/>
    <w:rsid w:val="00D21208"/>
    <w:rsid w:val="00D218CC"/>
    <w:rsid w:val="00D218D6"/>
    <w:rsid w:val="00D21A85"/>
    <w:rsid w:val="00D21C19"/>
    <w:rsid w:val="00D21EB0"/>
    <w:rsid w:val="00D23324"/>
    <w:rsid w:val="00D2352F"/>
    <w:rsid w:val="00D23589"/>
    <w:rsid w:val="00D24254"/>
    <w:rsid w:val="00D24421"/>
    <w:rsid w:val="00D2491E"/>
    <w:rsid w:val="00D24EEA"/>
    <w:rsid w:val="00D259C9"/>
    <w:rsid w:val="00D25F20"/>
    <w:rsid w:val="00D262CB"/>
    <w:rsid w:val="00D2675F"/>
    <w:rsid w:val="00D27030"/>
    <w:rsid w:val="00D2725D"/>
    <w:rsid w:val="00D27E7B"/>
    <w:rsid w:val="00D3004A"/>
    <w:rsid w:val="00D3059B"/>
    <w:rsid w:val="00D30BD3"/>
    <w:rsid w:val="00D30F68"/>
    <w:rsid w:val="00D30FA9"/>
    <w:rsid w:val="00D31848"/>
    <w:rsid w:val="00D318B0"/>
    <w:rsid w:val="00D32014"/>
    <w:rsid w:val="00D32439"/>
    <w:rsid w:val="00D3248E"/>
    <w:rsid w:val="00D3258C"/>
    <w:rsid w:val="00D337DB"/>
    <w:rsid w:val="00D33DEB"/>
    <w:rsid w:val="00D347E7"/>
    <w:rsid w:val="00D34EDE"/>
    <w:rsid w:val="00D34FF9"/>
    <w:rsid w:val="00D350FA"/>
    <w:rsid w:val="00D353D7"/>
    <w:rsid w:val="00D3612E"/>
    <w:rsid w:val="00D36C96"/>
    <w:rsid w:val="00D37642"/>
    <w:rsid w:val="00D377AF"/>
    <w:rsid w:val="00D37B66"/>
    <w:rsid w:val="00D4050F"/>
    <w:rsid w:val="00D40DCF"/>
    <w:rsid w:val="00D4123B"/>
    <w:rsid w:val="00D4140A"/>
    <w:rsid w:val="00D41871"/>
    <w:rsid w:val="00D41C84"/>
    <w:rsid w:val="00D42A34"/>
    <w:rsid w:val="00D42CD1"/>
    <w:rsid w:val="00D42F18"/>
    <w:rsid w:val="00D42FAF"/>
    <w:rsid w:val="00D43169"/>
    <w:rsid w:val="00D43D59"/>
    <w:rsid w:val="00D4406F"/>
    <w:rsid w:val="00D44534"/>
    <w:rsid w:val="00D44A0E"/>
    <w:rsid w:val="00D44C2C"/>
    <w:rsid w:val="00D4545E"/>
    <w:rsid w:val="00D45854"/>
    <w:rsid w:val="00D45A95"/>
    <w:rsid w:val="00D45E27"/>
    <w:rsid w:val="00D4692E"/>
    <w:rsid w:val="00D47D5E"/>
    <w:rsid w:val="00D47F36"/>
    <w:rsid w:val="00D5039F"/>
    <w:rsid w:val="00D51778"/>
    <w:rsid w:val="00D518F1"/>
    <w:rsid w:val="00D51BBA"/>
    <w:rsid w:val="00D51D7D"/>
    <w:rsid w:val="00D51FE3"/>
    <w:rsid w:val="00D531A1"/>
    <w:rsid w:val="00D531D5"/>
    <w:rsid w:val="00D53415"/>
    <w:rsid w:val="00D536F6"/>
    <w:rsid w:val="00D5491B"/>
    <w:rsid w:val="00D55EA4"/>
    <w:rsid w:val="00D567B4"/>
    <w:rsid w:val="00D56D2B"/>
    <w:rsid w:val="00D57088"/>
    <w:rsid w:val="00D57E52"/>
    <w:rsid w:val="00D60887"/>
    <w:rsid w:val="00D6143A"/>
    <w:rsid w:val="00D6166F"/>
    <w:rsid w:val="00D617FF"/>
    <w:rsid w:val="00D61A09"/>
    <w:rsid w:val="00D61DDA"/>
    <w:rsid w:val="00D62101"/>
    <w:rsid w:val="00D6280D"/>
    <w:rsid w:val="00D635C0"/>
    <w:rsid w:val="00D6368F"/>
    <w:rsid w:val="00D63C87"/>
    <w:rsid w:val="00D642A3"/>
    <w:rsid w:val="00D64412"/>
    <w:rsid w:val="00D64956"/>
    <w:rsid w:val="00D65060"/>
    <w:rsid w:val="00D651F7"/>
    <w:rsid w:val="00D6540D"/>
    <w:rsid w:val="00D656D4"/>
    <w:rsid w:val="00D6579D"/>
    <w:rsid w:val="00D65FCB"/>
    <w:rsid w:val="00D66DA9"/>
    <w:rsid w:val="00D66E80"/>
    <w:rsid w:val="00D66F2B"/>
    <w:rsid w:val="00D6725A"/>
    <w:rsid w:val="00D67D7A"/>
    <w:rsid w:val="00D7122E"/>
    <w:rsid w:val="00D71B05"/>
    <w:rsid w:val="00D72894"/>
    <w:rsid w:val="00D72ED4"/>
    <w:rsid w:val="00D73319"/>
    <w:rsid w:val="00D73592"/>
    <w:rsid w:val="00D7394F"/>
    <w:rsid w:val="00D73B06"/>
    <w:rsid w:val="00D73B34"/>
    <w:rsid w:val="00D7401F"/>
    <w:rsid w:val="00D74105"/>
    <w:rsid w:val="00D74450"/>
    <w:rsid w:val="00D7460D"/>
    <w:rsid w:val="00D74739"/>
    <w:rsid w:val="00D74D8F"/>
    <w:rsid w:val="00D7581F"/>
    <w:rsid w:val="00D759F1"/>
    <w:rsid w:val="00D7634E"/>
    <w:rsid w:val="00D76422"/>
    <w:rsid w:val="00D7654E"/>
    <w:rsid w:val="00D76621"/>
    <w:rsid w:val="00D76F7B"/>
    <w:rsid w:val="00D770E6"/>
    <w:rsid w:val="00D7749A"/>
    <w:rsid w:val="00D7796E"/>
    <w:rsid w:val="00D77A6F"/>
    <w:rsid w:val="00D77B82"/>
    <w:rsid w:val="00D77BE3"/>
    <w:rsid w:val="00D80160"/>
    <w:rsid w:val="00D8030E"/>
    <w:rsid w:val="00D805BE"/>
    <w:rsid w:val="00D80879"/>
    <w:rsid w:val="00D80C23"/>
    <w:rsid w:val="00D8133F"/>
    <w:rsid w:val="00D81844"/>
    <w:rsid w:val="00D81FBB"/>
    <w:rsid w:val="00D8259E"/>
    <w:rsid w:val="00D82CB9"/>
    <w:rsid w:val="00D8302C"/>
    <w:rsid w:val="00D833CA"/>
    <w:rsid w:val="00D83915"/>
    <w:rsid w:val="00D83A52"/>
    <w:rsid w:val="00D83D56"/>
    <w:rsid w:val="00D8401C"/>
    <w:rsid w:val="00D84F66"/>
    <w:rsid w:val="00D852CA"/>
    <w:rsid w:val="00D85820"/>
    <w:rsid w:val="00D858B5"/>
    <w:rsid w:val="00D859BB"/>
    <w:rsid w:val="00D85C23"/>
    <w:rsid w:val="00D86AEA"/>
    <w:rsid w:val="00D8720B"/>
    <w:rsid w:val="00D8745F"/>
    <w:rsid w:val="00D90167"/>
    <w:rsid w:val="00D90530"/>
    <w:rsid w:val="00D910F3"/>
    <w:rsid w:val="00D914D8"/>
    <w:rsid w:val="00D91BC5"/>
    <w:rsid w:val="00D92020"/>
    <w:rsid w:val="00D9289B"/>
    <w:rsid w:val="00D92B0C"/>
    <w:rsid w:val="00D92CFF"/>
    <w:rsid w:val="00D92E15"/>
    <w:rsid w:val="00D936BF"/>
    <w:rsid w:val="00D936EC"/>
    <w:rsid w:val="00D9388D"/>
    <w:rsid w:val="00D93BB4"/>
    <w:rsid w:val="00D93ECA"/>
    <w:rsid w:val="00D93F98"/>
    <w:rsid w:val="00D95325"/>
    <w:rsid w:val="00D9552E"/>
    <w:rsid w:val="00D95EF1"/>
    <w:rsid w:val="00D96122"/>
    <w:rsid w:val="00D96DBA"/>
    <w:rsid w:val="00D96DE4"/>
    <w:rsid w:val="00D97390"/>
    <w:rsid w:val="00D9758F"/>
    <w:rsid w:val="00D975E4"/>
    <w:rsid w:val="00D9764B"/>
    <w:rsid w:val="00DA097F"/>
    <w:rsid w:val="00DA10F4"/>
    <w:rsid w:val="00DA17A4"/>
    <w:rsid w:val="00DA194A"/>
    <w:rsid w:val="00DA247E"/>
    <w:rsid w:val="00DA2FA7"/>
    <w:rsid w:val="00DA3235"/>
    <w:rsid w:val="00DA326F"/>
    <w:rsid w:val="00DA3F45"/>
    <w:rsid w:val="00DA3F87"/>
    <w:rsid w:val="00DA414A"/>
    <w:rsid w:val="00DA4437"/>
    <w:rsid w:val="00DA4ADD"/>
    <w:rsid w:val="00DA52B9"/>
    <w:rsid w:val="00DA5476"/>
    <w:rsid w:val="00DA5984"/>
    <w:rsid w:val="00DA5BA5"/>
    <w:rsid w:val="00DA5D2C"/>
    <w:rsid w:val="00DA5EA2"/>
    <w:rsid w:val="00DA672F"/>
    <w:rsid w:val="00DA676A"/>
    <w:rsid w:val="00DA69C3"/>
    <w:rsid w:val="00DA6BFC"/>
    <w:rsid w:val="00DA6DD5"/>
    <w:rsid w:val="00DA70EE"/>
    <w:rsid w:val="00DA71FB"/>
    <w:rsid w:val="00DA7ADB"/>
    <w:rsid w:val="00DB027F"/>
    <w:rsid w:val="00DB0355"/>
    <w:rsid w:val="00DB0A0D"/>
    <w:rsid w:val="00DB115E"/>
    <w:rsid w:val="00DB1625"/>
    <w:rsid w:val="00DB20B0"/>
    <w:rsid w:val="00DB28E2"/>
    <w:rsid w:val="00DB325C"/>
    <w:rsid w:val="00DB3A21"/>
    <w:rsid w:val="00DB3E91"/>
    <w:rsid w:val="00DB3E96"/>
    <w:rsid w:val="00DB3F43"/>
    <w:rsid w:val="00DB3F49"/>
    <w:rsid w:val="00DB4542"/>
    <w:rsid w:val="00DB4B82"/>
    <w:rsid w:val="00DB5431"/>
    <w:rsid w:val="00DB5646"/>
    <w:rsid w:val="00DB6898"/>
    <w:rsid w:val="00DB696D"/>
    <w:rsid w:val="00DB6AD7"/>
    <w:rsid w:val="00DB6C60"/>
    <w:rsid w:val="00DB6CD5"/>
    <w:rsid w:val="00DB6F10"/>
    <w:rsid w:val="00DB767F"/>
    <w:rsid w:val="00DB76A5"/>
    <w:rsid w:val="00DB7906"/>
    <w:rsid w:val="00DB7D4B"/>
    <w:rsid w:val="00DC03B2"/>
    <w:rsid w:val="00DC050F"/>
    <w:rsid w:val="00DC0C7E"/>
    <w:rsid w:val="00DC11A8"/>
    <w:rsid w:val="00DC1867"/>
    <w:rsid w:val="00DC1A77"/>
    <w:rsid w:val="00DC2195"/>
    <w:rsid w:val="00DC236F"/>
    <w:rsid w:val="00DC2542"/>
    <w:rsid w:val="00DC2678"/>
    <w:rsid w:val="00DC2880"/>
    <w:rsid w:val="00DC2D01"/>
    <w:rsid w:val="00DC3351"/>
    <w:rsid w:val="00DC35A6"/>
    <w:rsid w:val="00DC36C1"/>
    <w:rsid w:val="00DC3CEF"/>
    <w:rsid w:val="00DC4071"/>
    <w:rsid w:val="00DC4526"/>
    <w:rsid w:val="00DC465D"/>
    <w:rsid w:val="00DC465F"/>
    <w:rsid w:val="00DC4765"/>
    <w:rsid w:val="00DC4D5C"/>
    <w:rsid w:val="00DC4E28"/>
    <w:rsid w:val="00DC5B35"/>
    <w:rsid w:val="00DC5BA1"/>
    <w:rsid w:val="00DC5E10"/>
    <w:rsid w:val="00DC5FE5"/>
    <w:rsid w:val="00DC66DF"/>
    <w:rsid w:val="00DC6727"/>
    <w:rsid w:val="00DC686E"/>
    <w:rsid w:val="00DC72C5"/>
    <w:rsid w:val="00DD02A4"/>
    <w:rsid w:val="00DD02F4"/>
    <w:rsid w:val="00DD08D0"/>
    <w:rsid w:val="00DD09EC"/>
    <w:rsid w:val="00DD1A43"/>
    <w:rsid w:val="00DD224A"/>
    <w:rsid w:val="00DD24C0"/>
    <w:rsid w:val="00DD3205"/>
    <w:rsid w:val="00DD39AA"/>
    <w:rsid w:val="00DD3D95"/>
    <w:rsid w:val="00DD45C8"/>
    <w:rsid w:val="00DD47EE"/>
    <w:rsid w:val="00DD4D54"/>
    <w:rsid w:val="00DD4DD8"/>
    <w:rsid w:val="00DD4FDB"/>
    <w:rsid w:val="00DD64A9"/>
    <w:rsid w:val="00DD6C15"/>
    <w:rsid w:val="00DD734C"/>
    <w:rsid w:val="00DD75B1"/>
    <w:rsid w:val="00DD7731"/>
    <w:rsid w:val="00DD79B4"/>
    <w:rsid w:val="00DE00B8"/>
    <w:rsid w:val="00DE08B5"/>
    <w:rsid w:val="00DE0DA4"/>
    <w:rsid w:val="00DE0F31"/>
    <w:rsid w:val="00DE19E9"/>
    <w:rsid w:val="00DE2091"/>
    <w:rsid w:val="00DE21C0"/>
    <w:rsid w:val="00DE23CD"/>
    <w:rsid w:val="00DE270A"/>
    <w:rsid w:val="00DE29E5"/>
    <w:rsid w:val="00DE2EB7"/>
    <w:rsid w:val="00DE301F"/>
    <w:rsid w:val="00DE3029"/>
    <w:rsid w:val="00DE3119"/>
    <w:rsid w:val="00DE35DA"/>
    <w:rsid w:val="00DE362E"/>
    <w:rsid w:val="00DE39EC"/>
    <w:rsid w:val="00DE3AEA"/>
    <w:rsid w:val="00DE4451"/>
    <w:rsid w:val="00DE48A5"/>
    <w:rsid w:val="00DE4A56"/>
    <w:rsid w:val="00DE4DBC"/>
    <w:rsid w:val="00DE4F08"/>
    <w:rsid w:val="00DE52BE"/>
    <w:rsid w:val="00DE5564"/>
    <w:rsid w:val="00DE6035"/>
    <w:rsid w:val="00DE6086"/>
    <w:rsid w:val="00DE6807"/>
    <w:rsid w:val="00DE69B6"/>
    <w:rsid w:val="00DE7397"/>
    <w:rsid w:val="00DE75F0"/>
    <w:rsid w:val="00DE7C15"/>
    <w:rsid w:val="00DE7E77"/>
    <w:rsid w:val="00DF0B29"/>
    <w:rsid w:val="00DF128D"/>
    <w:rsid w:val="00DF19E5"/>
    <w:rsid w:val="00DF2358"/>
    <w:rsid w:val="00DF2B20"/>
    <w:rsid w:val="00DF35D7"/>
    <w:rsid w:val="00DF3E95"/>
    <w:rsid w:val="00DF3F2F"/>
    <w:rsid w:val="00DF419B"/>
    <w:rsid w:val="00DF4905"/>
    <w:rsid w:val="00DF4C66"/>
    <w:rsid w:val="00DF4C7A"/>
    <w:rsid w:val="00DF4D91"/>
    <w:rsid w:val="00DF5221"/>
    <w:rsid w:val="00DF5443"/>
    <w:rsid w:val="00DF593D"/>
    <w:rsid w:val="00DF5E3D"/>
    <w:rsid w:val="00DF60A2"/>
    <w:rsid w:val="00DF662C"/>
    <w:rsid w:val="00DF6C8A"/>
    <w:rsid w:val="00DF72ED"/>
    <w:rsid w:val="00DF757B"/>
    <w:rsid w:val="00E00215"/>
    <w:rsid w:val="00E00631"/>
    <w:rsid w:val="00E00B19"/>
    <w:rsid w:val="00E00BDC"/>
    <w:rsid w:val="00E00DC6"/>
    <w:rsid w:val="00E015B1"/>
    <w:rsid w:val="00E018E8"/>
    <w:rsid w:val="00E01D3B"/>
    <w:rsid w:val="00E022BA"/>
    <w:rsid w:val="00E037D5"/>
    <w:rsid w:val="00E04147"/>
    <w:rsid w:val="00E041F8"/>
    <w:rsid w:val="00E04594"/>
    <w:rsid w:val="00E045A2"/>
    <w:rsid w:val="00E047A2"/>
    <w:rsid w:val="00E047EE"/>
    <w:rsid w:val="00E04908"/>
    <w:rsid w:val="00E04962"/>
    <w:rsid w:val="00E04B87"/>
    <w:rsid w:val="00E05A39"/>
    <w:rsid w:val="00E06054"/>
    <w:rsid w:val="00E0615C"/>
    <w:rsid w:val="00E06345"/>
    <w:rsid w:val="00E06CDA"/>
    <w:rsid w:val="00E06D22"/>
    <w:rsid w:val="00E07CEE"/>
    <w:rsid w:val="00E07EDF"/>
    <w:rsid w:val="00E100DE"/>
    <w:rsid w:val="00E1071D"/>
    <w:rsid w:val="00E1098E"/>
    <w:rsid w:val="00E10ACE"/>
    <w:rsid w:val="00E10E0C"/>
    <w:rsid w:val="00E10ECA"/>
    <w:rsid w:val="00E10FD0"/>
    <w:rsid w:val="00E11D8C"/>
    <w:rsid w:val="00E12CEB"/>
    <w:rsid w:val="00E12D7F"/>
    <w:rsid w:val="00E12E22"/>
    <w:rsid w:val="00E130B9"/>
    <w:rsid w:val="00E138A7"/>
    <w:rsid w:val="00E14842"/>
    <w:rsid w:val="00E14E55"/>
    <w:rsid w:val="00E15BBC"/>
    <w:rsid w:val="00E1643B"/>
    <w:rsid w:val="00E17AF4"/>
    <w:rsid w:val="00E17D3B"/>
    <w:rsid w:val="00E202FF"/>
    <w:rsid w:val="00E2084D"/>
    <w:rsid w:val="00E2097C"/>
    <w:rsid w:val="00E2107C"/>
    <w:rsid w:val="00E218D4"/>
    <w:rsid w:val="00E2201D"/>
    <w:rsid w:val="00E22B7A"/>
    <w:rsid w:val="00E22D0E"/>
    <w:rsid w:val="00E22DA3"/>
    <w:rsid w:val="00E24731"/>
    <w:rsid w:val="00E24BC0"/>
    <w:rsid w:val="00E250DA"/>
    <w:rsid w:val="00E253D7"/>
    <w:rsid w:val="00E254F3"/>
    <w:rsid w:val="00E25D9A"/>
    <w:rsid w:val="00E26117"/>
    <w:rsid w:val="00E2658D"/>
    <w:rsid w:val="00E270BD"/>
    <w:rsid w:val="00E27C24"/>
    <w:rsid w:val="00E27CA4"/>
    <w:rsid w:val="00E300AC"/>
    <w:rsid w:val="00E313CE"/>
    <w:rsid w:val="00E31C59"/>
    <w:rsid w:val="00E31CE3"/>
    <w:rsid w:val="00E3241C"/>
    <w:rsid w:val="00E3243C"/>
    <w:rsid w:val="00E335D7"/>
    <w:rsid w:val="00E338E8"/>
    <w:rsid w:val="00E33CF6"/>
    <w:rsid w:val="00E33D9F"/>
    <w:rsid w:val="00E34A26"/>
    <w:rsid w:val="00E351E5"/>
    <w:rsid w:val="00E357BD"/>
    <w:rsid w:val="00E35974"/>
    <w:rsid w:val="00E3677A"/>
    <w:rsid w:val="00E36A88"/>
    <w:rsid w:val="00E36AA9"/>
    <w:rsid w:val="00E3723D"/>
    <w:rsid w:val="00E3777B"/>
    <w:rsid w:val="00E4060C"/>
    <w:rsid w:val="00E40C35"/>
    <w:rsid w:val="00E40CC5"/>
    <w:rsid w:val="00E41253"/>
    <w:rsid w:val="00E412CB"/>
    <w:rsid w:val="00E415DF"/>
    <w:rsid w:val="00E41A65"/>
    <w:rsid w:val="00E41B1E"/>
    <w:rsid w:val="00E41FE7"/>
    <w:rsid w:val="00E4262E"/>
    <w:rsid w:val="00E4264D"/>
    <w:rsid w:val="00E4266D"/>
    <w:rsid w:val="00E42707"/>
    <w:rsid w:val="00E42B6D"/>
    <w:rsid w:val="00E43327"/>
    <w:rsid w:val="00E43577"/>
    <w:rsid w:val="00E43A07"/>
    <w:rsid w:val="00E443B8"/>
    <w:rsid w:val="00E44786"/>
    <w:rsid w:val="00E44951"/>
    <w:rsid w:val="00E449F5"/>
    <w:rsid w:val="00E45D15"/>
    <w:rsid w:val="00E46BC6"/>
    <w:rsid w:val="00E47509"/>
    <w:rsid w:val="00E5045D"/>
    <w:rsid w:val="00E504CB"/>
    <w:rsid w:val="00E50AA4"/>
    <w:rsid w:val="00E51A2C"/>
    <w:rsid w:val="00E51D66"/>
    <w:rsid w:val="00E52098"/>
    <w:rsid w:val="00E5230A"/>
    <w:rsid w:val="00E5318E"/>
    <w:rsid w:val="00E536D1"/>
    <w:rsid w:val="00E5374B"/>
    <w:rsid w:val="00E5450E"/>
    <w:rsid w:val="00E54B9C"/>
    <w:rsid w:val="00E54C98"/>
    <w:rsid w:val="00E551D4"/>
    <w:rsid w:val="00E55664"/>
    <w:rsid w:val="00E55AC7"/>
    <w:rsid w:val="00E5621C"/>
    <w:rsid w:val="00E565C7"/>
    <w:rsid w:val="00E56D43"/>
    <w:rsid w:val="00E57DF1"/>
    <w:rsid w:val="00E57E9C"/>
    <w:rsid w:val="00E60080"/>
    <w:rsid w:val="00E60176"/>
    <w:rsid w:val="00E6080F"/>
    <w:rsid w:val="00E60CAD"/>
    <w:rsid w:val="00E61BCE"/>
    <w:rsid w:val="00E621F0"/>
    <w:rsid w:val="00E625F2"/>
    <w:rsid w:val="00E626AC"/>
    <w:rsid w:val="00E6277D"/>
    <w:rsid w:val="00E627ED"/>
    <w:rsid w:val="00E62F95"/>
    <w:rsid w:val="00E642A2"/>
    <w:rsid w:val="00E64FBA"/>
    <w:rsid w:val="00E6514A"/>
    <w:rsid w:val="00E65A26"/>
    <w:rsid w:val="00E664C7"/>
    <w:rsid w:val="00E666A0"/>
    <w:rsid w:val="00E669E8"/>
    <w:rsid w:val="00E672A3"/>
    <w:rsid w:val="00E70268"/>
    <w:rsid w:val="00E7090D"/>
    <w:rsid w:val="00E70F7E"/>
    <w:rsid w:val="00E713EF"/>
    <w:rsid w:val="00E71507"/>
    <w:rsid w:val="00E71E99"/>
    <w:rsid w:val="00E72E3B"/>
    <w:rsid w:val="00E73483"/>
    <w:rsid w:val="00E7364D"/>
    <w:rsid w:val="00E73839"/>
    <w:rsid w:val="00E73F4F"/>
    <w:rsid w:val="00E741A0"/>
    <w:rsid w:val="00E75259"/>
    <w:rsid w:val="00E75C20"/>
    <w:rsid w:val="00E7643C"/>
    <w:rsid w:val="00E76A52"/>
    <w:rsid w:val="00E76FC7"/>
    <w:rsid w:val="00E7713D"/>
    <w:rsid w:val="00E77DB9"/>
    <w:rsid w:val="00E806D6"/>
    <w:rsid w:val="00E80E56"/>
    <w:rsid w:val="00E81142"/>
    <w:rsid w:val="00E8127D"/>
    <w:rsid w:val="00E81A69"/>
    <w:rsid w:val="00E81AEB"/>
    <w:rsid w:val="00E81DA6"/>
    <w:rsid w:val="00E81DEF"/>
    <w:rsid w:val="00E81F17"/>
    <w:rsid w:val="00E8210D"/>
    <w:rsid w:val="00E82EA0"/>
    <w:rsid w:val="00E82F8A"/>
    <w:rsid w:val="00E82FEE"/>
    <w:rsid w:val="00E83590"/>
    <w:rsid w:val="00E83DD0"/>
    <w:rsid w:val="00E83E8E"/>
    <w:rsid w:val="00E8400F"/>
    <w:rsid w:val="00E842CA"/>
    <w:rsid w:val="00E843FF"/>
    <w:rsid w:val="00E844D2"/>
    <w:rsid w:val="00E84BEA"/>
    <w:rsid w:val="00E84BFB"/>
    <w:rsid w:val="00E8532F"/>
    <w:rsid w:val="00E858BE"/>
    <w:rsid w:val="00E85B99"/>
    <w:rsid w:val="00E861E4"/>
    <w:rsid w:val="00E865E2"/>
    <w:rsid w:val="00E86CE3"/>
    <w:rsid w:val="00E86D33"/>
    <w:rsid w:val="00E876F8"/>
    <w:rsid w:val="00E902A7"/>
    <w:rsid w:val="00E90603"/>
    <w:rsid w:val="00E909A7"/>
    <w:rsid w:val="00E90CE6"/>
    <w:rsid w:val="00E91049"/>
    <w:rsid w:val="00E91276"/>
    <w:rsid w:val="00E91BBF"/>
    <w:rsid w:val="00E92696"/>
    <w:rsid w:val="00E92791"/>
    <w:rsid w:val="00E92ACF"/>
    <w:rsid w:val="00E92FE3"/>
    <w:rsid w:val="00E9355A"/>
    <w:rsid w:val="00E93C01"/>
    <w:rsid w:val="00E945FE"/>
    <w:rsid w:val="00E94970"/>
    <w:rsid w:val="00E94E27"/>
    <w:rsid w:val="00E956DB"/>
    <w:rsid w:val="00E957BA"/>
    <w:rsid w:val="00E95A2A"/>
    <w:rsid w:val="00E95C60"/>
    <w:rsid w:val="00E96C96"/>
    <w:rsid w:val="00E97453"/>
    <w:rsid w:val="00E974B2"/>
    <w:rsid w:val="00E9757F"/>
    <w:rsid w:val="00E979A1"/>
    <w:rsid w:val="00E979BC"/>
    <w:rsid w:val="00E97DF3"/>
    <w:rsid w:val="00EA07C3"/>
    <w:rsid w:val="00EA125A"/>
    <w:rsid w:val="00EA1B03"/>
    <w:rsid w:val="00EA1BD6"/>
    <w:rsid w:val="00EA2858"/>
    <w:rsid w:val="00EA2908"/>
    <w:rsid w:val="00EA2C41"/>
    <w:rsid w:val="00EA302A"/>
    <w:rsid w:val="00EA3AD5"/>
    <w:rsid w:val="00EA3B1A"/>
    <w:rsid w:val="00EA3F06"/>
    <w:rsid w:val="00EA460D"/>
    <w:rsid w:val="00EA4832"/>
    <w:rsid w:val="00EA5737"/>
    <w:rsid w:val="00EA594D"/>
    <w:rsid w:val="00EA5B62"/>
    <w:rsid w:val="00EA5EA4"/>
    <w:rsid w:val="00EA605D"/>
    <w:rsid w:val="00EA63E7"/>
    <w:rsid w:val="00EA6FF7"/>
    <w:rsid w:val="00EA753E"/>
    <w:rsid w:val="00EB0C65"/>
    <w:rsid w:val="00EB1008"/>
    <w:rsid w:val="00EB1458"/>
    <w:rsid w:val="00EB1648"/>
    <w:rsid w:val="00EB2AD0"/>
    <w:rsid w:val="00EB3806"/>
    <w:rsid w:val="00EB3872"/>
    <w:rsid w:val="00EB3A97"/>
    <w:rsid w:val="00EB4028"/>
    <w:rsid w:val="00EB4044"/>
    <w:rsid w:val="00EB4778"/>
    <w:rsid w:val="00EB47EA"/>
    <w:rsid w:val="00EB4AA8"/>
    <w:rsid w:val="00EB4C56"/>
    <w:rsid w:val="00EB532B"/>
    <w:rsid w:val="00EB5781"/>
    <w:rsid w:val="00EB5C92"/>
    <w:rsid w:val="00EB5ECE"/>
    <w:rsid w:val="00EB6BFD"/>
    <w:rsid w:val="00EB6E46"/>
    <w:rsid w:val="00EB705F"/>
    <w:rsid w:val="00EB73B4"/>
    <w:rsid w:val="00EB7AC4"/>
    <w:rsid w:val="00EC04BC"/>
    <w:rsid w:val="00EC0903"/>
    <w:rsid w:val="00EC0AE8"/>
    <w:rsid w:val="00EC10CA"/>
    <w:rsid w:val="00EC13D1"/>
    <w:rsid w:val="00EC143F"/>
    <w:rsid w:val="00EC21AE"/>
    <w:rsid w:val="00EC2833"/>
    <w:rsid w:val="00EC2859"/>
    <w:rsid w:val="00EC2C51"/>
    <w:rsid w:val="00EC2D05"/>
    <w:rsid w:val="00EC2F57"/>
    <w:rsid w:val="00EC33E2"/>
    <w:rsid w:val="00EC3B4B"/>
    <w:rsid w:val="00EC3C0D"/>
    <w:rsid w:val="00EC4A50"/>
    <w:rsid w:val="00EC4A56"/>
    <w:rsid w:val="00EC5041"/>
    <w:rsid w:val="00EC50D7"/>
    <w:rsid w:val="00EC597B"/>
    <w:rsid w:val="00EC5A79"/>
    <w:rsid w:val="00EC612C"/>
    <w:rsid w:val="00EC76EC"/>
    <w:rsid w:val="00EC7A7D"/>
    <w:rsid w:val="00EC7AAE"/>
    <w:rsid w:val="00EC7ABE"/>
    <w:rsid w:val="00ED0050"/>
    <w:rsid w:val="00ED0551"/>
    <w:rsid w:val="00ED0A3F"/>
    <w:rsid w:val="00ED0DAF"/>
    <w:rsid w:val="00ED17CC"/>
    <w:rsid w:val="00ED1851"/>
    <w:rsid w:val="00ED1BE5"/>
    <w:rsid w:val="00ED1D3E"/>
    <w:rsid w:val="00ED20B3"/>
    <w:rsid w:val="00ED23F9"/>
    <w:rsid w:val="00ED28ED"/>
    <w:rsid w:val="00ED31E7"/>
    <w:rsid w:val="00ED3707"/>
    <w:rsid w:val="00ED3D38"/>
    <w:rsid w:val="00ED3D75"/>
    <w:rsid w:val="00ED3EBB"/>
    <w:rsid w:val="00ED3F08"/>
    <w:rsid w:val="00ED4097"/>
    <w:rsid w:val="00ED42F5"/>
    <w:rsid w:val="00ED514E"/>
    <w:rsid w:val="00ED534F"/>
    <w:rsid w:val="00ED5366"/>
    <w:rsid w:val="00ED5782"/>
    <w:rsid w:val="00ED58E5"/>
    <w:rsid w:val="00ED5C2E"/>
    <w:rsid w:val="00ED5CD2"/>
    <w:rsid w:val="00ED5FD0"/>
    <w:rsid w:val="00ED6689"/>
    <w:rsid w:val="00ED6C15"/>
    <w:rsid w:val="00ED6C8D"/>
    <w:rsid w:val="00ED6DE8"/>
    <w:rsid w:val="00ED72B3"/>
    <w:rsid w:val="00ED73F9"/>
    <w:rsid w:val="00EE012D"/>
    <w:rsid w:val="00EE0A76"/>
    <w:rsid w:val="00EE0AA2"/>
    <w:rsid w:val="00EE0CB2"/>
    <w:rsid w:val="00EE13CC"/>
    <w:rsid w:val="00EE14A1"/>
    <w:rsid w:val="00EE1980"/>
    <w:rsid w:val="00EE25F2"/>
    <w:rsid w:val="00EE2E4C"/>
    <w:rsid w:val="00EE3467"/>
    <w:rsid w:val="00EE38AD"/>
    <w:rsid w:val="00EE3940"/>
    <w:rsid w:val="00EE3C90"/>
    <w:rsid w:val="00EE3DD7"/>
    <w:rsid w:val="00EE4220"/>
    <w:rsid w:val="00EE4461"/>
    <w:rsid w:val="00EE4639"/>
    <w:rsid w:val="00EE51A9"/>
    <w:rsid w:val="00EE54CE"/>
    <w:rsid w:val="00EE5963"/>
    <w:rsid w:val="00EE69AE"/>
    <w:rsid w:val="00EE6B23"/>
    <w:rsid w:val="00EE722A"/>
    <w:rsid w:val="00EE74B2"/>
    <w:rsid w:val="00EE7620"/>
    <w:rsid w:val="00EE79A8"/>
    <w:rsid w:val="00EE7BEB"/>
    <w:rsid w:val="00EF0338"/>
    <w:rsid w:val="00EF0539"/>
    <w:rsid w:val="00EF084F"/>
    <w:rsid w:val="00EF0A43"/>
    <w:rsid w:val="00EF11CD"/>
    <w:rsid w:val="00EF11EF"/>
    <w:rsid w:val="00EF173A"/>
    <w:rsid w:val="00EF1F91"/>
    <w:rsid w:val="00EF23A4"/>
    <w:rsid w:val="00EF23D8"/>
    <w:rsid w:val="00EF29F3"/>
    <w:rsid w:val="00EF2A7B"/>
    <w:rsid w:val="00EF304B"/>
    <w:rsid w:val="00EF31B6"/>
    <w:rsid w:val="00EF3507"/>
    <w:rsid w:val="00EF369C"/>
    <w:rsid w:val="00EF4E78"/>
    <w:rsid w:val="00EF58FD"/>
    <w:rsid w:val="00EF59AF"/>
    <w:rsid w:val="00EF5F2B"/>
    <w:rsid w:val="00EF6DA9"/>
    <w:rsid w:val="00F001D4"/>
    <w:rsid w:val="00F00B35"/>
    <w:rsid w:val="00F01F69"/>
    <w:rsid w:val="00F022F6"/>
    <w:rsid w:val="00F039B1"/>
    <w:rsid w:val="00F042DD"/>
    <w:rsid w:val="00F045E3"/>
    <w:rsid w:val="00F056A2"/>
    <w:rsid w:val="00F05E7B"/>
    <w:rsid w:val="00F06A70"/>
    <w:rsid w:val="00F07784"/>
    <w:rsid w:val="00F0796E"/>
    <w:rsid w:val="00F103BA"/>
    <w:rsid w:val="00F10EF4"/>
    <w:rsid w:val="00F1114D"/>
    <w:rsid w:val="00F115C8"/>
    <w:rsid w:val="00F117F7"/>
    <w:rsid w:val="00F11C16"/>
    <w:rsid w:val="00F120C2"/>
    <w:rsid w:val="00F1236D"/>
    <w:rsid w:val="00F123E1"/>
    <w:rsid w:val="00F12646"/>
    <w:rsid w:val="00F132AA"/>
    <w:rsid w:val="00F1485E"/>
    <w:rsid w:val="00F148F9"/>
    <w:rsid w:val="00F152FD"/>
    <w:rsid w:val="00F15543"/>
    <w:rsid w:val="00F15FBF"/>
    <w:rsid w:val="00F15FD5"/>
    <w:rsid w:val="00F160FB"/>
    <w:rsid w:val="00F16A7E"/>
    <w:rsid w:val="00F17F0B"/>
    <w:rsid w:val="00F17F74"/>
    <w:rsid w:val="00F201C5"/>
    <w:rsid w:val="00F201F3"/>
    <w:rsid w:val="00F207AF"/>
    <w:rsid w:val="00F2080C"/>
    <w:rsid w:val="00F20882"/>
    <w:rsid w:val="00F20EF7"/>
    <w:rsid w:val="00F2149D"/>
    <w:rsid w:val="00F222A5"/>
    <w:rsid w:val="00F22459"/>
    <w:rsid w:val="00F22BAB"/>
    <w:rsid w:val="00F22C30"/>
    <w:rsid w:val="00F22FE0"/>
    <w:rsid w:val="00F23179"/>
    <w:rsid w:val="00F236BB"/>
    <w:rsid w:val="00F243C9"/>
    <w:rsid w:val="00F24458"/>
    <w:rsid w:val="00F24928"/>
    <w:rsid w:val="00F24E3D"/>
    <w:rsid w:val="00F24F6B"/>
    <w:rsid w:val="00F251CE"/>
    <w:rsid w:val="00F25412"/>
    <w:rsid w:val="00F256D4"/>
    <w:rsid w:val="00F25BDB"/>
    <w:rsid w:val="00F25E89"/>
    <w:rsid w:val="00F26022"/>
    <w:rsid w:val="00F264A5"/>
    <w:rsid w:val="00F267E0"/>
    <w:rsid w:val="00F269C6"/>
    <w:rsid w:val="00F26AA8"/>
    <w:rsid w:val="00F26EC4"/>
    <w:rsid w:val="00F27228"/>
    <w:rsid w:val="00F308A0"/>
    <w:rsid w:val="00F30BFD"/>
    <w:rsid w:val="00F30E19"/>
    <w:rsid w:val="00F31059"/>
    <w:rsid w:val="00F31086"/>
    <w:rsid w:val="00F3108E"/>
    <w:rsid w:val="00F310C1"/>
    <w:rsid w:val="00F315BA"/>
    <w:rsid w:val="00F31B4A"/>
    <w:rsid w:val="00F320E9"/>
    <w:rsid w:val="00F322EF"/>
    <w:rsid w:val="00F324A9"/>
    <w:rsid w:val="00F325DE"/>
    <w:rsid w:val="00F32673"/>
    <w:rsid w:val="00F32BA1"/>
    <w:rsid w:val="00F32FD1"/>
    <w:rsid w:val="00F332F7"/>
    <w:rsid w:val="00F33D24"/>
    <w:rsid w:val="00F33F85"/>
    <w:rsid w:val="00F340C3"/>
    <w:rsid w:val="00F3411E"/>
    <w:rsid w:val="00F34216"/>
    <w:rsid w:val="00F3428C"/>
    <w:rsid w:val="00F343DA"/>
    <w:rsid w:val="00F3491C"/>
    <w:rsid w:val="00F3531C"/>
    <w:rsid w:val="00F35346"/>
    <w:rsid w:val="00F35391"/>
    <w:rsid w:val="00F359A2"/>
    <w:rsid w:val="00F36453"/>
    <w:rsid w:val="00F367EC"/>
    <w:rsid w:val="00F37206"/>
    <w:rsid w:val="00F37516"/>
    <w:rsid w:val="00F37E0E"/>
    <w:rsid w:val="00F4028A"/>
    <w:rsid w:val="00F404D8"/>
    <w:rsid w:val="00F410F8"/>
    <w:rsid w:val="00F41598"/>
    <w:rsid w:val="00F42167"/>
    <w:rsid w:val="00F4269C"/>
    <w:rsid w:val="00F426EA"/>
    <w:rsid w:val="00F42D81"/>
    <w:rsid w:val="00F43017"/>
    <w:rsid w:val="00F430A0"/>
    <w:rsid w:val="00F43912"/>
    <w:rsid w:val="00F439A6"/>
    <w:rsid w:val="00F441C0"/>
    <w:rsid w:val="00F44567"/>
    <w:rsid w:val="00F45986"/>
    <w:rsid w:val="00F45C86"/>
    <w:rsid w:val="00F45DBA"/>
    <w:rsid w:val="00F462F0"/>
    <w:rsid w:val="00F465F1"/>
    <w:rsid w:val="00F46A5C"/>
    <w:rsid w:val="00F476E5"/>
    <w:rsid w:val="00F4788E"/>
    <w:rsid w:val="00F501A4"/>
    <w:rsid w:val="00F505F1"/>
    <w:rsid w:val="00F50841"/>
    <w:rsid w:val="00F50B96"/>
    <w:rsid w:val="00F50E69"/>
    <w:rsid w:val="00F5102F"/>
    <w:rsid w:val="00F51C6F"/>
    <w:rsid w:val="00F52C9A"/>
    <w:rsid w:val="00F5353A"/>
    <w:rsid w:val="00F535F1"/>
    <w:rsid w:val="00F5396C"/>
    <w:rsid w:val="00F53976"/>
    <w:rsid w:val="00F53BF4"/>
    <w:rsid w:val="00F5414F"/>
    <w:rsid w:val="00F5431D"/>
    <w:rsid w:val="00F545D0"/>
    <w:rsid w:val="00F55DAE"/>
    <w:rsid w:val="00F55F31"/>
    <w:rsid w:val="00F560E4"/>
    <w:rsid w:val="00F56221"/>
    <w:rsid w:val="00F5720F"/>
    <w:rsid w:val="00F572FC"/>
    <w:rsid w:val="00F5739E"/>
    <w:rsid w:val="00F57992"/>
    <w:rsid w:val="00F61DB1"/>
    <w:rsid w:val="00F62075"/>
    <w:rsid w:val="00F6211C"/>
    <w:rsid w:val="00F63205"/>
    <w:rsid w:val="00F6347D"/>
    <w:rsid w:val="00F63600"/>
    <w:rsid w:val="00F6448A"/>
    <w:rsid w:val="00F64786"/>
    <w:rsid w:val="00F65098"/>
    <w:rsid w:val="00F66DA7"/>
    <w:rsid w:val="00F6720C"/>
    <w:rsid w:val="00F7034A"/>
    <w:rsid w:val="00F7065D"/>
    <w:rsid w:val="00F709A2"/>
    <w:rsid w:val="00F709C4"/>
    <w:rsid w:val="00F71C55"/>
    <w:rsid w:val="00F72CED"/>
    <w:rsid w:val="00F735D7"/>
    <w:rsid w:val="00F737A4"/>
    <w:rsid w:val="00F73A2E"/>
    <w:rsid w:val="00F73E9D"/>
    <w:rsid w:val="00F74377"/>
    <w:rsid w:val="00F749CD"/>
    <w:rsid w:val="00F74D39"/>
    <w:rsid w:val="00F74D55"/>
    <w:rsid w:val="00F753B7"/>
    <w:rsid w:val="00F75941"/>
    <w:rsid w:val="00F75AB3"/>
    <w:rsid w:val="00F75E4C"/>
    <w:rsid w:val="00F763F1"/>
    <w:rsid w:val="00F764DA"/>
    <w:rsid w:val="00F77080"/>
    <w:rsid w:val="00F772C4"/>
    <w:rsid w:val="00F773C3"/>
    <w:rsid w:val="00F7746F"/>
    <w:rsid w:val="00F77A8B"/>
    <w:rsid w:val="00F80071"/>
    <w:rsid w:val="00F81117"/>
    <w:rsid w:val="00F81212"/>
    <w:rsid w:val="00F81C60"/>
    <w:rsid w:val="00F82431"/>
    <w:rsid w:val="00F827FB"/>
    <w:rsid w:val="00F8285F"/>
    <w:rsid w:val="00F82C5D"/>
    <w:rsid w:val="00F82DD1"/>
    <w:rsid w:val="00F832BA"/>
    <w:rsid w:val="00F839B4"/>
    <w:rsid w:val="00F83BC1"/>
    <w:rsid w:val="00F83D6A"/>
    <w:rsid w:val="00F83E22"/>
    <w:rsid w:val="00F8404A"/>
    <w:rsid w:val="00F84284"/>
    <w:rsid w:val="00F84642"/>
    <w:rsid w:val="00F85F2C"/>
    <w:rsid w:val="00F8632B"/>
    <w:rsid w:val="00F86997"/>
    <w:rsid w:val="00F87EA6"/>
    <w:rsid w:val="00F901B1"/>
    <w:rsid w:val="00F90975"/>
    <w:rsid w:val="00F90F32"/>
    <w:rsid w:val="00F90FF8"/>
    <w:rsid w:val="00F91188"/>
    <w:rsid w:val="00F9184A"/>
    <w:rsid w:val="00F91929"/>
    <w:rsid w:val="00F91DD6"/>
    <w:rsid w:val="00F91FC0"/>
    <w:rsid w:val="00F920F4"/>
    <w:rsid w:val="00F92A21"/>
    <w:rsid w:val="00F931F9"/>
    <w:rsid w:val="00F9366E"/>
    <w:rsid w:val="00F93CC0"/>
    <w:rsid w:val="00F93E81"/>
    <w:rsid w:val="00F940CF"/>
    <w:rsid w:val="00F944E2"/>
    <w:rsid w:val="00F94EFD"/>
    <w:rsid w:val="00F95040"/>
    <w:rsid w:val="00F952E8"/>
    <w:rsid w:val="00F959F6"/>
    <w:rsid w:val="00F95D0F"/>
    <w:rsid w:val="00F96093"/>
    <w:rsid w:val="00F96369"/>
    <w:rsid w:val="00F9642E"/>
    <w:rsid w:val="00F96B0A"/>
    <w:rsid w:val="00F96C20"/>
    <w:rsid w:val="00F970AF"/>
    <w:rsid w:val="00F971FC"/>
    <w:rsid w:val="00F9792F"/>
    <w:rsid w:val="00F97D16"/>
    <w:rsid w:val="00F97D68"/>
    <w:rsid w:val="00FA0084"/>
    <w:rsid w:val="00FA10D7"/>
    <w:rsid w:val="00FA11AC"/>
    <w:rsid w:val="00FA13B5"/>
    <w:rsid w:val="00FA1959"/>
    <w:rsid w:val="00FA1C5A"/>
    <w:rsid w:val="00FA1E7D"/>
    <w:rsid w:val="00FA2258"/>
    <w:rsid w:val="00FA31DF"/>
    <w:rsid w:val="00FA34B9"/>
    <w:rsid w:val="00FA3A3F"/>
    <w:rsid w:val="00FA3B35"/>
    <w:rsid w:val="00FA3D04"/>
    <w:rsid w:val="00FA3DA0"/>
    <w:rsid w:val="00FA3FE8"/>
    <w:rsid w:val="00FA56C6"/>
    <w:rsid w:val="00FA5847"/>
    <w:rsid w:val="00FA589A"/>
    <w:rsid w:val="00FA5ACB"/>
    <w:rsid w:val="00FA601E"/>
    <w:rsid w:val="00FA6418"/>
    <w:rsid w:val="00FA6C7E"/>
    <w:rsid w:val="00FA7014"/>
    <w:rsid w:val="00FA76A8"/>
    <w:rsid w:val="00FA79D0"/>
    <w:rsid w:val="00FB00B5"/>
    <w:rsid w:val="00FB01CE"/>
    <w:rsid w:val="00FB0280"/>
    <w:rsid w:val="00FB07DD"/>
    <w:rsid w:val="00FB10D2"/>
    <w:rsid w:val="00FB1620"/>
    <w:rsid w:val="00FB1885"/>
    <w:rsid w:val="00FB188E"/>
    <w:rsid w:val="00FB1E67"/>
    <w:rsid w:val="00FB1ECE"/>
    <w:rsid w:val="00FB1FAF"/>
    <w:rsid w:val="00FB2DB7"/>
    <w:rsid w:val="00FB2EC5"/>
    <w:rsid w:val="00FB3011"/>
    <w:rsid w:val="00FB3286"/>
    <w:rsid w:val="00FB3560"/>
    <w:rsid w:val="00FB3AF1"/>
    <w:rsid w:val="00FB3F9B"/>
    <w:rsid w:val="00FB4400"/>
    <w:rsid w:val="00FB4C0A"/>
    <w:rsid w:val="00FB5167"/>
    <w:rsid w:val="00FB553E"/>
    <w:rsid w:val="00FB55A4"/>
    <w:rsid w:val="00FB5873"/>
    <w:rsid w:val="00FB58E2"/>
    <w:rsid w:val="00FB635A"/>
    <w:rsid w:val="00FB6499"/>
    <w:rsid w:val="00FB69BB"/>
    <w:rsid w:val="00FB7571"/>
    <w:rsid w:val="00FB7A9B"/>
    <w:rsid w:val="00FC02BD"/>
    <w:rsid w:val="00FC02F2"/>
    <w:rsid w:val="00FC03FB"/>
    <w:rsid w:val="00FC0519"/>
    <w:rsid w:val="00FC0EC8"/>
    <w:rsid w:val="00FC1012"/>
    <w:rsid w:val="00FC12FE"/>
    <w:rsid w:val="00FC1D27"/>
    <w:rsid w:val="00FC1DED"/>
    <w:rsid w:val="00FC2137"/>
    <w:rsid w:val="00FC269A"/>
    <w:rsid w:val="00FC2F2B"/>
    <w:rsid w:val="00FC38F3"/>
    <w:rsid w:val="00FC3BBF"/>
    <w:rsid w:val="00FC3FD8"/>
    <w:rsid w:val="00FC4521"/>
    <w:rsid w:val="00FC48E3"/>
    <w:rsid w:val="00FC4CB8"/>
    <w:rsid w:val="00FC5319"/>
    <w:rsid w:val="00FC5625"/>
    <w:rsid w:val="00FC5632"/>
    <w:rsid w:val="00FC5A03"/>
    <w:rsid w:val="00FC5C92"/>
    <w:rsid w:val="00FC5F0B"/>
    <w:rsid w:val="00FC6D42"/>
    <w:rsid w:val="00FC6D71"/>
    <w:rsid w:val="00FC710D"/>
    <w:rsid w:val="00FC73A6"/>
    <w:rsid w:val="00FC748E"/>
    <w:rsid w:val="00FC76E6"/>
    <w:rsid w:val="00FC7B5A"/>
    <w:rsid w:val="00FC7D3F"/>
    <w:rsid w:val="00FD0944"/>
    <w:rsid w:val="00FD0B26"/>
    <w:rsid w:val="00FD1206"/>
    <w:rsid w:val="00FD12B7"/>
    <w:rsid w:val="00FD29D4"/>
    <w:rsid w:val="00FD2A20"/>
    <w:rsid w:val="00FD2DE1"/>
    <w:rsid w:val="00FD3073"/>
    <w:rsid w:val="00FD3609"/>
    <w:rsid w:val="00FD3869"/>
    <w:rsid w:val="00FD3AA0"/>
    <w:rsid w:val="00FD3B4A"/>
    <w:rsid w:val="00FD4527"/>
    <w:rsid w:val="00FD4B08"/>
    <w:rsid w:val="00FD4D41"/>
    <w:rsid w:val="00FD4EB2"/>
    <w:rsid w:val="00FD5533"/>
    <w:rsid w:val="00FD6068"/>
    <w:rsid w:val="00FD6749"/>
    <w:rsid w:val="00FD7532"/>
    <w:rsid w:val="00FD76C3"/>
    <w:rsid w:val="00FD7980"/>
    <w:rsid w:val="00FD7B81"/>
    <w:rsid w:val="00FE0CB1"/>
    <w:rsid w:val="00FE0CD9"/>
    <w:rsid w:val="00FE0CE6"/>
    <w:rsid w:val="00FE0E42"/>
    <w:rsid w:val="00FE100A"/>
    <w:rsid w:val="00FE1417"/>
    <w:rsid w:val="00FE2D52"/>
    <w:rsid w:val="00FE3241"/>
    <w:rsid w:val="00FE343E"/>
    <w:rsid w:val="00FE39EF"/>
    <w:rsid w:val="00FE3E5C"/>
    <w:rsid w:val="00FE401A"/>
    <w:rsid w:val="00FE40D3"/>
    <w:rsid w:val="00FE444D"/>
    <w:rsid w:val="00FE451A"/>
    <w:rsid w:val="00FE4C72"/>
    <w:rsid w:val="00FE4D32"/>
    <w:rsid w:val="00FE51DD"/>
    <w:rsid w:val="00FE58B8"/>
    <w:rsid w:val="00FE6674"/>
    <w:rsid w:val="00FE6996"/>
    <w:rsid w:val="00FE6A3F"/>
    <w:rsid w:val="00FE6EBD"/>
    <w:rsid w:val="00FE763D"/>
    <w:rsid w:val="00FE7AA6"/>
    <w:rsid w:val="00FF00E3"/>
    <w:rsid w:val="00FF0D1B"/>
    <w:rsid w:val="00FF0EBA"/>
    <w:rsid w:val="00FF11A0"/>
    <w:rsid w:val="00FF183C"/>
    <w:rsid w:val="00FF1A14"/>
    <w:rsid w:val="00FF2D01"/>
    <w:rsid w:val="00FF3ADB"/>
    <w:rsid w:val="00FF3C13"/>
    <w:rsid w:val="00FF3D9A"/>
    <w:rsid w:val="00FF3F55"/>
    <w:rsid w:val="00FF445A"/>
    <w:rsid w:val="00FF44CE"/>
    <w:rsid w:val="00FF45E8"/>
    <w:rsid w:val="00FF49A8"/>
    <w:rsid w:val="00FF5296"/>
    <w:rsid w:val="00FF52D4"/>
    <w:rsid w:val="00FF5F09"/>
    <w:rsid w:val="00FF5F87"/>
    <w:rsid w:val="00FF61D4"/>
    <w:rsid w:val="00FF636D"/>
    <w:rsid w:val="00FF6399"/>
    <w:rsid w:val="00FF6869"/>
    <w:rsid w:val="00FF6F6F"/>
    <w:rsid w:val="00FF73FA"/>
    <w:rsid w:val="00FF7642"/>
    <w:rsid w:val="00FF78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DA79BD5"/>
  <w15:docId w15:val="{03533CAC-69BB-4D41-A946-D2A2F122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7AB1"/>
    <w:rPr>
      <w:rFonts w:ascii="Times New Roman" w:eastAsia="Times New Roman" w:hAnsi="Times New Roman"/>
      <w:sz w:val="24"/>
      <w:lang w:eastAsia="pl-PL"/>
    </w:rPr>
  </w:style>
  <w:style w:type="paragraph" w:styleId="Nagwek1">
    <w:name w:val="heading 1"/>
    <w:basedOn w:val="akapitosobny"/>
    <w:link w:val="Nagwek1Znak"/>
    <w:uiPriority w:val="99"/>
    <w:qFormat/>
    <w:locked/>
    <w:rsid w:val="00C37AB1"/>
    <w:pPr>
      <w:outlineLvl w:val="0"/>
    </w:pPr>
    <w:rPr>
      <w:b/>
    </w:rPr>
  </w:style>
  <w:style w:type="paragraph" w:styleId="Nagwek2">
    <w:name w:val="heading 2"/>
    <w:aliases w:val="akapit osobny_2"/>
    <w:basedOn w:val="akapitosobny"/>
    <w:next w:val="akapitosobny"/>
    <w:link w:val="Nagwek2Znak"/>
    <w:qFormat/>
    <w:locked/>
    <w:rsid w:val="00772482"/>
    <w:pPr>
      <w:keepNext/>
      <w:suppressAutoHyphens/>
      <w:spacing w:after="120"/>
      <w:outlineLvl w:val="1"/>
    </w:pPr>
    <w:rPr>
      <w:szCs w:val="24"/>
    </w:rPr>
  </w:style>
  <w:style w:type="paragraph" w:styleId="Nagwek3">
    <w:name w:val="heading 3"/>
    <w:aliases w:val="akapit osobny_3"/>
    <w:basedOn w:val="akapitosobny"/>
    <w:next w:val="akapitosobny"/>
    <w:link w:val="Nagwek3Znak"/>
    <w:autoRedefine/>
    <w:qFormat/>
    <w:locked/>
    <w:rsid w:val="00BD6C3F"/>
    <w:pPr>
      <w:shd w:val="clear" w:color="auto" w:fill="FFFFFF" w:themeFill="background1"/>
      <w:outlineLvl w:val="2"/>
    </w:pPr>
  </w:style>
  <w:style w:type="paragraph" w:styleId="Nagwek4">
    <w:name w:val="heading 4"/>
    <w:aliases w:val="Nagłówek 4_b_1."/>
    <w:basedOn w:val="Nagwek3"/>
    <w:link w:val="Nagwek4Znak"/>
    <w:qFormat/>
    <w:locked/>
    <w:rsid w:val="00C37AB1"/>
    <w:pPr>
      <w:numPr>
        <w:ilvl w:val="3"/>
      </w:numPr>
      <w:outlineLvl w:val="3"/>
    </w:pPr>
  </w:style>
  <w:style w:type="paragraph" w:styleId="Nagwek5">
    <w:name w:val="heading 5"/>
    <w:basedOn w:val="Normalny"/>
    <w:next w:val="Normalny"/>
    <w:link w:val="Nagwek5Znak"/>
    <w:unhideWhenUsed/>
    <w:qFormat/>
    <w:locked/>
    <w:rsid w:val="00AF1DEB"/>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71B05"/>
    <w:pPr>
      <w:ind w:left="720"/>
      <w:contextualSpacing/>
    </w:pPr>
  </w:style>
  <w:style w:type="character" w:customStyle="1" w:styleId="Nagwek1Znak">
    <w:name w:val="Nagłówek 1 Znak"/>
    <w:basedOn w:val="Domylnaczcionkaakapitu"/>
    <w:link w:val="Nagwek1"/>
    <w:uiPriority w:val="99"/>
    <w:rsid w:val="00C37AB1"/>
    <w:rPr>
      <w:rFonts w:ascii="Times New Roman" w:eastAsia="Times New Roman" w:hAnsi="Times New Roman"/>
      <w:b/>
      <w:sz w:val="24"/>
      <w:lang w:eastAsia="pl-PL"/>
    </w:rPr>
  </w:style>
  <w:style w:type="character" w:customStyle="1" w:styleId="Nagwek2Znak">
    <w:name w:val="Nagłówek 2 Znak"/>
    <w:aliases w:val="akapit osobny_2 Znak"/>
    <w:basedOn w:val="Domylnaczcionkaakapitu"/>
    <w:link w:val="Nagwek2"/>
    <w:rsid w:val="00772482"/>
    <w:rPr>
      <w:rFonts w:ascii="Times New Roman" w:eastAsia="Times New Roman" w:hAnsi="Times New Roman"/>
      <w:sz w:val="24"/>
      <w:szCs w:val="24"/>
      <w:lang w:eastAsia="pl-PL"/>
    </w:rPr>
  </w:style>
  <w:style w:type="character" w:customStyle="1" w:styleId="Nagwek3Znak">
    <w:name w:val="Nagłówek 3 Znak"/>
    <w:aliases w:val="akapit osobny_3 Znak"/>
    <w:basedOn w:val="Domylnaczcionkaakapitu"/>
    <w:link w:val="Nagwek3"/>
    <w:rsid w:val="00BD6C3F"/>
    <w:rPr>
      <w:rFonts w:ascii="Times New Roman" w:eastAsia="Times New Roman" w:hAnsi="Times New Roman"/>
      <w:sz w:val="24"/>
      <w:shd w:val="clear" w:color="auto" w:fill="FFFFFF" w:themeFill="background1"/>
      <w:lang w:eastAsia="pl-PL"/>
    </w:rPr>
  </w:style>
  <w:style w:type="character" w:customStyle="1" w:styleId="Nagwek4Znak">
    <w:name w:val="Nagłówek 4 Znak"/>
    <w:aliases w:val="Nagłówek 4_b_1. Znak"/>
    <w:basedOn w:val="Domylnaczcionkaakapitu"/>
    <w:link w:val="Nagwek4"/>
    <w:rsid w:val="00C37AB1"/>
    <w:rPr>
      <w:rFonts w:ascii="Times New Roman" w:eastAsia="Times New Roman" w:hAnsi="Times New Roman"/>
      <w:sz w:val="24"/>
      <w:shd w:val="clear" w:color="auto" w:fill="FFFFFF" w:themeFill="background1"/>
      <w:lang w:eastAsia="pl-PL"/>
    </w:rPr>
  </w:style>
  <w:style w:type="paragraph" w:customStyle="1" w:styleId="akapitosobny">
    <w:name w:val="akapit osobny"/>
    <w:basedOn w:val="Normalny"/>
    <w:link w:val="akapitosobnyZnak"/>
    <w:qFormat/>
    <w:rsid w:val="00C37AB1"/>
    <w:pPr>
      <w:spacing w:before="120" w:line="300" w:lineRule="atLeast"/>
      <w:jc w:val="both"/>
    </w:pPr>
  </w:style>
  <w:style w:type="character" w:customStyle="1" w:styleId="akapitosobnyZnak">
    <w:name w:val="akapit osobny Znak"/>
    <w:link w:val="akapitosobny"/>
    <w:locked/>
    <w:rsid w:val="00C37AB1"/>
    <w:rPr>
      <w:rFonts w:ascii="Times New Roman" w:eastAsia="Times New Roman" w:hAnsi="Times New Roman"/>
      <w:sz w:val="24"/>
      <w:lang w:eastAsia="pl-PL"/>
    </w:rPr>
  </w:style>
  <w:style w:type="paragraph" w:customStyle="1" w:styleId="adresat">
    <w:name w:val="adresat"/>
    <w:basedOn w:val="Normalny"/>
    <w:rsid w:val="00C37AB1"/>
    <w:pPr>
      <w:suppressAutoHyphens/>
      <w:spacing w:before="1440"/>
      <w:ind w:left="5670"/>
    </w:pPr>
    <w:rPr>
      <w:rFonts w:ascii="Arial" w:hAnsi="Arial"/>
      <w:b/>
      <w:color w:val="000080"/>
    </w:rPr>
  </w:style>
  <w:style w:type="paragraph" w:customStyle="1" w:styleId="akapitwgrupie">
    <w:name w:val="akapit w grupie"/>
    <w:basedOn w:val="akapitosobny"/>
    <w:link w:val="akapitwgrupieZnak"/>
    <w:qFormat/>
    <w:rsid w:val="00C37AB1"/>
    <w:pPr>
      <w:spacing w:before="0"/>
      <w:ind w:firstLine="567"/>
    </w:pPr>
  </w:style>
  <w:style w:type="character" w:customStyle="1" w:styleId="akapitwgrupieZnak">
    <w:name w:val="akapit w grupie Znak"/>
    <w:link w:val="akapitwgrupie"/>
    <w:locked/>
    <w:rsid w:val="00C37AB1"/>
    <w:rPr>
      <w:rFonts w:ascii="Times New Roman" w:eastAsia="Times New Roman" w:hAnsi="Times New Roman"/>
      <w:sz w:val="24"/>
      <w:lang w:eastAsia="pl-PL"/>
    </w:rPr>
  </w:style>
  <w:style w:type="character" w:styleId="Odwoanieprzypisudolnego">
    <w:name w:val="footnote reference"/>
    <w:aliases w:val="FZ,BVI fnr,Odwołanie przypisu,Odwo³anie przypisu,Footnote Reference Number,Footnote symbol,Footnote reference number,note TESI,SUPERS,EN Footnote Reference,Footnote number,Ref,de nota al pie,Odwo3anie przypisu,Times 10 Point"/>
    <w:qFormat/>
    <w:rsid w:val="00C37AB1"/>
    <w:rPr>
      <w:rFonts w:ascii="Courier New" w:hAnsi="Courier New" w:cs="Times New Roman"/>
      <w:b/>
      <w:color w:val="FF0000"/>
      <w:sz w:val="22"/>
      <w:vertAlign w:val="superscript"/>
    </w:rPr>
  </w:style>
  <w:style w:type="paragraph" w:customStyle="1" w:styleId="przykadwgrupie">
    <w:name w:val="przykład w grupie"/>
    <w:basedOn w:val="Normalny"/>
    <w:link w:val="przykadwgrupieZnak"/>
    <w:qFormat/>
    <w:rsid w:val="00C37AB1"/>
    <w:pPr>
      <w:ind w:left="567" w:right="567" w:firstLine="567"/>
      <w:jc w:val="both"/>
    </w:pPr>
    <w:rPr>
      <w:sz w:val="21"/>
    </w:rPr>
  </w:style>
  <w:style w:type="paragraph" w:styleId="Tekstprzypisudolnego">
    <w:name w:val="footnote text"/>
    <w:aliases w:val="Podrozdział,Footnote,Podrozdzia3,Tekst przypisu,-E Fuﬂnotentext,Fuﬂnotentext Ursprung,Fußnotentext Ursprung,-E Fußnotentext,Fußnote,Footnote text,Tekst przypisu Znak Znak Znak Znak"/>
    <w:basedOn w:val="Normalny"/>
    <w:link w:val="TekstprzypisudolnegoZnak"/>
    <w:uiPriority w:val="99"/>
    <w:qFormat/>
    <w:rsid w:val="00C37AB1"/>
    <w:pPr>
      <w:widowControl w:val="0"/>
    </w:pPr>
    <w:rPr>
      <w:sz w:val="18"/>
    </w:rPr>
  </w:style>
  <w:style w:type="character" w:customStyle="1" w:styleId="TekstprzypisudolnegoZnak">
    <w:name w:val="Tekst przypisu dolnego Znak"/>
    <w:aliases w:val="Podrozdział Znak,Footnote Znak,Podrozdzia3 Znak,Tekst przypisu Znak,-E Fuﬂnotentext Znak,Fuﬂnotentext Ursprung Znak,Fußnotentext Ursprung Znak,-E Fußnotentext Znak,Fußnote Znak,Footnote text Znak"/>
    <w:basedOn w:val="Domylnaczcionkaakapitu"/>
    <w:link w:val="Tekstprzypisudolnego"/>
    <w:uiPriority w:val="99"/>
    <w:qFormat/>
    <w:rsid w:val="00C37AB1"/>
    <w:rPr>
      <w:rFonts w:ascii="Times New Roman" w:eastAsia="Times New Roman" w:hAnsi="Times New Roman"/>
      <w:sz w:val="18"/>
      <w:lang w:eastAsia="pl-PL"/>
    </w:rPr>
  </w:style>
  <w:style w:type="paragraph" w:customStyle="1" w:styleId="wyliczPkt">
    <w:name w:val="wyliczPkt"/>
    <w:basedOn w:val="akapitwgrupie"/>
    <w:qFormat/>
    <w:rsid w:val="00C37AB1"/>
    <w:pPr>
      <w:numPr>
        <w:numId w:val="1"/>
      </w:numPr>
      <w:tabs>
        <w:tab w:val="clear" w:pos="1440"/>
        <w:tab w:val="num" w:pos="360"/>
      </w:tabs>
      <w:ind w:left="426" w:hanging="426"/>
    </w:pPr>
  </w:style>
  <w:style w:type="character" w:styleId="Odwoaniedokomentarza">
    <w:name w:val="annotation reference"/>
    <w:uiPriority w:val="99"/>
    <w:rsid w:val="00C37AB1"/>
    <w:rPr>
      <w:rFonts w:cs="Times New Roman"/>
      <w:sz w:val="16"/>
    </w:rPr>
  </w:style>
  <w:style w:type="paragraph" w:styleId="Tekstkomentarza">
    <w:name w:val="annotation text"/>
    <w:basedOn w:val="Normalny"/>
    <w:link w:val="TekstkomentarzaZnak"/>
    <w:uiPriority w:val="99"/>
    <w:rsid w:val="00C37AB1"/>
    <w:rPr>
      <w:sz w:val="20"/>
    </w:rPr>
  </w:style>
  <w:style w:type="character" w:customStyle="1" w:styleId="TekstkomentarzaZnak">
    <w:name w:val="Tekst komentarza Znak"/>
    <w:basedOn w:val="Domylnaczcionkaakapitu"/>
    <w:link w:val="Tekstkomentarza"/>
    <w:uiPriority w:val="99"/>
    <w:rsid w:val="00C37AB1"/>
    <w:rPr>
      <w:rFonts w:ascii="Times New Roman" w:eastAsia="Times New Roman" w:hAnsi="Times New Roman"/>
      <w:lang w:eastAsia="pl-PL"/>
    </w:rPr>
  </w:style>
  <w:style w:type="paragraph" w:styleId="Nagwek">
    <w:name w:val="header"/>
    <w:basedOn w:val="Normalny"/>
    <w:link w:val="NagwekZnak"/>
    <w:rsid w:val="00C37AB1"/>
    <w:pPr>
      <w:tabs>
        <w:tab w:val="center" w:pos="4536"/>
        <w:tab w:val="right" w:pos="9072"/>
      </w:tabs>
    </w:pPr>
    <w:rPr>
      <w:sz w:val="20"/>
    </w:rPr>
  </w:style>
  <w:style w:type="character" w:customStyle="1" w:styleId="NagwekZnak">
    <w:name w:val="Nagłówek Znak"/>
    <w:basedOn w:val="Domylnaczcionkaakapitu"/>
    <w:link w:val="Nagwek"/>
    <w:rsid w:val="00C37AB1"/>
    <w:rPr>
      <w:rFonts w:ascii="Times New Roman" w:eastAsia="Times New Roman" w:hAnsi="Times New Roman"/>
      <w:lang w:eastAsia="pl-PL"/>
    </w:rPr>
  </w:style>
  <w:style w:type="paragraph" w:styleId="Stopka">
    <w:name w:val="footer"/>
    <w:basedOn w:val="Normalny"/>
    <w:link w:val="StopkaZnak"/>
    <w:uiPriority w:val="99"/>
    <w:rsid w:val="00C37AB1"/>
    <w:pPr>
      <w:tabs>
        <w:tab w:val="center" w:pos="4536"/>
        <w:tab w:val="right" w:pos="9072"/>
      </w:tabs>
    </w:pPr>
    <w:rPr>
      <w:sz w:val="20"/>
    </w:rPr>
  </w:style>
  <w:style w:type="character" w:customStyle="1" w:styleId="StopkaZnak">
    <w:name w:val="Stopka Znak"/>
    <w:basedOn w:val="Domylnaczcionkaakapitu"/>
    <w:link w:val="Stopka"/>
    <w:uiPriority w:val="99"/>
    <w:rsid w:val="00C37AB1"/>
    <w:rPr>
      <w:rFonts w:ascii="Times New Roman" w:eastAsia="Times New Roman" w:hAnsi="Times New Roman"/>
      <w:lang w:eastAsia="pl-PL"/>
    </w:rPr>
  </w:style>
  <w:style w:type="character" w:styleId="Numerstrony">
    <w:name w:val="page number"/>
    <w:uiPriority w:val="99"/>
    <w:rsid w:val="00C37AB1"/>
    <w:rPr>
      <w:rFonts w:cs="Times New Roman"/>
    </w:rPr>
  </w:style>
  <w:style w:type="paragraph" w:customStyle="1" w:styleId="przykadosobny">
    <w:name w:val="przykad osobny"/>
    <w:basedOn w:val="Normalny"/>
    <w:link w:val="przykadosobnyZnak"/>
    <w:autoRedefine/>
    <w:uiPriority w:val="99"/>
    <w:rsid w:val="002D325D"/>
    <w:pPr>
      <w:ind w:right="567"/>
      <w:jc w:val="both"/>
    </w:pPr>
    <w:rPr>
      <w:spacing w:val="-2"/>
      <w:sz w:val="21"/>
      <w:szCs w:val="24"/>
    </w:rPr>
  </w:style>
  <w:style w:type="character" w:customStyle="1" w:styleId="przykadosobnyZnak">
    <w:name w:val="przykad osobny Znak"/>
    <w:link w:val="przykadosobny"/>
    <w:uiPriority w:val="99"/>
    <w:locked/>
    <w:rsid w:val="002D325D"/>
    <w:rPr>
      <w:rFonts w:ascii="Times New Roman" w:eastAsia="Times New Roman" w:hAnsi="Times New Roman"/>
      <w:spacing w:val="-2"/>
      <w:sz w:val="21"/>
      <w:szCs w:val="24"/>
      <w:lang w:eastAsia="pl-PL"/>
    </w:rPr>
  </w:style>
  <w:style w:type="paragraph" w:customStyle="1" w:styleId="przykadosobny0">
    <w:name w:val="przykład osobny"/>
    <w:basedOn w:val="Normalny"/>
    <w:next w:val="Normalny"/>
    <w:link w:val="przykadosobnyZnak0"/>
    <w:qFormat/>
    <w:rsid w:val="00C37AB1"/>
    <w:pPr>
      <w:spacing w:before="120"/>
      <w:ind w:left="567" w:right="567"/>
      <w:jc w:val="both"/>
    </w:pPr>
    <w:rPr>
      <w:sz w:val="21"/>
    </w:rPr>
  </w:style>
  <w:style w:type="character" w:customStyle="1" w:styleId="przykadosobnyZnak0">
    <w:name w:val="przykład osobny Znak"/>
    <w:link w:val="przykadosobny0"/>
    <w:locked/>
    <w:rsid w:val="00C37AB1"/>
    <w:rPr>
      <w:rFonts w:ascii="Times New Roman" w:eastAsia="Times New Roman" w:hAnsi="Times New Roman"/>
      <w:sz w:val="21"/>
      <w:lang w:eastAsia="pl-PL"/>
    </w:rPr>
  </w:style>
  <w:style w:type="character" w:customStyle="1" w:styleId="Znakiprzypiswdolnych">
    <w:name w:val="Znaki przypisów dolnych"/>
    <w:rsid w:val="00C37AB1"/>
    <w:rPr>
      <w:rFonts w:ascii="Courier New" w:hAnsi="Courier New" w:cs="Courier New"/>
      <w:b/>
      <w:color w:val="FF0000"/>
      <w:sz w:val="22"/>
      <w:vertAlign w:val="superscript"/>
    </w:rPr>
  </w:style>
  <w:style w:type="character" w:customStyle="1" w:styleId="przykadwgrupieZnak">
    <w:name w:val="przykład w grupie Znak"/>
    <w:link w:val="przykadwgrupie"/>
    <w:rsid w:val="00C37AB1"/>
    <w:rPr>
      <w:rFonts w:ascii="Times New Roman" w:eastAsia="Times New Roman" w:hAnsi="Times New Roman"/>
      <w:sz w:val="21"/>
      <w:lang w:eastAsia="pl-PL"/>
    </w:rPr>
  </w:style>
  <w:style w:type="character" w:styleId="Hipercze">
    <w:name w:val="Hyperlink"/>
    <w:rsid w:val="00C37AB1"/>
    <w:rPr>
      <w:color w:val="0000FF"/>
      <w:u w:val="single"/>
    </w:rPr>
  </w:style>
  <w:style w:type="character" w:customStyle="1" w:styleId="h1">
    <w:name w:val="h1"/>
    <w:rsid w:val="00C37AB1"/>
  </w:style>
  <w:style w:type="paragraph" w:styleId="Tekstdymka">
    <w:name w:val="Balloon Text"/>
    <w:basedOn w:val="Normalny"/>
    <w:link w:val="TekstdymkaZnak"/>
    <w:uiPriority w:val="99"/>
    <w:semiHidden/>
    <w:unhideWhenUsed/>
    <w:rsid w:val="00C37AB1"/>
    <w:rPr>
      <w:rFonts w:ascii="Tahoma" w:hAnsi="Tahoma" w:cs="Tahoma"/>
      <w:sz w:val="16"/>
      <w:szCs w:val="16"/>
    </w:rPr>
  </w:style>
  <w:style w:type="character" w:customStyle="1" w:styleId="TekstdymkaZnak">
    <w:name w:val="Tekst dymka Znak"/>
    <w:basedOn w:val="Domylnaczcionkaakapitu"/>
    <w:link w:val="Tekstdymka"/>
    <w:uiPriority w:val="99"/>
    <w:semiHidden/>
    <w:rsid w:val="00C37AB1"/>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970B90"/>
    <w:rPr>
      <w:b/>
      <w:bCs/>
    </w:rPr>
  </w:style>
  <w:style w:type="character" w:customStyle="1" w:styleId="TematkomentarzaZnak">
    <w:name w:val="Temat komentarza Znak"/>
    <w:basedOn w:val="TekstkomentarzaZnak"/>
    <w:link w:val="Tematkomentarza"/>
    <w:uiPriority w:val="99"/>
    <w:semiHidden/>
    <w:rsid w:val="00970B90"/>
    <w:rPr>
      <w:rFonts w:ascii="Times New Roman" w:eastAsia="Times New Roman" w:hAnsi="Times New Roman"/>
      <w:b/>
      <w:bCs/>
      <w:lang w:eastAsia="pl-PL"/>
    </w:rPr>
  </w:style>
  <w:style w:type="paragraph" w:styleId="Poprawka">
    <w:name w:val="Revision"/>
    <w:hidden/>
    <w:uiPriority w:val="99"/>
    <w:semiHidden/>
    <w:rsid w:val="00132FAF"/>
    <w:rPr>
      <w:rFonts w:ascii="Times New Roman" w:eastAsia="Times New Roman" w:hAnsi="Times New Roman"/>
      <w:sz w:val="24"/>
      <w:lang w:eastAsia="pl-PL"/>
    </w:rPr>
  </w:style>
  <w:style w:type="paragraph" w:customStyle="1" w:styleId="Przykad">
    <w:name w:val="Przykład"/>
    <w:basedOn w:val="Normalny"/>
    <w:link w:val="PrzykadZnak"/>
    <w:qFormat/>
    <w:rsid w:val="000958D5"/>
    <w:pPr>
      <w:spacing w:before="120"/>
      <w:ind w:left="567" w:right="567"/>
      <w:jc w:val="both"/>
    </w:pPr>
    <w:rPr>
      <w:sz w:val="21"/>
      <w:szCs w:val="24"/>
    </w:rPr>
  </w:style>
  <w:style w:type="character" w:customStyle="1" w:styleId="PrzykadZnak">
    <w:name w:val="Przykład Znak"/>
    <w:link w:val="Przykad"/>
    <w:rsid w:val="000958D5"/>
    <w:rPr>
      <w:rFonts w:ascii="Times New Roman" w:eastAsia="Times New Roman" w:hAnsi="Times New Roman"/>
      <w:sz w:val="21"/>
      <w:szCs w:val="24"/>
      <w:lang w:eastAsia="pl-PL"/>
    </w:rPr>
  </w:style>
  <w:style w:type="paragraph" w:customStyle="1" w:styleId="Ddowd">
    <w:name w:val="Ddowód"/>
    <w:basedOn w:val="przykadwgrupie"/>
    <w:uiPriority w:val="99"/>
    <w:qFormat/>
    <w:rsid w:val="00ED17CC"/>
    <w:pPr>
      <w:ind w:firstLine="0"/>
      <w:jc w:val="right"/>
    </w:pPr>
  </w:style>
  <w:style w:type="paragraph" w:customStyle="1" w:styleId="dowdaktakontroli">
    <w:name w:val="dowód akta kontroli"/>
    <w:basedOn w:val="Normalny"/>
    <w:next w:val="akapitosobny"/>
    <w:rsid w:val="00132130"/>
    <w:pPr>
      <w:ind w:left="567" w:right="567"/>
      <w:jc w:val="right"/>
    </w:pPr>
    <w:rPr>
      <w:sz w:val="21"/>
      <w:szCs w:val="21"/>
    </w:rPr>
  </w:style>
  <w:style w:type="paragraph" w:styleId="Tekstprzypisukocowego">
    <w:name w:val="endnote text"/>
    <w:basedOn w:val="Normalny"/>
    <w:link w:val="TekstprzypisukocowegoZnak"/>
    <w:rsid w:val="00132130"/>
    <w:rPr>
      <w:sz w:val="18"/>
    </w:rPr>
  </w:style>
  <w:style w:type="character" w:customStyle="1" w:styleId="TekstprzypisukocowegoZnak">
    <w:name w:val="Tekst przypisu końcowego Znak"/>
    <w:basedOn w:val="Domylnaczcionkaakapitu"/>
    <w:link w:val="Tekstprzypisukocowego"/>
    <w:rsid w:val="00132130"/>
    <w:rPr>
      <w:rFonts w:ascii="Times New Roman" w:eastAsia="Times New Roman" w:hAnsi="Times New Roman"/>
      <w:sz w:val="18"/>
      <w:lang w:eastAsia="pl-PL"/>
    </w:rPr>
  </w:style>
  <w:style w:type="character" w:styleId="Odwoanieprzypisukocowego">
    <w:name w:val="endnote reference"/>
    <w:basedOn w:val="Domylnaczcionkaakapitu"/>
    <w:rsid w:val="00132130"/>
    <w:rPr>
      <w:rFonts w:ascii="Times New Roman" w:hAnsi="Times New Roman"/>
      <w:b/>
      <w:color w:val="FF0000"/>
      <w:sz w:val="20"/>
      <w:vertAlign w:val="superscript"/>
    </w:rPr>
  </w:style>
  <w:style w:type="paragraph" w:customStyle="1" w:styleId="Adresatpisma">
    <w:name w:val="Adresat pisma"/>
    <w:basedOn w:val="adresat"/>
    <w:rsid w:val="00132130"/>
    <w:pPr>
      <w:spacing w:before="560"/>
      <w:ind w:left="5387"/>
    </w:pPr>
    <w:rPr>
      <w:bCs/>
    </w:rPr>
  </w:style>
  <w:style w:type="paragraph" w:customStyle="1" w:styleId="Tytudokumentu">
    <w:name w:val="Tytuł dokumentu"/>
    <w:basedOn w:val="akapitosobny"/>
    <w:rsid w:val="00132130"/>
    <w:pPr>
      <w:jc w:val="center"/>
    </w:pPr>
    <w:rPr>
      <w:b/>
      <w:bCs/>
    </w:rPr>
  </w:style>
  <w:style w:type="paragraph" w:customStyle="1" w:styleId="AKAPITOSOBNY0">
    <w:name w:val="AKAPIT OSOBNY"/>
    <w:basedOn w:val="akapitosobny"/>
    <w:rsid w:val="00132130"/>
    <w:rPr>
      <w:b/>
      <w:bCs/>
      <w:caps/>
      <w:spacing w:val="-2"/>
    </w:rPr>
  </w:style>
  <w:style w:type="character" w:styleId="Wyrnieniedelikatne">
    <w:name w:val="Subtle Emphasis"/>
    <w:uiPriority w:val="19"/>
    <w:qFormat/>
    <w:rsid w:val="00132130"/>
    <w:rPr>
      <w:i w:val="0"/>
      <w:iCs/>
      <w:color w:val="auto"/>
      <w:bdr w:val="none" w:sz="0" w:space="0" w:color="auto"/>
      <w:shd w:val="pct5" w:color="FFFFFF" w:fill="FFFF00"/>
    </w:rPr>
  </w:style>
  <w:style w:type="character" w:styleId="Wyrnienieintensywne">
    <w:name w:val="Intense Emphasis"/>
    <w:aliases w:val="Wyróżnienie czerwona czcionka"/>
    <w:uiPriority w:val="21"/>
    <w:qFormat/>
    <w:rsid w:val="00132130"/>
    <w:rPr>
      <w:b w:val="0"/>
      <w:bCs/>
      <w:i w:val="0"/>
      <w:iCs/>
      <w:color w:val="FF0000"/>
    </w:rPr>
  </w:style>
  <w:style w:type="paragraph" w:customStyle="1" w:styleId="tiretwakapicie">
    <w:name w:val="tiret w akapicie"/>
    <w:basedOn w:val="akapitosobny"/>
    <w:uiPriority w:val="99"/>
    <w:qFormat/>
    <w:rsid w:val="00132130"/>
    <w:pPr>
      <w:numPr>
        <w:numId w:val="3"/>
      </w:numPr>
      <w:spacing w:before="60"/>
    </w:pPr>
  </w:style>
  <w:style w:type="paragraph" w:customStyle="1" w:styleId="tiretwprzykadzie">
    <w:name w:val="tiret w przykładzie"/>
    <w:basedOn w:val="wyliczPkt"/>
    <w:qFormat/>
    <w:rsid w:val="00132130"/>
    <w:pPr>
      <w:numPr>
        <w:numId w:val="4"/>
      </w:numPr>
      <w:spacing w:line="240" w:lineRule="auto"/>
      <w:ind w:left="1078" w:right="567" w:hanging="227"/>
    </w:pPr>
    <w:rPr>
      <w:sz w:val="21"/>
    </w:rPr>
  </w:style>
  <w:style w:type="paragraph" w:styleId="Legenda">
    <w:name w:val="caption"/>
    <w:basedOn w:val="Normalny"/>
    <w:next w:val="Normalny"/>
    <w:unhideWhenUsed/>
    <w:qFormat/>
    <w:locked/>
    <w:rsid w:val="00231854"/>
    <w:rPr>
      <w:b/>
      <w:bCs/>
      <w:sz w:val="20"/>
    </w:rPr>
  </w:style>
  <w:style w:type="character" w:customStyle="1" w:styleId="Nagwek5Znak">
    <w:name w:val="Nagłówek 5 Znak"/>
    <w:basedOn w:val="Domylnaczcionkaakapitu"/>
    <w:link w:val="Nagwek5"/>
    <w:rsid w:val="00AF1DEB"/>
    <w:rPr>
      <w:rFonts w:asciiTheme="majorHAnsi" w:eastAsiaTheme="majorEastAsia" w:hAnsiTheme="majorHAnsi" w:cstheme="majorBidi"/>
      <w:color w:val="243F60" w:themeColor="accent1" w:themeShade="7F"/>
      <w:sz w:val="24"/>
      <w:lang w:eastAsia="pl-PL"/>
    </w:rPr>
  </w:style>
  <w:style w:type="paragraph" w:customStyle="1" w:styleId="Default">
    <w:name w:val="Default"/>
    <w:rsid w:val="00DF757B"/>
    <w:pPr>
      <w:autoSpaceDE w:val="0"/>
      <w:autoSpaceDN w:val="0"/>
      <w:adjustRightInd w:val="0"/>
    </w:pPr>
    <w:rPr>
      <w:rFonts w:cs="Calibri"/>
      <w:color w:val="000000"/>
      <w:sz w:val="24"/>
      <w:szCs w:val="24"/>
    </w:rPr>
  </w:style>
  <w:style w:type="paragraph" w:customStyle="1" w:styleId="zalecenie">
    <w:name w:val="zalecenie"/>
    <w:basedOn w:val="akapitosobny"/>
    <w:rsid w:val="00D80160"/>
    <w:pPr>
      <w:ind w:right="567"/>
    </w:pPr>
  </w:style>
  <w:style w:type="character" w:customStyle="1" w:styleId="Teksttreci">
    <w:name w:val="Tekst treści_"/>
    <w:basedOn w:val="Domylnaczcionkaakapitu"/>
    <w:link w:val="Teksttreci0"/>
    <w:rsid w:val="00E95C60"/>
    <w:rPr>
      <w:shd w:val="clear" w:color="auto" w:fill="FFFFFF"/>
    </w:rPr>
  </w:style>
  <w:style w:type="paragraph" w:customStyle="1" w:styleId="Teksttreci0">
    <w:name w:val="Tekst treści"/>
    <w:basedOn w:val="Normalny"/>
    <w:link w:val="Teksttreci"/>
    <w:rsid w:val="00E95C60"/>
    <w:pPr>
      <w:widowControl w:val="0"/>
      <w:shd w:val="clear" w:color="auto" w:fill="FFFFFF"/>
      <w:spacing w:after="200" w:line="293" w:lineRule="auto"/>
      <w:ind w:firstLine="20"/>
      <w:jc w:val="both"/>
    </w:pPr>
    <w:rPr>
      <w:rFonts w:ascii="Calibri" w:eastAsia="Calibri" w:hAnsi="Calibri"/>
      <w:sz w:val="20"/>
      <w:lang w:eastAsia="en-US"/>
    </w:rPr>
  </w:style>
  <w:style w:type="character" w:customStyle="1" w:styleId="bip">
    <w:name w:val="bip"/>
    <w:basedOn w:val="Domylnaczcionkaakapitu"/>
    <w:rsid w:val="00AD04D1"/>
  </w:style>
  <w:style w:type="paragraph" w:customStyle="1" w:styleId="Pa12">
    <w:name w:val="Pa12"/>
    <w:basedOn w:val="Default"/>
    <w:next w:val="Default"/>
    <w:uiPriority w:val="99"/>
    <w:rsid w:val="00966882"/>
    <w:pPr>
      <w:spacing w:line="201" w:lineRule="atLeast"/>
    </w:pPr>
    <w:rPr>
      <w:rFonts w:ascii="Arial" w:hAnsi="Arial" w:cs="Arial"/>
      <w:color w:val="auto"/>
    </w:rPr>
  </w:style>
  <w:style w:type="paragraph" w:customStyle="1" w:styleId="Pa21">
    <w:name w:val="Pa21"/>
    <w:basedOn w:val="Default"/>
    <w:next w:val="Default"/>
    <w:uiPriority w:val="99"/>
    <w:rsid w:val="00966882"/>
    <w:pPr>
      <w:spacing w:line="201" w:lineRule="atLeast"/>
    </w:pPr>
    <w:rPr>
      <w:rFonts w:ascii="Arial" w:hAnsi="Arial" w:cs="Arial"/>
      <w:color w:val="auto"/>
    </w:rPr>
  </w:style>
  <w:style w:type="paragraph" w:styleId="NormalnyWeb">
    <w:name w:val="Normal (Web)"/>
    <w:basedOn w:val="Normalny"/>
    <w:uiPriority w:val="99"/>
    <w:semiHidden/>
    <w:unhideWhenUsed/>
    <w:rsid w:val="00C64C7F"/>
    <w:pPr>
      <w:spacing w:before="100" w:beforeAutospacing="1" w:after="100" w:afterAutospacing="1"/>
    </w:pPr>
    <w:rPr>
      <w:szCs w:val="24"/>
    </w:rPr>
  </w:style>
  <w:style w:type="paragraph" w:customStyle="1" w:styleId="StylakapitosobnyZielonomodry">
    <w:name w:val="Styl akapit osobny + Zielonomodry"/>
    <w:basedOn w:val="akapitosobny"/>
    <w:rsid w:val="0088294D"/>
    <w:rPr>
      <w:color w:val="008080"/>
    </w:rPr>
  </w:style>
  <w:style w:type="character" w:customStyle="1" w:styleId="Nagwek50">
    <w:name w:val="Nagłówek #5_"/>
    <w:basedOn w:val="Domylnaczcionkaakapitu"/>
    <w:link w:val="Nagwek51"/>
    <w:rsid w:val="00110C28"/>
    <w:rPr>
      <w:rFonts w:ascii="Arial" w:eastAsia="Arial" w:hAnsi="Arial" w:cs="Arial"/>
      <w:b/>
      <w:bCs/>
      <w:sz w:val="19"/>
      <w:szCs w:val="19"/>
      <w:shd w:val="clear" w:color="auto" w:fill="FFFFFF"/>
    </w:rPr>
  </w:style>
  <w:style w:type="paragraph" w:customStyle="1" w:styleId="Nagwek51">
    <w:name w:val="Nagłówek #5"/>
    <w:basedOn w:val="Normalny"/>
    <w:link w:val="Nagwek50"/>
    <w:rsid w:val="00110C28"/>
    <w:pPr>
      <w:widowControl w:val="0"/>
      <w:shd w:val="clear" w:color="auto" w:fill="FFFFFF"/>
      <w:spacing w:after="320" w:line="360" w:lineRule="auto"/>
      <w:ind w:left="510"/>
      <w:jc w:val="center"/>
      <w:outlineLvl w:val="4"/>
    </w:pPr>
    <w:rPr>
      <w:rFonts w:ascii="Arial" w:eastAsia="Arial" w:hAnsi="Arial" w:cs="Arial"/>
      <w:b/>
      <w:bCs/>
      <w:sz w:val="19"/>
      <w:szCs w:val="19"/>
      <w:lang w:eastAsia="en-US"/>
    </w:rPr>
  </w:style>
  <w:style w:type="character" w:styleId="Pogrubienie">
    <w:name w:val="Strong"/>
    <w:basedOn w:val="Domylnaczcionkaakapitu"/>
    <w:uiPriority w:val="99"/>
    <w:qFormat/>
    <w:locked/>
    <w:rsid w:val="00147E9A"/>
    <w:rPr>
      <w:rFonts w:ascii="Times New Roman" w:hAnsi="Times New Roman" w:cs="Times New Roman" w:hint="default"/>
      <w:b/>
      <w:bCs w:val="0"/>
    </w:rPr>
  </w:style>
  <w:style w:type="character" w:customStyle="1" w:styleId="Teksttreci2">
    <w:name w:val="Tekst treści (2)_"/>
    <w:basedOn w:val="Domylnaczcionkaakapitu"/>
    <w:link w:val="Teksttreci20"/>
    <w:rsid w:val="00EF6DA9"/>
    <w:rPr>
      <w:rFonts w:ascii="Arial" w:eastAsia="Arial" w:hAnsi="Arial" w:cs="Arial"/>
      <w:sz w:val="19"/>
      <w:szCs w:val="19"/>
      <w:shd w:val="clear" w:color="auto" w:fill="FFFFFF"/>
    </w:rPr>
  </w:style>
  <w:style w:type="paragraph" w:customStyle="1" w:styleId="Teksttreci20">
    <w:name w:val="Tekst treści (2)"/>
    <w:basedOn w:val="Normalny"/>
    <w:link w:val="Teksttreci2"/>
    <w:rsid w:val="00EF6DA9"/>
    <w:pPr>
      <w:widowControl w:val="0"/>
      <w:shd w:val="clear" w:color="auto" w:fill="FFFFFF"/>
      <w:spacing w:after="320" w:line="360" w:lineRule="auto"/>
      <w:jc w:val="both"/>
    </w:pPr>
    <w:rPr>
      <w:rFonts w:ascii="Arial" w:eastAsia="Arial" w:hAnsi="Arial" w:cs="Arial"/>
      <w:sz w:val="19"/>
      <w:szCs w:val="19"/>
      <w:lang w:eastAsia="en-US"/>
    </w:rPr>
  </w:style>
  <w:style w:type="character" w:customStyle="1" w:styleId="Podpisobrazu">
    <w:name w:val="Podpis obrazu_"/>
    <w:basedOn w:val="Domylnaczcionkaakapitu"/>
    <w:link w:val="Podpisobrazu0"/>
    <w:rsid w:val="007241A2"/>
    <w:rPr>
      <w:rFonts w:ascii="Arial" w:eastAsia="Arial" w:hAnsi="Arial" w:cs="Arial"/>
      <w:sz w:val="19"/>
      <w:szCs w:val="19"/>
      <w:shd w:val="clear" w:color="auto" w:fill="FFFFFF"/>
    </w:rPr>
  </w:style>
  <w:style w:type="paragraph" w:customStyle="1" w:styleId="Podpisobrazu0">
    <w:name w:val="Podpis obrazu"/>
    <w:basedOn w:val="Normalny"/>
    <w:link w:val="Podpisobrazu"/>
    <w:rsid w:val="007241A2"/>
    <w:pPr>
      <w:widowControl w:val="0"/>
      <w:shd w:val="clear" w:color="auto" w:fill="FFFFFF"/>
      <w:spacing w:line="360" w:lineRule="auto"/>
      <w:jc w:val="both"/>
    </w:pPr>
    <w:rPr>
      <w:rFonts w:ascii="Arial" w:eastAsia="Arial" w:hAnsi="Arial" w:cs="Arial"/>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136">
      <w:bodyDiv w:val="1"/>
      <w:marLeft w:val="0"/>
      <w:marRight w:val="0"/>
      <w:marTop w:val="0"/>
      <w:marBottom w:val="0"/>
      <w:divBdr>
        <w:top w:val="none" w:sz="0" w:space="0" w:color="auto"/>
        <w:left w:val="none" w:sz="0" w:space="0" w:color="auto"/>
        <w:bottom w:val="none" w:sz="0" w:space="0" w:color="auto"/>
        <w:right w:val="none" w:sz="0" w:space="0" w:color="auto"/>
      </w:divBdr>
    </w:div>
    <w:div w:id="36928095">
      <w:bodyDiv w:val="1"/>
      <w:marLeft w:val="0"/>
      <w:marRight w:val="0"/>
      <w:marTop w:val="0"/>
      <w:marBottom w:val="0"/>
      <w:divBdr>
        <w:top w:val="none" w:sz="0" w:space="0" w:color="auto"/>
        <w:left w:val="none" w:sz="0" w:space="0" w:color="auto"/>
        <w:bottom w:val="none" w:sz="0" w:space="0" w:color="auto"/>
        <w:right w:val="none" w:sz="0" w:space="0" w:color="auto"/>
      </w:divBdr>
    </w:div>
    <w:div w:id="63139462">
      <w:bodyDiv w:val="1"/>
      <w:marLeft w:val="0"/>
      <w:marRight w:val="0"/>
      <w:marTop w:val="0"/>
      <w:marBottom w:val="0"/>
      <w:divBdr>
        <w:top w:val="none" w:sz="0" w:space="0" w:color="auto"/>
        <w:left w:val="none" w:sz="0" w:space="0" w:color="auto"/>
        <w:bottom w:val="none" w:sz="0" w:space="0" w:color="auto"/>
        <w:right w:val="none" w:sz="0" w:space="0" w:color="auto"/>
      </w:divBdr>
    </w:div>
    <w:div w:id="177622585">
      <w:bodyDiv w:val="1"/>
      <w:marLeft w:val="0"/>
      <w:marRight w:val="0"/>
      <w:marTop w:val="0"/>
      <w:marBottom w:val="0"/>
      <w:divBdr>
        <w:top w:val="none" w:sz="0" w:space="0" w:color="auto"/>
        <w:left w:val="none" w:sz="0" w:space="0" w:color="auto"/>
        <w:bottom w:val="none" w:sz="0" w:space="0" w:color="auto"/>
        <w:right w:val="none" w:sz="0" w:space="0" w:color="auto"/>
      </w:divBdr>
    </w:div>
    <w:div w:id="313680879">
      <w:bodyDiv w:val="1"/>
      <w:marLeft w:val="0"/>
      <w:marRight w:val="0"/>
      <w:marTop w:val="0"/>
      <w:marBottom w:val="0"/>
      <w:divBdr>
        <w:top w:val="none" w:sz="0" w:space="0" w:color="auto"/>
        <w:left w:val="none" w:sz="0" w:space="0" w:color="auto"/>
        <w:bottom w:val="none" w:sz="0" w:space="0" w:color="auto"/>
        <w:right w:val="none" w:sz="0" w:space="0" w:color="auto"/>
      </w:divBdr>
    </w:div>
    <w:div w:id="463694684">
      <w:bodyDiv w:val="1"/>
      <w:marLeft w:val="0"/>
      <w:marRight w:val="0"/>
      <w:marTop w:val="0"/>
      <w:marBottom w:val="0"/>
      <w:divBdr>
        <w:top w:val="none" w:sz="0" w:space="0" w:color="auto"/>
        <w:left w:val="none" w:sz="0" w:space="0" w:color="auto"/>
        <w:bottom w:val="none" w:sz="0" w:space="0" w:color="auto"/>
        <w:right w:val="none" w:sz="0" w:space="0" w:color="auto"/>
      </w:divBdr>
    </w:div>
    <w:div w:id="998579280">
      <w:bodyDiv w:val="1"/>
      <w:marLeft w:val="0"/>
      <w:marRight w:val="0"/>
      <w:marTop w:val="0"/>
      <w:marBottom w:val="0"/>
      <w:divBdr>
        <w:top w:val="none" w:sz="0" w:space="0" w:color="auto"/>
        <w:left w:val="none" w:sz="0" w:space="0" w:color="auto"/>
        <w:bottom w:val="none" w:sz="0" w:space="0" w:color="auto"/>
        <w:right w:val="none" w:sz="0" w:space="0" w:color="auto"/>
      </w:divBdr>
      <w:divsChild>
        <w:div w:id="248002325">
          <w:marLeft w:val="0"/>
          <w:marRight w:val="0"/>
          <w:marTop w:val="0"/>
          <w:marBottom w:val="0"/>
          <w:divBdr>
            <w:top w:val="none" w:sz="0" w:space="0" w:color="auto"/>
            <w:left w:val="none" w:sz="0" w:space="0" w:color="auto"/>
            <w:bottom w:val="none" w:sz="0" w:space="0" w:color="auto"/>
            <w:right w:val="none" w:sz="0" w:space="0" w:color="auto"/>
          </w:divBdr>
          <w:divsChild>
            <w:div w:id="2108186604">
              <w:marLeft w:val="0"/>
              <w:marRight w:val="0"/>
              <w:marTop w:val="0"/>
              <w:marBottom w:val="0"/>
              <w:divBdr>
                <w:top w:val="none" w:sz="0" w:space="0" w:color="auto"/>
                <w:left w:val="none" w:sz="0" w:space="0" w:color="auto"/>
                <w:bottom w:val="none" w:sz="0" w:space="0" w:color="auto"/>
                <w:right w:val="none" w:sz="0" w:space="0" w:color="auto"/>
              </w:divBdr>
              <w:divsChild>
                <w:div w:id="606274960">
                  <w:marLeft w:val="0"/>
                  <w:marRight w:val="0"/>
                  <w:marTop w:val="0"/>
                  <w:marBottom w:val="0"/>
                  <w:divBdr>
                    <w:top w:val="none" w:sz="0" w:space="0" w:color="auto"/>
                    <w:left w:val="none" w:sz="0" w:space="0" w:color="auto"/>
                    <w:bottom w:val="none" w:sz="0" w:space="0" w:color="auto"/>
                    <w:right w:val="none" w:sz="0" w:space="0" w:color="auto"/>
                  </w:divBdr>
                  <w:divsChild>
                    <w:div w:id="328482121">
                      <w:marLeft w:val="0"/>
                      <w:marRight w:val="0"/>
                      <w:marTop w:val="0"/>
                      <w:marBottom w:val="0"/>
                      <w:divBdr>
                        <w:top w:val="none" w:sz="0" w:space="0" w:color="auto"/>
                        <w:left w:val="none" w:sz="0" w:space="0" w:color="auto"/>
                        <w:bottom w:val="none" w:sz="0" w:space="0" w:color="auto"/>
                        <w:right w:val="none" w:sz="0" w:space="0" w:color="auto"/>
                      </w:divBdr>
                      <w:divsChild>
                        <w:div w:id="1223372470">
                          <w:marLeft w:val="0"/>
                          <w:marRight w:val="0"/>
                          <w:marTop w:val="0"/>
                          <w:marBottom w:val="0"/>
                          <w:divBdr>
                            <w:top w:val="none" w:sz="0" w:space="0" w:color="auto"/>
                            <w:left w:val="none" w:sz="0" w:space="0" w:color="auto"/>
                            <w:bottom w:val="none" w:sz="0" w:space="0" w:color="auto"/>
                            <w:right w:val="none" w:sz="0" w:space="0" w:color="auto"/>
                          </w:divBdr>
                          <w:divsChild>
                            <w:div w:id="653878304">
                              <w:marLeft w:val="0"/>
                              <w:marRight w:val="0"/>
                              <w:marTop w:val="0"/>
                              <w:marBottom w:val="0"/>
                              <w:divBdr>
                                <w:top w:val="none" w:sz="0" w:space="0" w:color="auto"/>
                                <w:left w:val="none" w:sz="0" w:space="0" w:color="auto"/>
                                <w:bottom w:val="none" w:sz="0" w:space="0" w:color="auto"/>
                                <w:right w:val="none" w:sz="0" w:space="0" w:color="auto"/>
                              </w:divBdr>
                              <w:divsChild>
                                <w:div w:id="1549533553">
                                  <w:marLeft w:val="0"/>
                                  <w:marRight w:val="0"/>
                                  <w:marTop w:val="0"/>
                                  <w:marBottom w:val="0"/>
                                  <w:divBdr>
                                    <w:top w:val="none" w:sz="0" w:space="0" w:color="auto"/>
                                    <w:left w:val="none" w:sz="0" w:space="0" w:color="auto"/>
                                    <w:bottom w:val="none" w:sz="0" w:space="0" w:color="auto"/>
                                    <w:right w:val="none" w:sz="0" w:space="0" w:color="auto"/>
                                  </w:divBdr>
                                </w:div>
                                <w:div w:id="1694959793">
                                  <w:marLeft w:val="0"/>
                                  <w:marRight w:val="0"/>
                                  <w:marTop w:val="0"/>
                                  <w:marBottom w:val="0"/>
                                  <w:divBdr>
                                    <w:top w:val="none" w:sz="0" w:space="0" w:color="auto"/>
                                    <w:left w:val="none" w:sz="0" w:space="0" w:color="auto"/>
                                    <w:bottom w:val="none" w:sz="0" w:space="0" w:color="auto"/>
                                    <w:right w:val="none" w:sz="0" w:space="0" w:color="auto"/>
                                  </w:divBdr>
                                </w:div>
                                <w:div w:id="2112817478">
                                  <w:marLeft w:val="0"/>
                                  <w:marRight w:val="0"/>
                                  <w:marTop w:val="0"/>
                                  <w:marBottom w:val="0"/>
                                  <w:divBdr>
                                    <w:top w:val="none" w:sz="0" w:space="0" w:color="auto"/>
                                    <w:left w:val="none" w:sz="0" w:space="0" w:color="auto"/>
                                    <w:bottom w:val="none" w:sz="0" w:space="0" w:color="auto"/>
                                    <w:right w:val="none" w:sz="0" w:space="0" w:color="auto"/>
                                  </w:divBdr>
                                </w:div>
                                <w:div w:id="1384716079">
                                  <w:marLeft w:val="0"/>
                                  <w:marRight w:val="0"/>
                                  <w:marTop w:val="0"/>
                                  <w:marBottom w:val="0"/>
                                  <w:divBdr>
                                    <w:top w:val="none" w:sz="0" w:space="0" w:color="auto"/>
                                    <w:left w:val="none" w:sz="0" w:space="0" w:color="auto"/>
                                    <w:bottom w:val="none" w:sz="0" w:space="0" w:color="auto"/>
                                    <w:right w:val="none" w:sz="0" w:space="0" w:color="auto"/>
                                  </w:divBdr>
                                </w:div>
                                <w:div w:id="2131363595">
                                  <w:marLeft w:val="0"/>
                                  <w:marRight w:val="0"/>
                                  <w:marTop w:val="0"/>
                                  <w:marBottom w:val="0"/>
                                  <w:divBdr>
                                    <w:top w:val="none" w:sz="0" w:space="0" w:color="auto"/>
                                    <w:left w:val="none" w:sz="0" w:space="0" w:color="auto"/>
                                    <w:bottom w:val="none" w:sz="0" w:space="0" w:color="auto"/>
                                    <w:right w:val="none" w:sz="0" w:space="0" w:color="auto"/>
                                  </w:divBdr>
                                </w:div>
                                <w:div w:id="1110976738">
                                  <w:marLeft w:val="0"/>
                                  <w:marRight w:val="0"/>
                                  <w:marTop w:val="0"/>
                                  <w:marBottom w:val="0"/>
                                  <w:divBdr>
                                    <w:top w:val="none" w:sz="0" w:space="0" w:color="auto"/>
                                    <w:left w:val="none" w:sz="0" w:space="0" w:color="auto"/>
                                    <w:bottom w:val="none" w:sz="0" w:space="0" w:color="auto"/>
                                    <w:right w:val="none" w:sz="0" w:space="0" w:color="auto"/>
                                  </w:divBdr>
                                </w:div>
                                <w:div w:id="1896817268">
                                  <w:marLeft w:val="0"/>
                                  <w:marRight w:val="0"/>
                                  <w:marTop w:val="0"/>
                                  <w:marBottom w:val="0"/>
                                  <w:divBdr>
                                    <w:top w:val="none" w:sz="0" w:space="0" w:color="auto"/>
                                    <w:left w:val="none" w:sz="0" w:space="0" w:color="auto"/>
                                    <w:bottom w:val="none" w:sz="0" w:space="0" w:color="auto"/>
                                    <w:right w:val="none" w:sz="0" w:space="0" w:color="auto"/>
                                  </w:divBdr>
                                </w:div>
                                <w:div w:id="1019547971">
                                  <w:marLeft w:val="0"/>
                                  <w:marRight w:val="0"/>
                                  <w:marTop w:val="0"/>
                                  <w:marBottom w:val="0"/>
                                  <w:divBdr>
                                    <w:top w:val="none" w:sz="0" w:space="0" w:color="auto"/>
                                    <w:left w:val="none" w:sz="0" w:space="0" w:color="auto"/>
                                    <w:bottom w:val="none" w:sz="0" w:space="0" w:color="auto"/>
                                    <w:right w:val="none" w:sz="0" w:space="0" w:color="auto"/>
                                  </w:divBdr>
                                </w:div>
                                <w:div w:id="1122579541">
                                  <w:marLeft w:val="0"/>
                                  <w:marRight w:val="0"/>
                                  <w:marTop w:val="0"/>
                                  <w:marBottom w:val="0"/>
                                  <w:divBdr>
                                    <w:top w:val="none" w:sz="0" w:space="0" w:color="auto"/>
                                    <w:left w:val="none" w:sz="0" w:space="0" w:color="auto"/>
                                    <w:bottom w:val="none" w:sz="0" w:space="0" w:color="auto"/>
                                    <w:right w:val="none" w:sz="0" w:space="0" w:color="auto"/>
                                  </w:divBdr>
                                </w:div>
                                <w:div w:id="1078866407">
                                  <w:marLeft w:val="0"/>
                                  <w:marRight w:val="0"/>
                                  <w:marTop w:val="0"/>
                                  <w:marBottom w:val="0"/>
                                  <w:divBdr>
                                    <w:top w:val="none" w:sz="0" w:space="0" w:color="auto"/>
                                    <w:left w:val="none" w:sz="0" w:space="0" w:color="auto"/>
                                    <w:bottom w:val="none" w:sz="0" w:space="0" w:color="auto"/>
                                    <w:right w:val="none" w:sz="0" w:space="0" w:color="auto"/>
                                  </w:divBdr>
                                </w:div>
                                <w:div w:id="270824754">
                                  <w:marLeft w:val="0"/>
                                  <w:marRight w:val="0"/>
                                  <w:marTop w:val="0"/>
                                  <w:marBottom w:val="0"/>
                                  <w:divBdr>
                                    <w:top w:val="none" w:sz="0" w:space="0" w:color="auto"/>
                                    <w:left w:val="none" w:sz="0" w:space="0" w:color="auto"/>
                                    <w:bottom w:val="none" w:sz="0" w:space="0" w:color="auto"/>
                                    <w:right w:val="none" w:sz="0" w:space="0" w:color="auto"/>
                                  </w:divBdr>
                                </w:div>
                                <w:div w:id="892429796">
                                  <w:marLeft w:val="0"/>
                                  <w:marRight w:val="0"/>
                                  <w:marTop w:val="0"/>
                                  <w:marBottom w:val="0"/>
                                  <w:divBdr>
                                    <w:top w:val="none" w:sz="0" w:space="0" w:color="auto"/>
                                    <w:left w:val="none" w:sz="0" w:space="0" w:color="auto"/>
                                    <w:bottom w:val="none" w:sz="0" w:space="0" w:color="auto"/>
                                    <w:right w:val="none" w:sz="0" w:space="0" w:color="auto"/>
                                  </w:divBdr>
                                </w:div>
                                <w:div w:id="257644522">
                                  <w:marLeft w:val="0"/>
                                  <w:marRight w:val="0"/>
                                  <w:marTop w:val="0"/>
                                  <w:marBottom w:val="0"/>
                                  <w:divBdr>
                                    <w:top w:val="none" w:sz="0" w:space="0" w:color="auto"/>
                                    <w:left w:val="none" w:sz="0" w:space="0" w:color="auto"/>
                                    <w:bottom w:val="none" w:sz="0" w:space="0" w:color="auto"/>
                                    <w:right w:val="none" w:sz="0" w:space="0" w:color="auto"/>
                                  </w:divBdr>
                                </w:div>
                                <w:div w:id="1131244948">
                                  <w:marLeft w:val="0"/>
                                  <w:marRight w:val="0"/>
                                  <w:marTop w:val="0"/>
                                  <w:marBottom w:val="0"/>
                                  <w:divBdr>
                                    <w:top w:val="none" w:sz="0" w:space="0" w:color="auto"/>
                                    <w:left w:val="none" w:sz="0" w:space="0" w:color="auto"/>
                                    <w:bottom w:val="none" w:sz="0" w:space="0" w:color="auto"/>
                                    <w:right w:val="none" w:sz="0" w:space="0" w:color="auto"/>
                                  </w:divBdr>
                                </w:div>
                                <w:div w:id="161339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190883">
      <w:bodyDiv w:val="1"/>
      <w:marLeft w:val="0"/>
      <w:marRight w:val="0"/>
      <w:marTop w:val="0"/>
      <w:marBottom w:val="0"/>
      <w:divBdr>
        <w:top w:val="none" w:sz="0" w:space="0" w:color="auto"/>
        <w:left w:val="none" w:sz="0" w:space="0" w:color="auto"/>
        <w:bottom w:val="none" w:sz="0" w:space="0" w:color="auto"/>
        <w:right w:val="none" w:sz="0" w:space="0" w:color="auto"/>
      </w:divBdr>
    </w:div>
    <w:div w:id="1229993653">
      <w:bodyDiv w:val="1"/>
      <w:marLeft w:val="0"/>
      <w:marRight w:val="0"/>
      <w:marTop w:val="0"/>
      <w:marBottom w:val="0"/>
      <w:divBdr>
        <w:top w:val="none" w:sz="0" w:space="0" w:color="auto"/>
        <w:left w:val="none" w:sz="0" w:space="0" w:color="auto"/>
        <w:bottom w:val="none" w:sz="0" w:space="0" w:color="auto"/>
        <w:right w:val="none" w:sz="0" w:space="0" w:color="auto"/>
      </w:divBdr>
    </w:div>
    <w:div w:id="1266039561">
      <w:bodyDiv w:val="1"/>
      <w:marLeft w:val="0"/>
      <w:marRight w:val="0"/>
      <w:marTop w:val="0"/>
      <w:marBottom w:val="0"/>
      <w:divBdr>
        <w:top w:val="none" w:sz="0" w:space="0" w:color="auto"/>
        <w:left w:val="none" w:sz="0" w:space="0" w:color="auto"/>
        <w:bottom w:val="none" w:sz="0" w:space="0" w:color="auto"/>
        <w:right w:val="none" w:sz="0" w:space="0" w:color="auto"/>
      </w:divBdr>
      <w:divsChild>
        <w:div w:id="1093016957">
          <w:marLeft w:val="0"/>
          <w:marRight w:val="0"/>
          <w:marTop w:val="0"/>
          <w:marBottom w:val="0"/>
          <w:divBdr>
            <w:top w:val="none" w:sz="0" w:space="0" w:color="auto"/>
            <w:left w:val="none" w:sz="0" w:space="0" w:color="auto"/>
            <w:bottom w:val="none" w:sz="0" w:space="0" w:color="auto"/>
            <w:right w:val="none" w:sz="0" w:space="0" w:color="auto"/>
          </w:divBdr>
          <w:divsChild>
            <w:div w:id="1265455134">
              <w:marLeft w:val="0"/>
              <w:marRight w:val="0"/>
              <w:marTop w:val="0"/>
              <w:marBottom w:val="0"/>
              <w:divBdr>
                <w:top w:val="none" w:sz="0" w:space="0" w:color="auto"/>
                <w:left w:val="none" w:sz="0" w:space="0" w:color="auto"/>
                <w:bottom w:val="none" w:sz="0" w:space="0" w:color="auto"/>
                <w:right w:val="none" w:sz="0" w:space="0" w:color="auto"/>
              </w:divBdr>
              <w:divsChild>
                <w:div w:id="1740591432">
                  <w:marLeft w:val="0"/>
                  <w:marRight w:val="0"/>
                  <w:marTop w:val="0"/>
                  <w:marBottom w:val="0"/>
                  <w:divBdr>
                    <w:top w:val="none" w:sz="0" w:space="0" w:color="auto"/>
                    <w:left w:val="none" w:sz="0" w:space="0" w:color="auto"/>
                    <w:bottom w:val="none" w:sz="0" w:space="0" w:color="auto"/>
                    <w:right w:val="none" w:sz="0" w:space="0" w:color="auto"/>
                  </w:divBdr>
                  <w:divsChild>
                    <w:div w:id="1798797483">
                      <w:marLeft w:val="0"/>
                      <w:marRight w:val="0"/>
                      <w:marTop w:val="0"/>
                      <w:marBottom w:val="0"/>
                      <w:divBdr>
                        <w:top w:val="none" w:sz="0" w:space="0" w:color="auto"/>
                        <w:left w:val="none" w:sz="0" w:space="0" w:color="auto"/>
                        <w:bottom w:val="none" w:sz="0" w:space="0" w:color="auto"/>
                        <w:right w:val="none" w:sz="0" w:space="0" w:color="auto"/>
                      </w:divBdr>
                      <w:divsChild>
                        <w:div w:id="971179667">
                          <w:marLeft w:val="0"/>
                          <w:marRight w:val="0"/>
                          <w:marTop w:val="0"/>
                          <w:marBottom w:val="0"/>
                          <w:divBdr>
                            <w:top w:val="none" w:sz="0" w:space="0" w:color="auto"/>
                            <w:left w:val="none" w:sz="0" w:space="0" w:color="auto"/>
                            <w:bottom w:val="none" w:sz="0" w:space="0" w:color="auto"/>
                            <w:right w:val="none" w:sz="0" w:space="0" w:color="auto"/>
                          </w:divBdr>
                          <w:divsChild>
                            <w:div w:id="1662152833">
                              <w:marLeft w:val="0"/>
                              <w:marRight w:val="0"/>
                              <w:marTop w:val="0"/>
                              <w:marBottom w:val="0"/>
                              <w:divBdr>
                                <w:top w:val="none" w:sz="0" w:space="0" w:color="auto"/>
                                <w:left w:val="none" w:sz="0" w:space="0" w:color="auto"/>
                                <w:bottom w:val="none" w:sz="0" w:space="0" w:color="auto"/>
                                <w:right w:val="none" w:sz="0" w:space="0" w:color="auto"/>
                              </w:divBdr>
                              <w:divsChild>
                                <w:div w:id="1314140247">
                                  <w:marLeft w:val="0"/>
                                  <w:marRight w:val="0"/>
                                  <w:marTop w:val="0"/>
                                  <w:marBottom w:val="0"/>
                                  <w:divBdr>
                                    <w:top w:val="none" w:sz="0" w:space="0" w:color="auto"/>
                                    <w:left w:val="none" w:sz="0" w:space="0" w:color="auto"/>
                                    <w:bottom w:val="none" w:sz="0" w:space="0" w:color="auto"/>
                                    <w:right w:val="none" w:sz="0" w:space="0" w:color="auto"/>
                                  </w:divBdr>
                                </w:div>
                                <w:div w:id="270282888">
                                  <w:marLeft w:val="0"/>
                                  <w:marRight w:val="0"/>
                                  <w:marTop w:val="0"/>
                                  <w:marBottom w:val="0"/>
                                  <w:divBdr>
                                    <w:top w:val="none" w:sz="0" w:space="0" w:color="auto"/>
                                    <w:left w:val="none" w:sz="0" w:space="0" w:color="auto"/>
                                    <w:bottom w:val="none" w:sz="0" w:space="0" w:color="auto"/>
                                    <w:right w:val="none" w:sz="0" w:space="0" w:color="auto"/>
                                  </w:divBdr>
                                </w:div>
                                <w:div w:id="1531722329">
                                  <w:marLeft w:val="0"/>
                                  <w:marRight w:val="0"/>
                                  <w:marTop w:val="0"/>
                                  <w:marBottom w:val="0"/>
                                  <w:divBdr>
                                    <w:top w:val="none" w:sz="0" w:space="0" w:color="auto"/>
                                    <w:left w:val="none" w:sz="0" w:space="0" w:color="auto"/>
                                    <w:bottom w:val="none" w:sz="0" w:space="0" w:color="auto"/>
                                    <w:right w:val="none" w:sz="0" w:space="0" w:color="auto"/>
                                  </w:divBdr>
                                </w:div>
                                <w:div w:id="313993961">
                                  <w:marLeft w:val="0"/>
                                  <w:marRight w:val="0"/>
                                  <w:marTop w:val="0"/>
                                  <w:marBottom w:val="0"/>
                                  <w:divBdr>
                                    <w:top w:val="none" w:sz="0" w:space="0" w:color="auto"/>
                                    <w:left w:val="none" w:sz="0" w:space="0" w:color="auto"/>
                                    <w:bottom w:val="none" w:sz="0" w:space="0" w:color="auto"/>
                                    <w:right w:val="none" w:sz="0" w:space="0" w:color="auto"/>
                                  </w:divBdr>
                                </w:div>
                                <w:div w:id="1324702870">
                                  <w:marLeft w:val="0"/>
                                  <w:marRight w:val="0"/>
                                  <w:marTop w:val="0"/>
                                  <w:marBottom w:val="0"/>
                                  <w:divBdr>
                                    <w:top w:val="none" w:sz="0" w:space="0" w:color="auto"/>
                                    <w:left w:val="none" w:sz="0" w:space="0" w:color="auto"/>
                                    <w:bottom w:val="none" w:sz="0" w:space="0" w:color="auto"/>
                                    <w:right w:val="none" w:sz="0" w:space="0" w:color="auto"/>
                                  </w:divBdr>
                                </w:div>
                                <w:div w:id="427508779">
                                  <w:marLeft w:val="0"/>
                                  <w:marRight w:val="0"/>
                                  <w:marTop w:val="0"/>
                                  <w:marBottom w:val="0"/>
                                  <w:divBdr>
                                    <w:top w:val="none" w:sz="0" w:space="0" w:color="auto"/>
                                    <w:left w:val="none" w:sz="0" w:space="0" w:color="auto"/>
                                    <w:bottom w:val="none" w:sz="0" w:space="0" w:color="auto"/>
                                    <w:right w:val="none" w:sz="0" w:space="0" w:color="auto"/>
                                  </w:divBdr>
                                </w:div>
                                <w:div w:id="943001762">
                                  <w:marLeft w:val="0"/>
                                  <w:marRight w:val="0"/>
                                  <w:marTop w:val="0"/>
                                  <w:marBottom w:val="0"/>
                                  <w:divBdr>
                                    <w:top w:val="none" w:sz="0" w:space="0" w:color="auto"/>
                                    <w:left w:val="none" w:sz="0" w:space="0" w:color="auto"/>
                                    <w:bottom w:val="none" w:sz="0" w:space="0" w:color="auto"/>
                                    <w:right w:val="none" w:sz="0" w:space="0" w:color="auto"/>
                                  </w:divBdr>
                                </w:div>
                                <w:div w:id="419176635">
                                  <w:marLeft w:val="0"/>
                                  <w:marRight w:val="0"/>
                                  <w:marTop w:val="0"/>
                                  <w:marBottom w:val="0"/>
                                  <w:divBdr>
                                    <w:top w:val="none" w:sz="0" w:space="0" w:color="auto"/>
                                    <w:left w:val="none" w:sz="0" w:space="0" w:color="auto"/>
                                    <w:bottom w:val="none" w:sz="0" w:space="0" w:color="auto"/>
                                    <w:right w:val="none" w:sz="0" w:space="0" w:color="auto"/>
                                  </w:divBdr>
                                </w:div>
                                <w:div w:id="788476045">
                                  <w:marLeft w:val="0"/>
                                  <w:marRight w:val="0"/>
                                  <w:marTop w:val="0"/>
                                  <w:marBottom w:val="0"/>
                                  <w:divBdr>
                                    <w:top w:val="none" w:sz="0" w:space="0" w:color="auto"/>
                                    <w:left w:val="none" w:sz="0" w:space="0" w:color="auto"/>
                                    <w:bottom w:val="none" w:sz="0" w:space="0" w:color="auto"/>
                                    <w:right w:val="none" w:sz="0" w:space="0" w:color="auto"/>
                                  </w:divBdr>
                                </w:div>
                                <w:div w:id="731732294">
                                  <w:marLeft w:val="0"/>
                                  <w:marRight w:val="0"/>
                                  <w:marTop w:val="0"/>
                                  <w:marBottom w:val="0"/>
                                  <w:divBdr>
                                    <w:top w:val="none" w:sz="0" w:space="0" w:color="auto"/>
                                    <w:left w:val="none" w:sz="0" w:space="0" w:color="auto"/>
                                    <w:bottom w:val="none" w:sz="0" w:space="0" w:color="auto"/>
                                    <w:right w:val="none" w:sz="0" w:space="0" w:color="auto"/>
                                  </w:divBdr>
                                </w:div>
                                <w:div w:id="1816027657">
                                  <w:marLeft w:val="0"/>
                                  <w:marRight w:val="0"/>
                                  <w:marTop w:val="0"/>
                                  <w:marBottom w:val="0"/>
                                  <w:divBdr>
                                    <w:top w:val="none" w:sz="0" w:space="0" w:color="auto"/>
                                    <w:left w:val="none" w:sz="0" w:space="0" w:color="auto"/>
                                    <w:bottom w:val="none" w:sz="0" w:space="0" w:color="auto"/>
                                    <w:right w:val="none" w:sz="0" w:space="0" w:color="auto"/>
                                  </w:divBdr>
                                </w:div>
                                <w:div w:id="467553185">
                                  <w:marLeft w:val="0"/>
                                  <w:marRight w:val="0"/>
                                  <w:marTop w:val="0"/>
                                  <w:marBottom w:val="0"/>
                                  <w:divBdr>
                                    <w:top w:val="none" w:sz="0" w:space="0" w:color="auto"/>
                                    <w:left w:val="none" w:sz="0" w:space="0" w:color="auto"/>
                                    <w:bottom w:val="none" w:sz="0" w:space="0" w:color="auto"/>
                                    <w:right w:val="none" w:sz="0" w:space="0" w:color="auto"/>
                                  </w:divBdr>
                                </w:div>
                                <w:div w:id="268435504">
                                  <w:marLeft w:val="0"/>
                                  <w:marRight w:val="0"/>
                                  <w:marTop w:val="0"/>
                                  <w:marBottom w:val="0"/>
                                  <w:divBdr>
                                    <w:top w:val="none" w:sz="0" w:space="0" w:color="auto"/>
                                    <w:left w:val="none" w:sz="0" w:space="0" w:color="auto"/>
                                    <w:bottom w:val="none" w:sz="0" w:space="0" w:color="auto"/>
                                    <w:right w:val="none" w:sz="0" w:space="0" w:color="auto"/>
                                  </w:divBdr>
                                </w:div>
                                <w:div w:id="1150440912">
                                  <w:marLeft w:val="0"/>
                                  <w:marRight w:val="0"/>
                                  <w:marTop w:val="0"/>
                                  <w:marBottom w:val="0"/>
                                  <w:divBdr>
                                    <w:top w:val="none" w:sz="0" w:space="0" w:color="auto"/>
                                    <w:left w:val="none" w:sz="0" w:space="0" w:color="auto"/>
                                    <w:bottom w:val="none" w:sz="0" w:space="0" w:color="auto"/>
                                    <w:right w:val="none" w:sz="0" w:space="0" w:color="auto"/>
                                  </w:divBdr>
                                </w:div>
                                <w:div w:id="669870718">
                                  <w:marLeft w:val="0"/>
                                  <w:marRight w:val="0"/>
                                  <w:marTop w:val="0"/>
                                  <w:marBottom w:val="0"/>
                                  <w:divBdr>
                                    <w:top w:val="none" w:sz="0" w:space="0" w:color="auto"/>
                                    <w:left w:val="none" w:sz="0" w:space="0" w:color="auto"/>
                                    <w:bottom w:val="none" w:sz="0" w:space="0" w:color="auto"/>
                                    <w:right w:val="none" w:sz="0" w:space="0" w:color="auto"/>
                                  </w:divBdr>
                                </w:div>
                                <w:div w:id="191384048">
                                  <w:marLeft w:val="0"/>
                                  <w:marRight w:val="0"/>
                                  <w:marTop w:val="0"/>
                                  <w:marBottom w:val="0"/>
                                  <w:divBdr>
                                    <w:top w:val="none" w:sz="0" w:space="0" w:color="auto"/>
                                    <w:left w:val="none" w:sz="0" w:space="0" w:color="auto"/>
                                    <w:bottom w:val="none" w:sz="0" w:space="0" w:color="auto"/>
                                    <w:right w:val="none" w:sz="0" w:space="0" w:color="auto"/>
                                  </w:divBdr>
                                </w:div>
                                <w:div w:id="394664451">
                                  <w:marLeft w:val="0"/>
                                  <w:marRight w:val="0"/>
                                  <w:marTop w:val="0"/>
                                  <w:marBottom w:val="0"/>
                                  <w:divBdr>
                                    <w:top w:val="none" w:sz="0" w:space="0" w:color="auto"/>
                                    <w:left w:val="none" w:sz="0" w:space="0" w:color="auto"/>
                                    <w:bottom w:val="none" w:sz="0" w:space="0" w:color="auto"/>
                                    <w:right w:val="none" w:sz="0" w:space="0" w:color="auto"/>
                                  </w:divBdr>
                                </w:div>
                                <w:div w:id="1942373791">
                                  <w:marLeft w:val="0"/>
                                  <w:marRight w:val="0"/>
                                  <w:marTop w:val="0"/>
                                  <w:marBottom w:val="0"/>
                                  <w:divBdr>
                                    <w:top w:val="none" w:sz="0" w:space="0" w:color="auto"/>
                                    <w:left w:val="none" w:sz="0" w:space="0" w:color="auto"/>
                                    <w:bottom w:val="none" w:sz="0" w:space="0" w:color="auto"/>
                                    <w:right w:val="none" w:sz="0" w:space="0" w:color="auto"/>
                                  </w:divBdr>
                                </w:div>
                                <w:div w:id="68116616">
                                  <w:marLeft w:val="0"/>
                                  <w:marRight w:val="0"/>
                                  <w:marTop w:val="0"/>
                                  <w:marBottom w:val="0"/>
                                  <w:divBdr>
                                    <w:top w:val="none" w:sz="0" w:space="0" w:color="auto"/>
                                    <w:left w:val="none" w:sz="0" w:space="0" w:color="auto"/>
                                    <w:bottom w:val="none" w:sz="0" w:space="0" w:color="auto"/>
                                    <w:right w:val="none" w:sz="0" w:space="0" w:color="auto"/>
                                  </w:divBdr>
                                </w:div>
                                <w:div w:id="1966033622">
                                  <w:marLeft w:val="0"/>
                                  <w:marRight w:val="0"/>
                                  <w:marTop w:val="0"/>
                                  <w:marBottom w:val="0"/>
                                  <w:divBdr>
                                    <w:top w:val="none" w:sz="0" w:space="0" w:color="auto"/>
                                    <w:left w:val="none" w:sz="0" w:space="0" w:color="auto"/>
                                    <w:bottom w:val="none" w:sz="0" w:space="0" w:color="auto"/>
                                    <w:right w:val="none" w:sz="0" w:space="0" w:color="auto"/>
                                  </w:divBdr>
                                </w:div>
                                <w:div w:id="380637023">
                                  <w:marLeft w:val="0"/>
                                  <w:marRight w:val="0"/>
                                  <w:marTop w:val="0"/>
                                  <w:marBottom w:val="0"/>
                                  <w:divBdr>
                                    <w:top w:val="none" w:sz="0" w:space="0" w:color="auto"/>
                                    <w:left w:val="none" w:sz="0" w:space="0" w:color="auto"/>
                                    <w:bottom w:val="none" w:sz="0" w:space="0" w:color="auto"/>
                                    <w:right w:val="none" w:sz="0" w:space="0" w:color="auto"/>
                                  </w:divBdr>
                                </w:div>
                                <w:div w:id="1166822826">
                                  <w:marLeft w:val="0"/>
                                  <w:marRight w:val="0"/>
                                  <w:marTop w:val="0"/>
                                  <w:marBottom w:val="0"/>
                                  <w:divBdr>
                                    <w:top w:val="none" w:sz="0" w:space="0" w:color="auto"/>
                                    <w:left w:val="none" w:sz="0" w:space="0" w:color="auto"/>
                                    <w:bottom w:val="none" w:sz="0" w:space="0" w:color="auto"/>
                                    <w:right w:val="none" w:sz="0" w:space="0" w:color="auto"/>
                                  </w:divBdr>
                                </w:div>
                                <w:div w:id="422991377">
                                  <w:marLeft w:val="0"/>
                                  <w:marRight w:val="0"/>
                                  <w:marTop w:val="0"/>
                                  <w:marBottom w:val="0"/>
                                  <w:divBdr>
                                    <w:top w:val="none" w:sz="0" w:space="0" w:color="auto"/>
                                    <w:left w:val="none" w:sz="0" w:space="0" w:color="auto"/>
                                    <w:bottom w:val="none" w:sz="0" w:space="0" w:color="auto"/>
                                    <w:right w:val="none" w:sz="0" w:space="0" w:color="auto"/>
                                  </w:divBdr>
                                </w:div>
                                <w:div w:id="1559709645">
                                  <w:marLeft w:val="0"/>
                                  <w:marRight w:val="0"/>
                                  <w:marTop w:val="0"/>
                                  <w:marBottom w:val="0"/>
                                  <w:divBdr>
                                    <w:top w:val="none" w:sz="0" w:space="0" w:color="auto"/>
                                    <w:left w:val="none" w:sz="0" w:space="0" w:color="auto"/>
                                    <w:bottom w:val="none" w:sz="0" w:space="0" w:color="auto"/>
                                    <w:right w:val="none" w:sz="0" w:space="0" w:color="auto"/>
                                  </w:divBdr>
                                </w:div>
                                <w:div w:id="574901735">
                                  <w:marLeft w:val="0"/>
                                  <w:marRight w:val="0"/>
                                  <w:marTop w:val="0"/>
                                  <w:marBottom w:val="0"/>
                                  <w:divBdr>
                                    <w:top w:val="none" w:sz="0" w:space="0" w:color="auto"/>
                                    <w:left w:val="none" w:sz="0" w:space="0" w:color="auto"/>
                                    <w:bottom w:val="none" w:sz="0" w:space="0" w:color="auto"/>
                                    <w:right w:val="none" w:sz="0" w:space="0" w:color="auto"/>
                                  </w:divBdr>
                                </w:div>
                                <w:div w:id="711543548">
                                  <w:marLeft w:val="0"/>
                                  <w:marRight w:val="0"/>
                                  <w:marTop w:val="0"/>
                                  <w:marBottom w:val="0"/>
                                  <w:divBdr>
                                    <w:top w:val="none" w:sz="0" w:space="0" w:color="auto"/>
                                    <w:left w:val="none" w:sz="0" w:space="0" w:color="auto"/>
                                    <w:bottom w:val="none" w:sz="0" w:space="0" w:color="auto"/>
                                    <w:right w:val="none" w:sz="0" w:space="0" w:color="auto"/>
                                  </w:divBdr>
                                </w:div>
                                <w:div w:id="1356422834">
                                  <w:marLeft w:val="0"/>
                                  <w:marRight w:val="0"/>
                                  <w:marTop w:val="0"/>
                                  <w:marBottom w:val="0"/>
                                  <w:divBdr>
                                    <w:top w:val="none" w:sz="0" w:space="0" w:color="auto"/>
                                    <w:left w:val="none" w:sz="0" w:space="0" w:color="auto"/>
                                    <w:bottom w:val="none" w:sz="0" w:space="0" w:color="auto"/>
                                    <w:right w:val="none" w:sz="0" w:space="0" w:color="auto"/>
                                  </w:divBdr>
                                </w:div>
                                <w:div w:id="2076315023">
                                  <w:marLeft w:val="0"/>
                                  <w:marRight w:val="0"/>
                                  <w:marTop w:val="0"/>
                                  <w:marBottom w:val="0"/>
                                  <w:divBdr>
                                    <w:top w:val="none" w:sz="0" w:space="0" w:color="auto"/>
                                    <w:left w:val="none" w:sz="0" w:space="0" w:color="auto"/>
                                    <w:bottom w:val="none" w:sz="0" w:space="0" w:color="auto"/>
                                    <w:right w:val="none" w:sz="0" w:space="0" w:color="auto"/>
                                  </w:divBdr>
                                </w:div>
                                <w:div w:id="594900021">
                                  <w:marLeft w:val="0"/>
                                  <w:marRight w:val="0"/>
                                  <w:marTop w:val="0"/>
                                  <w:marBottom w:val="0"/>
                                  <w:divBdr>
                                    <w:top w:val="none" w:sz="0" w:space="0" w:color="auto"/>
                                    <w:left w:val="none" w:sz="0" w:space="0" w:color="auto"/>
                                    <w:bottom w:val="none" w:sz="0" w:space="0" w:color="auto"/>
                                    <w:right w:val="none" w:sz="0" w:space="0" w:color="auto"/>
                                  </w:divBdr>
                                </w:div>
                                <w:div w:id="1142504844">
                                  <w:marLeft w:val="0"/>
                                  <w:marRight w:val="0"/>
                                  <w:marTop w:val="0"/>
                                  <w:marBottom w:val="0"/>
                                  <w:divBdr>
                                    <w:top w:val="none" w:sz="0" w:space="0" w:color="auto"/>
                                    <w:left w:val="none" w:sz="0" w:space="0" w:color="auto"/>
                                    <w:bottom w:val="none" w:sz="0" w:space="0" w:color="auto"/>
                                    <w:right w:val="none" w:sz="0" w:space="0" w:color="auto"/>
                                  </w:divBdr>
                                </w:div>
                                <w:div w:id="1127313845">
                                  <w:marLeft w:val="0"/>
                                  <w:marRight w:val="0"/>
                                  <w:marTop w:val="0"/>
                                  <w:marBottom w:val="0"/>
                                  <w:divBdr>
                                    <w:top w:val="none" w:sz="0" w:space="0" w:color="auto"/>
                                    <w:left w:val="none" w:sz="0" w:space="0" w:color="auto"/>
                                    <w:bottom w:val="none" w:sz="0" w:space="0" w:color="auto"/>
                                    <w:right w:val="none" w:sz="0" w:space="0" w:color="auto"/>
                                  </w:divBdr>
                                </w:div>
                                <w:div w:id="1528905490">
                                  <w:marLeft w:val="0"/>
                                  <w:marRight w:val="0"/>
                                  <w:marTop w:val="0"/>
                                  <w:marBottom w:val="0"/>
                                  <w:divBdr>
                                    <w:top w:val="none" w:sz="0" w:space="0" w:color="auto"/>
                                    <w:left w:val="none" w:sz="0" w:space="0" w:color="auto"/>
                                    <w:bottom w:val="none" w:sz="0" w:space="0" w:color="auto"/>
                                    <w:right w:val="none" w:sz="0" w:space="0" w:color="auto"/>
                                  </w:divBdr>
                                </w:div>
                                <w:div w:id="598678927">
                                  <w:marLeft w:val="0"/>
                                  <w:marRight w:val="0"/>
                                  <w:marTop w:val="0"/>
                                  <w:marBottom w:val="0"/>
                                  <w:divBdr>
                                    <w:top w:val="none" w:sz="0" w:space="0" w:color="auto"/>
                                    <w:left w:val="none" w:sz="0" w:space="0" w:color="auto"/>
                                    <w:bottom w:val="none" w:sz="0" w:space="0" w:color="auto"/>
                                    <w:right w:val="none" w:sz="0" w:space="0" w:color="auto"/>
                                  </w:divBdr>
                                </w:div>
                                <w:div w:id="378869720">
                                  <w:marLeft w:val="0"/>
                                  <w:marRight w:val="0"/>
                                  <w:marTop w:val="0"/>
                                  <w:marBottom w:val="0"/>
                                  <w:divBdr>
                                    <w:top w:val="none" w:sz="0" w:space="0" w:color="auto"/>
                                    <w:left w:val="none" w:sz="0" w:space="0" w:color="auto"/>
                                    <w:bottom w:val="none" w:sz="0" w:space="0" w:color="auto"/>
                                    <w:right w:val="none" w:sz="0" w:space="0" w:color="auto"/>
                                  </w:divBdr>
                                </w:div>
                                <w:div w:id="1080711239">
                                  <w:marLeft w:val="0"/>
                                  <w:marRight w:val="0"/>
                                  <w:marTop w:val="0"/>
                                  <w:marBottom w:val="0"/>
                                  <w:divBdr>
                                    <w:top w:val="none" w:sz="0" w:space="0" w:color="auto"/>
                                    <w:left w:val="none" w:sz="0" w:space="0" w:color="auto"/>
                                    <w:bottom w:val="none" w:sz="0" w:space="0" w:color="auto"/>
                                    <w:right w:val="none" w:sz="0" w:space="0" w:color="auto"/>
                                  </w:divBdr>
                                </w:div>
                                <w:div w:id="1070495203">
                                  <w:marLeft w:val="0"/>
                                  <w:marRight w:val="0"/>
                                  <w:marTop w:val="0"/>
                                  <w:marBottom w:val="0"/>
                                  <w:divBdr>
                                    <w:top w:val="none" w:sz="0" w:space="0" w:color="auto"/>
                                    <w:left w:val="none" w:sz="0" w:space="0" w:color="auto"/>
                                    <w:bottom w:val="none" w:sz="0" w:space="0" w:color="auto"/>
                                    <w:right w:val="none" w:sz="0" w:space="0" w:color="auto"/>
                                  </w:divBdr>
                                </w:div>
                                <w:div w:id="500388010">
                                  <w:marLeft w:val="0"/>
                                  <w:marRight w:val="0"/>
                                  <w:marTop w:val="0"/>
                                  <w:marBottom w:val="0"/>
                                  <w:divBdr>
                                    <w:top w:val="none" w:sz="0" w:space="0" w:color="auto"/>
                                    <w:left w:val="none" w:sz="0" w:space="0" w:color="auto"/>
                                    <w:bottom w:val="none" w:sz="0" w:space="0" w:color="auto"/>
                                    <w:right w:val="none" w:sz="0" w:space="0" w:color="auto"/>
                                  </w:divBdr>
                                </w:div>
                                <w:div w:id="502399839">
                                  <w:marLeft w:val="0"/>
                                  <w:marRight w:val="0"/>
                                  <w:marTop w:val="0"/>
                                  <w:marBottom w:val="0"/>
                                  <w:divBdr>
                                    <w:top w:val="none" w:sz="0" w:space="0" w:color="auto"/>
                                    <w:left w:val="none" w:sz="0" w:space="0" w:color="auto"/>
                                    <w:bottom w:val="none" w:sz="0" w:space="0" w:color="auto"/>
                                    <w:right w:val="none" w:sz="0" w:space="0" w:color="auto"/>
                                  </w:divBdr>
                                </w:div>
                                <w:div w:id="1261985731">
                                  <w:marLeft w:val="0"/>
                                  <w:marRight w:val="0"/>
                                  <w:marTop w:val="0"/>
                                  <w:marBottom w:val="0"/>
                                  <w:divBdr>
                                    <w:top w:val="none" w:sz="0" w:space="0" w:color="auto"/>
                                    <w:left w:val="none" w:sz="0" w:space="0" w:color="auto"/>
                                    <w:bottom w:val="none" w:sz="0" w:space="0" w:color="auto"/>
                                    <w:right w:val="none" w:sz="0" w:space="0" w:color="auto"/>
                                  </w:divBdr>
                                </w:div>
                                <w:div w:id="132404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5415">
                          <w:marLeft w:val="0"/>
                          <w:marRight w:val="0"/>
                          <w:marTop w:val="0"/>
                          <w:marBottom w:val="0"/>
                          <w:divBdr>
                            <w:top w:val="none" w:sz="0" w:space="0" w:color="auto"/>
                            <w:left w:val="none" w:sz="0" w:space="0" w:color="auto"/>
                            <w:bottom w:val="none" w:sz="0" w:space="0" w:color="auto"/>
                            <w:right w:val="none" w:sz="0" w:space="0" w:color="auto"/>
                          </w:divBdr>
                          <w:divsChild>
                            <w:div w:id="361979662">
                              <w:marLeft w:val="0"/>
                              <w:marRight w:val="0"/>
                              <w:marTop w:val="0"/>
                              <w:marBottom w:val="0"/>
                              <w:divBdr>
                                <w:top w:val="none" w:sz="0" w:space="0" w:color="auto"/>
                                <w:left w:val="none" w:sz="0" w:space="0" w:color="auto"/>
                                <w:bottom w:val="none" w:sz="0" w:space="0" w:color="auto"/>
                                <w:right w:val="none" w:sz="0" w:space="0" w:color="auto"/>
                              </w:divBdr>
                              <w:divsChild>
                                <w:div w:id="1454441961">
                                  <w:marLeft w:val="0"/>
                                  <w:marRight w:val="0"/>
                                  <w:marTop w:val="0"/>
                                  <w:marBottom w:val="0"/>
                                  <w:divBdr>
                                    <w:top w:val="none" w:sz="0" w:space="0" w:color="auto"/>
                                    <w:left w:val="none" w:sz="0" w:space="0" w:color="auto"/>
                                    <w:bottom w:val="none" w:sz="0" w:space="0" w:color="auto"/>
                                    <w:right w:val="none" w:sz="0" w:space="0" w:color="auto"/>
                                  </w:divBdr>
                                </w:div>
                                <w:div w:id="1310282898">
                                  <w:marLeft w:val="0"/>
                                  <w:marRight w:val="0"/>
                                  <w:marTop w:val="0"/>
                                  <w:marBottom w:val="0"/>
                                  <w:divBdr>
                                    <w:top w:val="none" w:sz="0" w:space="0" w:color="auto"/>
                                    <w:left w:val="none" w:sz="0" w:space="0" w:color="auto"/>
                                    <w:bottom w:val="none" w:sz="0" w:space="0" w:color="auto"/>
                                    <w:right w:val="none" w:sz="0" w:space="0" w:color="auto"/>
                                  </w:divBdr>
                                </w:div>
                                <w:div w:id="1997217775">
                                  <w:marLeft w:val="0"/>
                                  <w:marRight w:val="0"/>
                                  <w:marTop w:val="0"/>
                                  <w:marBottom w:val="0"/>
                                  <w:divBdr>
                                    <w:top w:val="none" w:sz="0" w:space="0" w:color="auto"/>
                                    <w:left w:val="none" w:sz="0" w:space="0" w:color="auto"/>
                                    <w:bottom w:val="none" w:sz="0" w:space="0" w:color="auto"/>
                                    <w:right w:val="none" w:sz="0" w:space="0" w:color="auto"/>
                                  </w:divBdr>
                                </w:div>
                                <w:div w:id="804735132">
                                  <w:marLeft w:val="0"/>
                                  <w:marRight w:val="0"/>
                                  <w:marTop w:val="0"/>
                                  <w:marBottom w:val="0"/>
                                  <w:divBdr>
                                    <w:top w:val="none" w:sz="0" w:space="0" w:color="auto"/>
                                    <w:left w:val="none" w:sz="0" w:space="0" w:color="auto"/>
                                    <w:bottom w:val="none" w:sz="0" w:space="0" w:color="auto"/>
                                    <w:right w:val="none" w:sz="0" w:space="0" w:color="auto"/>
                                  </w:divBdr>
                                </w:div>
                                <w:div w:id="781463558">
                                  <w:marLeft w:val="0"/>
                                  <w:marRight w:val="0"/>
                                  <w:marTop w:val="0"/>
                                  <w:marBottom w:val="0"/>
                                  <w:divBdr>
                                    <w:top w:val="none" w:sz="0" w:space="0" w:color="auto"/>
                                    <w:left w:val="none" w:sz="0" w:space="0" w:color="auto"/>
                                    <w:bottom w:val="none" w:sz="0" w:space="0" w:color="auto"/>
                                    <w:right w:val="none" w:sz="0" w:space="0" w:color="auto"/>
                                  </w:divBdr>
                                </w:div>
                                <w:div w:id="1808276907">
                                  <w:marLeft w:val="0"/>
                                  <w:marRight w:val="0"/>
                                  <w:marTop w:val="0"/>
                                  <w:marBottom w:val="0"/>
                                  <w:divBdr>
                                    <w:top w:val="none" w:sz="0" w:space="0" w:color="auto"/>
                                    <w:left w:val="none" w:sz="0" w:space="0" w:color="auto"/>
                                    <w:bottom w:val="none" w:sz="0" w:space="0" w:color="auto"/>
                                    <w:right w:val="none" w:sz="0" w:space="0" w:color="auto"/>
                                  </w:divBdr>
                                </w:div>
                                <w:div w:id="1268197200">
                                  <w:marLeft w:val="0"/>
                                  <w:marRight w:val="0"/>
                                  <w:marTop w:val="0"/>
                                  <w:marBottom w:val="0"/>
                                  <w:divBdr>
                                    <w:top w:val="none" w:sz="0" w:space="0" w:color="auto"/>
                                    <w:left w:val="none" w:sz="0" w:space="0" w:color="auto"/>
                                    <w:bottom w:val="none" w:sz="0" w:space="0" w:color="auto"/>
                                    <w:right w:val="none" w:sz="0" w:space="0" w:color="auto"/>
                                  </w:divBdr>
                                </w:div>
                                <w:div w:id="771971609">
                                  <w:marLeft w:val="0"/>
                                  <w:marRight w:val="0"/>
                                  <w:marTop w:val="0"/>
                                  <w:marBottom w:val="0"/>
                                  <w:divBdr>
                                    <w:top w:val="none" w:sz="0" w:space="0" w:color="auto"/>
                                    <w:left w:val="none" w:sz="0" w:space="0" w:color="auto"/>
                                    <w:bottom w:val="none" w:sz="0" w:space="0" w:color="auto"/>
                                    <w:right w:val="none" w:sz="0" w:space="0" w:color="auto"/>
                                  </w:divBdr>
                                </w:div>
                                <w:div w:id="655107060">
                                  <w:marLeft w:val="0"/>
                                  <w:marRight w:val="0"/>
                                  <w:marTop w:val="0"/>
                                  <w:marBottom w:val="0"/>
                                  <w:divBdr>
                                    <w:top w:val="none" w:sz="0" w:space="0" w:color="auto"/>
                                    <w:left w:val="none" w:sz="0" w:space="0" w:color="auto"/>
                                    <w:bottom w:val="none" w:sz="0" w:space="0" w:color="auto"/>
                                    <w:right w:val="none" w:sz="0" w:space="0" w:color="auto"/>
                                  </w:divBdr>
                                </w:div>
                                <w:div w:id="1472867498">
                                  <w:marLeft w:val="0"/>
                                  <w:marRight w:val="0"/>
                                  <w:marTop w:val="0"/>
                                  <w:marBottom w:val="0"/>
                                  <w:divBdr>
                                    <w:top w:val="none" w:sz="0" w:space="0" w:color="auto"/>
                                    <w:left w:val="none" w:sz="0" w:space="0" w:color="auto"/>
                                    <w:bottom w:val="none" w:sz="0" w:space="0" w:color="auto"/>
                                    <w:right w:val="none" w:sz="0" w:space="0" w:color="auto"/>
                                  </w:divBdr>
                                </w:div>
                                <w:div w:id="2043895982">
                                  <w:marLeft w:val="0"/>
                                  <w:marRight w:val="0"/>
                                  <w:marTop w:val="0"/>
                                  <w:marBottom w:val="0"/>
                                  <w:divBdr>
                                    <w:top w:val="none" w:sz="0" w:space="0" w:color="auto"/>
                                    <w:left w:val="none" w:sz="0" w:space="0" w:color="auto"/>
                                    <w:bottom w:val="none" w:sz="0" w:space="0" w:color="auto"/>
                                    <w:right w:val="none" w:sz="0" w:space="0" w:color="auto"/>
                                  </w:divBdr>
                                </w:div>
                                <w:div w:id="638733519">
                                  <w:marLeft w:val="0"/>
                                  <w:marRight w:val="0"/>
                                  <w:marTop w:val="0"/>
                                  <w:marBottom w:val="0"/>
                                  <w:divBdr>
                                    <w:top w:val="none" w:sz="0" w:space="0" w:color="auto"/>
                                    <w:left w:val="none" w:sz="0" w:space="0" w:color="auto"/>
                                    <w:bottom w:val="none" w:sz="0" w:space="0" w:color="auto"/>
                                    <w:right w:val="none" w:sz="0" w:space="0" w:color="auto"/>
                                  </w:divBdr>
                                </w:div>
                                <w:div w:id="1304889648">
                                  <w:marLeft w:val="0"/>
                                  <w:marRight w:val="0"/>
                                  <w:marTop w:val="0"/>
                                  <w:marBottom w:val="0"/>
                                  <w:divBdr>
                                    <w:top w:val="none" w:sz="0" w:space="0" w:color="auto"/>
                                    <w:left w:val="none" w:sz="0" w:space="0" w:color="auto"/>
                                    <w:bottom w:val="none" w:sz="0" w:space="0" w:color="auto"/>
                                    <w:right w:val="none" w:sz="0" w:space="0" w:color="auto"/>
                                  </w:divBdr>
                                </w:div>
                                <w:div w:id="1960914014">
                                  <w:marLeft w:val="0"/>
                                  <w:marRight w:val="0"/>
                                  <w:marTop w:val="0"/>
                                  <w:marBottom w:val="0"/>
                                  <w:divBdr>
                                    <w:top w:val="none" w:sz="0" w:space="0" w:color="auto"/>
                                    <w:left w:val="none" w:sz="0" w:space="0" w:color="auto"/>
                                    <w:bottom w:val="none" w:sz="0" w:space="0" w:color="auto"/>
                                    <w:right w:val="none" w:sz="0" w:space="0" w:color="auto"/>
                                  </w:divBdr>
                                </w:div>
                                <w:div w:id="688801315">
                                  <w:marLeft w:val="0"/>
                                  <w:marRight w:val="0"/>
                                  <w:marTop w:val="0"/>
                                  <w:marBottom w:val="0"/>
                                  <w:divBdr>
                                    <w:top w:val="none" w:sz="0" w:space="0" w:color="auto"/>
                                    <w:left w:val="none" w:sz="0" w:space="0" w:color="auto"/>
                                    <w:bottom w:val="none" w:sz="0" w:space="0" w:color="auto"/>
                                    <w:right w:val="none" w:sz="0" w:space="0" w:color="auto"/>
                                  </w:divBdr>
                                </w:div>
                                <w:div w:id="1119879440">
                                  <w:marLeft w:val="0"/>
                                  <w:marRight w:val="0"/>
                                  <w:marTop w:val="0"/>
                                  <w:marBottom w:val="0"/>
                                  <w:divBdr>
                                    <w:top w:val="none" w:sz="0" w:space="0" w:color="auto"/>
                                    <w:left w:val="none" w:sz="0" w:space="0" w:color="auto"/>
                                    <w:bottom w:val="none" w:sz="0" w:space="0" w:color="auto"/>
                                    <w:right w:val="none" w:sz="0" w:space="0" w:color="auto"/>
                                  </w:divBdr>
                                </w:div>
                                <w:div w:id="1458525943">
                                  <w:marLeft w:val="0"/>
                                  <w:marRight w:val="0"/>
                                  <w:marTop w:val="0"/>
                                  <w:marBottom w:val="0"/>
                                  <w:divBdr>
                                    <w:top w:val="none" w:sz="0" w:space="0" w:color="auto"/>
                                    <w:left w:val="none" w:sz="0" w:space="0" w:color="auto"/>
                                    <w:bottom w:val="none" w:sz="0" w:space="0" w:color="auto"/>
                                    <w:right w:val="none" w:sz="0" w:space="0" w:color="auto"/>
                                  </w:divBdr>
                                </w:div>
                                <w:div w:id="1556508949">
                                  <w:marLeft w:val="0"/>
                                  <w:marRight w:val="0"/>
                                  <w:marTop w:val="0"/>
                                  <w:marBottom w:val="0"/>
                                  <w:divBdr>
                                    <w:top w:val="none" w:sz="0" w:space="0" w:color="auto"/>
                                    <w:left w:val="none" w:sz="0" w:space="0" w:color="auto"/>
                                    <w:bottom w:val="none" w:sz="0" w:space="0" w:color="auto"/>
                                    <w:right w:val="none" w:sz="0" w:space="0" w:color="auto"/>
                                  </w:divBdr>
                                </w:div>
                                <w:div w:id="1557934357">
                                  <w:marLeft w:val="0"/>
                                  <w:marRight w:val="0"/>
                                  <w:marTop w:val="0"/>
                                  <w:marBottom w:val="0"/>
                                  <w:divBdr>
                                    <w:top w:val="none" w:sz="0" w:space="0" w:color="auto"/>
                                    <w:left w:val="none" w:sz="0" w:space="0" w:color="auto"/>
                                    <w:bottom w:val="none" w:sz="0" w:space="0" w:color="auto"/>
                                    <w:right w:val="none" w:sz="0" w:space="0" w:color="auto"/>
                                  </w:divBdr>
                                </w:div>
                                <w:div w:id="239560887">
                                  <w:marLeft w:val="0"/>
                                  <w:marRight w:val="0"/>
                                  <w:marTop w:val="0"/>
                                  <w:marBottom w:val="0"/>
                                  <w:divBdr>
                                    <w:top w:val="none" w:sz="0" w:space="0" w:color="auto"/>
                                    <w:left w:val="none" w:sz="0" w:space="0" w:color="auto"/>
                                    <w:bottom w:val="none" w:sz="0" w:space="0" w:color="auto"/>
                                    <w:right w:val="none" w:sz="0" w:space="0" w:color="auto"/>
                                  </w:divBdr>
                                </w:div>
                                <w:div w:id="1505851775">
                                  <w:marLeft w:val="0"/>
                                  <w:marRight w:val="0"/>
                                  <w:marTop w:val="0"/>
                                  <w:marBottom w:val="0"/>
                                  <w:divBdr>
                                    <w:top w:val="none" w:sz="0" w:space="0" w:color="auto"/>
                                    <w:left w:val="none" w:sz="0" w:space="0" w:color="auto"/>
                                    <w:bottom w:val="none" w:sz="0" w:space="0" w:color="auto"/>
                                    <w:right w:val="none" w:sz="0" w:space="0" w:color="auto"/>
                                  </w:divBdr>
                                </w:div>
                                <w:div w:id="880946604">
                                  <w:marLeft w:val="0"/>
                                  <w:marRight w:val="0"/>
                                  <w:marTop w:val="0"/>
                                  <w:marBottom w:val="0"/>
                                  <w:divBdr>
                                    <w:top w:val="none" w:sz="0" w:space="0" w:color="auto"/>
                                    <w:left w:val="none" w:sz="0" w:space="0" w:color="auto"/>
                                    <w:bottom w:val="none" w:sz="0" w:space="0" w:color="auto"/>
                                    <w:right w:val="none" w:sz="0" w:space="0" w:color="auto"/>
                                  </w:divBdr>
                                </w:div>
                                <w:div w:id="956371871">
                                  <w:marLeft w:val="0"/>
                                  <w:marRight w:val="0"/>
                                  <w:marTop w:val="0"/>
                                  <w:marBottom w:val="0"/>
                                  <w:divBdr>
                                    <w:top w:val="none" w:sz="0" w:space="0" w:color="auto"/>
                                    <w:left w:val="none" w:sz="0" w:space="0" w:color="auto"/>
                                    <w:bottom w:val="none" w:sz="0" w:space="0" w:color="auto"/>
                                    <w:right w:val="none" w:sz="0" w:space="0" w:color="auto"/>
                                  </w:divBdr>
                                </w:div>
                                <w:div w:id="1126893447">
                                  <w:marLeft w:val="0"/>
                                  <w:marRight w:val="0"/>
                                  <w:marTop w:val="0"/>
                                  <w:marBottom w:val="0"/>
                                  <w:divBdr>
                                    <w:top w:val="none" w:sz="0" w:space="0" w:color="auto"/>
                                    <w:left w:val="none" w:sz="0" w:space="0" w:color="auto"/>
                                    <w:bottom w:val="none" w:sz="0" w:space="0" w:color="auto"/>
                                    <w:right w:val="none" w:sz="0" w:space="0" w:color="auto"/>
                                  </w:divBdr>
                                </w:div>
                                <w:div w:id="1339576840">
                                  <w:marLeft w:val="0"/>
                                  <w:marRight w:val="0"/>
                                  <w:marTop w:val="0"/>
                                  <w:marBottom w:val="0"/>
                                  <w:divBdr>
                                    <w:top w:val="none" w:sz="0" w:space="0" w:color="auto"/>
                                    <w:left w:val="none" w:sz="0" w:space="0" w:color="auto"/>
                                    <w:bottom w:val="none" w:sz="0" w:space="0" w:color="auto"/>
                                    <w:right w:val="none" w:sz="0" w:space="0" w:color="auto"/>
                                  </w:divBdr>
                                </w:div>
                                <w:div w:id="431172457">
                                  <w:marLeft w:val="0"/>
                                  <w:marRight w:val="0"/>
                                  <w:marTop w:val="0"/>
                                  <w:marBottom w:val="0"/>
                                  <w:divBdr>
                                    <w:top w:val="none" w:sz="0" w:space="0" w:color="auto"/>
                                    <w:left w:val="none" w:sz="0" w:space="0" w:color="auto"/>
                                    <w:bottom w:val="none" w:sz="0" w:space="0" w:color="auto"/>
                                    <w:right w:val="none" w:sz="0" w:space="0" w:color="auto"/>
                                  </w:divBdr>
                                </w:div>
                                <w:div w:id="1905329663">
                                  <w:marLeft w:val="0"/>
                                  <w:marRight w:val="0"/>
                                  <w:marTop w:val="0"/>
                                  <w:marBottom w:val="0"/>
                                  <w:divBdr>
                                    <w:top w:val="none" w:sz="0" w:space="0" w:color="auto"/>
                                    <w:left w:val="none" w:sz="0" w:space="0" w:color="auto"/>
                                    <w:bottom w:val="none" w:sz="0" w:space="0" w:color="auto"/>
                                    <w:right w:val="none" w:sz="0" w:space="0" w:color="auto"/>
                                  </w:divBdr>
                                </w:div>
                                <w:div w:id="553347241">
                                  <w:marLeft w:val="0"/>
                                  <w:marRight w:val="0"/>
                                  <w:marTop w:val="0"/>
                                  <w:marBottom w:val="0"/>
                                  <w:divBdr>
                                    <w:top w:val="none" w:sz="0" w:space="0" w:color="auto"/>
                                    <w:left w:val="none" w:sz="0" w:space="0" w:color="auto"/>
                                    <w:bottom w:val="none" w:sz="0" w:space="0" w:color="auto"/>
                                    <w:right w:val="none" w:sz="0" w:space="0" w:color="auto"/>
                                  </w:divBdr>
                                </w:div>
                                <w:div w:id="1160388162">
                                  <w:marLeft w:val="0"/>
                                  <w:marRight w:val="0"/>
                                  <w:marTop w:val="0"/>
                                  <w:marBottom w:val="0"/>
                                  <w:divBdr>
                                    <w:top w:val="none" w:sz="0" w:space="0" w:color="auto"/>
                                    <w:left w:val="none" w:sz="0" w:space="0" w:color="auto"/>
                                    <w:bottom w:val="none" w:sz="0" w:space="0" w:color="auto"/>
                                    <w:right w:val="none" w:sz="0" w:space="0" w:color="auto"/>
                                  </w:divBdr>
                                </w:div>
                                <w:div w:id="1250970629">
                                  <w:marLeft w:val="0"/>
                                  <w:marRight w:val="0"/>
                                  <w:marTop w:val="0"/>
                                  <w:marBottom w:val="0"/>
                                  <w:divBdr>
                                    <w:top w:val="none" w:sz="0" w:space="0" w:color="auto"/>
                                    <w:left w:val="none" w:sz="0" w:space="0" w:color="auto"/>
                                    <w:bottom w:val="none" w:sz="0" w:space="0" w:color="auto"/>
                                    <w:right w:val="none" w:sz="0" w:space="0" w:color="auto"/>
                                  </w:divBdr>
                                </w:div>
                                <w:div w:id="66927779">
                                  <w:marLeft w:val="0"/>
                                  <w:marRight w:val="0"/>
                                  <w:marTop w:val="0"/>
                                  <w:marBottom w:val="0"/>
                                  <w:divBdr>
                                    <w:top w:val="none" w:sz="0" w:space="0" w:color="auto"/>
                                    <w:left w:val="none" w:sz="0" w:space="0" w:color="auto"/>
                                    <w:bottom w:val="none" w:sz="0" w:space="0" w:color="auto"/>
                                    <w:right w:val="none" w:sz="0" w:space="0" w:color="auto"/>
                                  </w:divBdr>
                                </w:div>
                                <w:div w:id="1429496707">
                                  <w:marLeft w:val="0"/>
                                  <w:marRight w:val="0"/>
                                  <w:marTop w:val="0"/>
                                  <w:marBottom w:val="0"/>
                                  <w:divBdr>
                                    <w:top w:val="none" w:sz="0" w:space="0" w:color="auto"/>
                                    <w:left w:val="none" w:sz="0" w:space="0" w:color="auto"/>
                                    <w:bottom w:val="none" w:sz="0" w:space="0" w:color="auto"/>
                                    <w:right w:val="none" w:sz="0" w:space="0" w:color="auto"/>
                                  </w:divBdr>
                                </w:div>
                                <w:div w:id="1084258952">
                                  <w:marLeft w:val="0"/>
                                  <w:marRight w:val="0"/>
                                  <w:marTop w:val="0"/>
                                  <w:marBottom w:val="0"/>
                                  <w:divBdr>
                                    <w:top w:val="none" w:sz="0" w:space="0" w:color="auto"/>
                                    <w:left w:val="none" w:sz="0" w:space="0" w:color="auto"/>
                                    <w:bottom w:val="none" w:sz="0" w:space="0" w:color="auto"/>
                                    <w:right w:val="none" w:sz="0" w:space="0" w:color="auto"/>
                                  </w:divBdr>
                                </w:div>
                                <w:div w:id="1781992637">
                                  <w:marLeft w:val="0"/>
                                  <w:marRight w:val="0"/>
                                  <w:marTop w:val="0"/>
                                  <w:marBottom w:val="0"/>
                                  <w:divBdr>
                                    <w:top w:val="none" w:sz="0" w:space="0" w:color="auto"/>
                                    <w:left w:val="none" w:sz="0" w:space="0" w:color="auto"/>
                                    <w:bottom w:val="none" w:sz="0" w:space="0" w:color="auto"/>
                                    <w:right w:val="none" w:sz="0" w:space="0" w:color="auto"/>
                                  </w:divBdr>
                                </w:div>
                                <w:div w:id="724452109">
                                  <w:marLeft w:val="0"/>
                                  <w:marRight w:val="0"/>
                                  <w:marTop w:val="0"/>
                                  <w:marBottom w:val="0"/>
                                  <w:divBdr>
                                    <w:top w:val="none" w:sz="0" w:space="0" w:color="auto"/>
                                    <w:left w:val="none" w:sz="0" w:space="0" w:color="auto"/>
                                    <w:bottom w:val="none" w:sz="0" w:space="0" w:color="auto"/>
                                    <w:right w:val="none" w:sz="0" w:space="0" w:color="auto"/>
                                  </w:divBdr>
                                </w:div>
                                <w:div w:id="1841583338">
                                  <w:marLeft w:val="0"/>
                                  <w:marRight w:val="0"/>
                                  <w:marTop w:val="0"/>
                                  <w:marBottom w:val="0"/>
                                  <w:divBdr>
                                    <w:top w:val="none" w:sz="0" w:space="0" w:color="auto"/>
                                    <w:left w:val="none" w:sz="0" w:space="0" w:color="auto"/>
                                    <w:bottom w:val="none" w:sz="0" w:space="0" w:color="auto"/>
                                    <w:right w:val="none" w:sz="0" w:space="0" w:color="auto"/>
                                  </w:divBdr>
                                </w:div>
                                <w:div w:id="833646508">
                                  <w:marLeft w:val="0"/>
                                  <w:marRight w:val="0"/>
                                  <w:marTop w:val="0"/>
                                  <w:marBottom w:val="0"/>
                                  <w:divBdr>
                                    <w:top w:val="none" w:sz="0" w:space="0" w:color="auto"/>
                                    <w:left w:val="none" w:sz="0" w:space="0" w:color="auto"/>
                                    <w:bottom w:val="none" w:sz="0" w:space="0" w:color="auto"/>
                                    <w:right w:val="none" w:sz="0" w:space="0" w:color="auto"/>
                                  </w:divBdr>
                                </w:div>
                                <w:div w:id="1098519626">
                                  <w:marLeft w:val="0"/>
                                  <w:marRight w:val="0"/>
                                  <w:marTop w:val="0"/>
                                  <w:marBottom w:val="0"/>
                                  <w:divBdr>
                                    <w:top w:val="none" w:sz="0" w:space="0" w:color="auto"/>
                                    <w:left w:val="none" w:sz="0" w:space="0" w:color="auto"/>
                                    <w:bottom w:val="none" w:sz="0" w:space="0" w:color="auto"/>
                                    <w:right w:val="none" w:sz="0" w:space="0" w:color="auto"/>
                                  </w:divBdr>
                                </w:div>
                                <w:div w:id="1653290263">
                                  <w:marLeft w:val="0"/>
                                  <w:marRight w:val="0"/>
                                  <w:marTop w:val="0"/>
                                  <w:marBottom w:val="0"/>
                                  <w:divBdr>
                                    <w:top w:val="none" w:sz="0" w:space="0" w:color="auto"/>
                                    <w:left w:val="none" w:sz="0" w:space="0" w:color="auto"/>
                                    <w:bottom w:val="none" w:sz="0" w:space="0" w:color="auto"/>
                                    <w:right w:val="none" w:sz="0" w:space="0" w:color="auto"/>
                                  </w:divBdr>
                                </w:div>
                                <w:div w:id="1070615092">
                                  <w:marLeft w:val="0"/>
                                  <w:marRight w:val="0"/>
                                  <w:marTop w:val="0"/>
                                  <w:marBottom w:val="0"/>
                                  <w:divBdr>
                                    <w:top w:val="none" w:sz="0" w:space="0" w:color="auto"/>
                                    <w:left w:val="none" w:sz="0" w:space="0" w:color="auto"/>
                                    <w:bottom w:val="none" w:sz="0" w:space="0" w:color="auto"/>
                                    <w:right w:val="none" w:sz="0" w:space="0" w:color="auto"/>
                                  </w:divBdr>
                                </w:div>
                                <w:div w:id="1425803972">
                                  <w:marLeft w:val="0"/>
                                  <w:marRight w:val="0"/>
                                  <w:marTop w:val="0"/>
                                  <w:marBottom w:val="0"/>
                                  <w:divBdr>
                                    <w:top w:val="none" w:sz="0" w:space="0" w:color="auto"/>
                                    <w:left w:val="none" w:sz="0" w:space="0" w:color="auto"/>
                                    <w:bottom w:val="none" w:sz="0" w:space="0" w:color="auto"/>
                                    <w:right w:val="none" w:sz="0" w:space="0" w:color="auto"/>
                                  </w:divBdr>
                                </w:div>
                                <w:div w:id="44372744">
                                  <w:marLeft w:val="0"/>
                                  <w:marRight w:val="0"/>
                                  <w:marTop w:val="0"/>
                                  <w:marBottom w:val="0"/>
                                  <w:divBdr>
                                    <w:top w:val="none" w:sz="0" w:space="0" w:color="auto"/>
                                    <w:left w:val="none" w:sz="0" w:space="0" w:color="auto"/>
                                    <w:bottom w:val="none" w:sz="0" w:space="0" w:color="auto"/>
                                    <w:right w:val="none" w:sz="0" w:space="0" w:color="auto"/>
                                  </w:divBdr>
                                </w:div>
                                <w:div w:id="522592198">
                                  <w:marLeft w:val="0"/>
                                  <w:marRight w:val="0"/>
                                  <w:marTop w:val="0"/>
                                  <w:marBottom w:val="0"/>
                                  <w:divBdr>
                                    <w:top w:val="none" w:sz="0" w:space="0" w:color="auto"/>
                                    <w:left w:val="none" w:sz="0" w:space="0" w:color="auto"/>
                                    <w:bottom w:val="none" w:sz="0" w:space="0" w:color="auto"/>
                                    <w:right w:val="none" w:sz="0" w:space="0" w:color="auto"/>
                                  </w:divBdr>
                                </w:div>
                                <w:div w:id="1892377714">
                                  <w:marLeft w:val="0"/>
                                  <w:marRight w:val="0"/>
                                  <w:marTop w:val="0"/>
                                  <w:marBottom w:val="0"/>
                                  <w:divBdr>
                                    <w:top w:val="none" w:sz="0" w:space="0" w:color="auto"/>
                                    <w:left w:val="none" w:sz="0" w:space="0" w:color="auto"/>
                                    <w:bottom w:val="none" w:sz="0" w:space="0" w:color="auto"/>
                                    <w:right w:val="none" w:sz="0" w:space="0" w:color="auto"/>
                                  </w:divBdr>
                                </w:div>
                                <w:div w:id="574825101">
                                  <w:marLeft w:val="0"/>
                                  <w:marRight w:val="0"/>
                                  <w:marTop w:val="0"/>
                                  <w:marBottom w:val="0"/>
                                  <w:divBdr>
                                    <w:top w:val="none" w:sz="0" w:space="0" w:color="auto"/>
                                    <w:left w:val="none" w:sz="0" w:space="0" w:color="auto"/>
                                    <w:bottom w:val="none" w:sz="0" w:space="0" w:color="auto"/>
                                    <w:right w:val="none" w:sz="0" w:space="0" w:color="auto"/>
                                  </w:divBdr>
                                </w:div>
                                <w:div w:id="141197196">
                                  <w:marLeft w:val="0"/>
                                  <w:marRight w:val="0"/>
                                  <w:marTop w:val="0"/>
                                  <w:marBottom w:val="0"/>
                                  <w:divBdr>
                                    <w:top w:val="none" w:sz="0" w:space="0" w:color="auto"/>
                                    <w:left w:val="none" w:sz="0" w:space="0" w:color="auto"/>
                                    <w:bottom w:val="none" w:sz="0" w:space="0" w:color="auto"/>
                                    <w:right w:val="none" w:sz="0" w:space="0" w:color="auto"/>
                                  </w:divBdr>
                                </w:div>
                                <w:div w:id="1292596463">
                                  <w:marLeft w:val="0"/>
                                  <w:marRight w:val="0"/>
                                  <w:marTop w:val="0"/>
                                  <w:marBottom w:val="0"/>
                                  <w:divBdr>
                                    <w:top w:val="none" w:sz="0" w:space="0" w:color="auto"/>
                                    <w:left w:val="none" w:sz="0" w:space="0" w:color="auto"/>
                                    <w:bottom w:val="none" w:sz="0" w:space="0" w:color="auto"/>
                                    <w:right w:val="none" w:sz="0" w:space="0" w:color="auto"/>
                                  </w:divBdr>
                                </w:div>
                                <w:div w:id="384717689">
                                  <w:marLeft w:val="0"/>
                                  <w:marRight w:val="0"/>
                                  <w:marTop w:val="0"/>
                                  <w:marBottom w:val="0"/>
                                  <w:divBdr>
                                    <w:top w:val="none" w:sz="0" w:space="0" w:color="auto"/>
                                    <w:left w:val="none" w:sz="0" w:space="0" w:color="auto"/>
                                    <w:bottom w:val="none" w:sz="0" w:space="0" w:color="auto"/>
                                    <w:right w:val="none" w:sz="0" w:space="0" w:color="auto"/>
                                  </w:divBdr>
                                </w:div>
                                <w:div w:id="1595940859">
                                  <w:marLeft w:val="0"/>
                                  <w:marRight w:val="0"/>
                                  <w:marTop w:val="0"/>
                                  <w:marBottom w:val="0"/>
                                  <w:divBdr>
                                    <w:top w:val="none" w:sz="0" w:space="0" w:color="auto"/>
                                    <w:left w:val="none" w:sz="0" w:space="0" w:color="auto"/>
                                    <w:bottom w:val="none" w:sz="0" w:space="0" w:color="auto"/>
                                    <w:right w:val="none" w:sz="0" w:space="0" w:color="auto"/>
                                  </w:divBdr>
                                </w:div>
                                <w:div w:id="1609846146">
                                  <w:marLeft w:val="0"/>
                                  <w:marRight w:val="0"/>
                                  <w:marTop w:val="0"/>
                                  <w:marBottom w:val="0"/>
                                  <w:divBdr>
                                    <w:top w:val="none" w:sz="0" w:space="0" w:color="auto"/>
                                    <w:left w:val="none" w:sz="0" w:space="0" w:color="auto"/>
                                    <w:bottom w:val="none" w:sz="0" w:space="0" w:color="auto"/>
                                    <w:right w:val="none" w:sz="0" w:space="0" w:color="auto"/>
                                  </w:divBdr>
                                </w:div>
                                <w:div w:id="22584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130295">
      <w:bodyDiv w:val="1"/>
      <w:marLeft w:val="0"/>
      <w:marRight w:val="0"/>
      <w:marTop w:val="0"/>
      <w:marBottom w:val="0"/>
      <w:divBdr>
        <w:top w:val="none" w:sz="0" w:space="0" w:color="auto"/>
        <w:left w:val="none" w:sz="0" w:space="0" w:color="auto"/>
        <w:bottom w:val="none" w:sz="0" w:space="0" w:color="auto"/>
        <w:right w:val="none" w:sz="0" w:space="0" w:color="auto"/>
      </w:divBdr>
    </w:div>
    <w:div w:id="1277638149">
      <w:bodyDiv w:val="1"/>
      <w:marLeft w:val="0"/>
      <w:marRight w:val="0"/>
      <w:marTop w:val="0"/>
      <w:marBottom w:val="0"/>
      <w:divBdr>
        <w:top w:val="none" w:sz="0" w:space="0" w:color="auto"/>
        <w:left w:val="none" w:sz="0" w:space="0" w:color="auto"/>
        <w:bottom w:val="none" w:sz="0" w:space="0" w:color="auto"/>
        <w:right w:val="none" w:sz="0" w:space="0" w:color="auto"/>
      </w:divBdr>
    </w:div>
    <w:div w:id="1337147768">
      <w:bodyDiv w:val="1"/>
      <w:marLeft w:val="0"/>
      <w:marRight w:val="0"/>
      <w:marTop w:val="0"/>
      <w:marBottom w:val="0"/>
      <w:divBdr>
        <w:top w:val="none" w:sz="0" w:space="0" w:color="auto"/>
        <w:left w:val="none" w:sz="0" w:space="0" w:color="auto"/>
        <w:bottom w:val="none" w:sz="0" w:space="0" w:color="auto"/>
        <w:right w:val="none" w:sz="0" w:space="0" w:color="auto"/>
      </w:divBdr>
    </w:div>
    <w:div w:id="1378893300">
      <w:bodyDiv w:val="1"/>
      <w:marLeft w:val="0"/>
      <w:marRight w:val="0"/>
      <w:marTop w:val="0"/>
      <w:marBottom w:val="0"/>
      <w:divBdr>
        <w:top w:val="none" w:sz="0" w:space="0" w:color="auto"/>
        <w:left w:val="none" w:sz="0" w:space="0" w:color="auto"/>
        <w:bottom w:val="none" w:sz="0" w:space="0" w:color="auto"/>
        <w:right w:val="none" w:sz="0" w:space="0" w:color="auto"/>
      </w:divBdr>
      <w:divsChild>
        <w:div w:id="233709128">
          <w:marLeft w:val="0"/>
          <w:marRight w:val="0"/>
          <w:marTop w:val="0"/>
          <w:marBottom w:val="0"/>
          <w:divBdr>
            <w:top w:val="none" w:sz="0" w:space="0" w:color="auto"/>
            <w:left w:val="none" w:sz="0" w:space="0" w:color="auto"/>
            <w:bottom w:val="none" w:sz="0" w:space="0" w:color="auto"/>
            <w:right w:val="none" w:sz="0" w:space="0" w:color="auto"/>
          </w:divBdr>
          <w:divsChild>
            <w:div w:id="13206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85866">
      <w:bodyDiv w:val="1"/>
      <w:marLeft w:val="0"/>
      <w:marRight w:val="0"/>
      <w:marTop w:val="0"/>
      <w:marBottom w:val="0"/>
      <w:divBdr>
        <w:top w:val="none" w:sz="0" w:space="0" w:color="auto"/>
        <w:left w:val="none" w:sz="0" w:space="0" w:color="auto"/>
        <w:bottom w:val="none" w:sz="0" w:space="0" w:color="auto"/>
        <w:right w:val="none" w:sz="0" w:space="0" w:color="auto"/>
      </w:divBdr>
    </w:div>
    <w:div w:id="1476024469">
      <w:bodyDiv w:val="1"/>
      <w:marLeft w:val="0"/>
      <w:marRight w:val="0"/>
      <w:marTop w:val="0"/>
      <w:marBottom w:val="0"/>
      <w:divBdr>
        <w:top w:val="none" w:sz="0" w:space="0" w:color="auto"/>
        <w:left w:val="none" w:sz="0" w:space="0" w:color="auto"/>
        <w:bottom w:val="none" w:sz="0" w:space="0" w:color="auto"/>
        <w:right w:val="none" w:sz="0" w:space="0" w:color="auto"/>
      </w:divBdr>
    </w:div>
    <w:div w:id="1499496116">
      <w:bodyDiv w:val="1"/>
      <w:marLeft w:val="0"/>
      <w:marRight w:val="0"/>
      <w:marTop w:val="0"/>
      <w:marBottom w:val="0"/>
      <w:divBdr>
        <w:top w:val="none" w:sz="0" w:space="0" w:color="auto"/>
        <w:left w:val="none" w:sz="0" w:space="0" w:color="auto"/>
        <w:bottom w:val="none" w:sz="0" w:space="0" w:color="auto"/>
        <w:right w:val="none" w:sz="0" w:space="0" w:color="auto"/>
      </w:divBdr>
    </w:div>
    <w:div w:id="1684624849">
      <w:bodyDiv w:val="1"/>
      <w:marLeft w:val="0"/>
      <w:marRight w:val="0"/>
      <w:marTop w:val="0"/>
      <w:marBottom w:val="0"/>
      <w:divBdr>
        <w:top w:val="none" w:sz="0" w:space="0" w:color="auto"/>
        <w:left w:val="none" w:sz="0" w:space="0" w:color="auto"/>
        <w:bottom w:val="none" w:sz="0" w:space="0" w:color="auto"/>
        <w:right w:val="none" w:sz="0" w:space="0" w:color="auto"/>
      </w:divBdr>
    </w:div>
    <w:div w:id="1758164049">
      <w:bodyDiv w:val="1"/>
      <w:marLeft w:val="0"/>
      <w:marRight w:val="0"/>
      <w:marTop w:val="0"/>
      <w:marBottom w:val="0"/>
      <w:divBdr>
        <w:top w:val="none" w:sz="0" w:space="0" w:color="auto"/>
        <w:left w:val="none" w:sz="0" w:space="0" w:color="auto"/>
        <w:bottom w:val="none" w:sz="0" w:space="0" w:color="auto"/>
        <w:right w:val="none" w:sz="0" w:space="0" w:color="auto"/>
      </w:divBdr>
    </w:div>
    <w:div w:id="1782146546">
      <w:bodyDiv w:val="1"/>
      <w:marLeft w:val="0"/>
      <w:marRight w:val="0"/>
      <w:marTop w:val="0"/>
      <w:marBottom w:val="0"/>
      <w:divBdr>
        <w:top w:val="none" w:sz="0" w:space="0" w:color="auto"/>
        <w:left w:val="none" w:sz="0" w:space="0" w:color="auto"/>
        <w:bottom w:val="none" w:sz="0" w:space="0" w:color="auto"/>
        <w:right w:val="none" w:sz="0" w:space="0" w:color="auto"/>
      </w:divBdr>
    </w:div>
    <w:div w:id="1792624190">
      <w:bodyDiv w:val="1"/>
      <w:marLeft w:val="0"/>
      <w:marRight w:val="0"/>
      <w:marTop w:val="0"/>
      <w:marBottom w:val="0"/>
      <w:divBdr>
        <w:top w:val="none" w:sz="0" w:space="0" w:color="auto"/>
        <w:left w:val="none" w:sz="0" w:space="0" w:color="auto"/>
        <w:bottom w:val="none" w:sz="0" w:space="0" w:color="auto"/>
        <w:right w:val="none" w:sz="0" w:space="0" w:color="auto"/>
      </w:divBdr>
    </w:div>
    <w:div w:id="1879051463">
      <w:bodyDiv w:val="1"/>
      <w:marLeft w:val="0"/>
      <w:marRight w:val="0"/>
      <w:marTop w:val="0"/>
      <w:marBottom w:val="0"/>
      <w:divBdr>
        <w:top w:val="none" w:sz="0" w:space="0" w:color="auto"/>
        <w:left w:val="none" w:sz="0" w:space="0" w:color="auto"/>
        <w:bottom w:val="none" w:sz="0" w:space="0" w:color="auto"/>
        <w:right w:val="none" w:sz="0" w:space="0" w:color="auto"/>
      </w:divBdr>
    </w:div>
    <w:div w:id="1979651583">
      <w:bodyDiv w:val="1"/>
      <w:marLeft w:val="0"/>
      <w:marRight w:val="0"/>
      <w:marTop w:val="0"/>
      <w:marBottom w:val="0"/>
      <w:divBdr>
        <w:top w:val="none" w:sz="0" w:space="0" w:color="auto"/>
        <w:left w:val="none" w:sz="0" w:space="0" w:color="auto"/>
        <w:bottom w:val="none" w:sz="0" w:space="0" w:color="auto"/>
        <w:right w:val="none" w:sz="0" w:space="0" w:color="auto"/>
      </w:divBdr>
    </w:div>
    <w:div w:id="2100909350">
      <w:bodyDiv w:val="1"/>
      <w:marLeft w:val="0"/>
      <w:marRight w:val="0"/>
      <w:marTop w:val="0"/>
      <w:marBottom w:val="0"/>
      <w:divBdr>
        <w:top w:val="none" w:sz="0" w:space="0" w:color="auto"/>
        <w:left w:val="none" w:sz="0" w:space="0" w:color="auto"/>
        <w:bottom w:val="none" w:sz="0" w:space="0" w:color="auto"/>
        <w:right w:val="none" w:sz="0" w:space="0" w:color="auto"/>
      </w:divBdr>
    </w:div>
    <w:div w:id="2106264084">
      <w:bodyDiv w:val="1"/>
      <w:marLeft w:val="0"/>
      <w:marRight w:val="0"/>
      <w:marTop w:val="0"/>
      <w:marBottom w:val="0"/>
      <w:divBdr>
        <w:top w:val="none" w:sz="0" w:space="0" w:color="auto"/>
        <w:left w:val="none" w:sz="0" w:space="0" w:color="auto"/>
        <w:bottom w:val="none" w:sz="0" w:space="0" w:color="auto"/>
        <w:right w:val="none" w:sz="0" w:space="0" w:color="auto"/>
      </w:divBdr>
    </w:div>
    <w:div w:id="213425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wis/maximo/ui/log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ze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c.bip.gov.pl/wytyczne/wytyczne-dla-kontroli-dzialania-systemow-teleinformatycznych-uzywanych-do-realizacji-zadan-publicznych.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37E76-69D7-4E4B-BA84-582E9705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27</Pages>
  <Words>13700</Words>
  <Characters>82200</Characters>
  <Application>Microsoft Office Word</Application>
  <DocSecurity>0</DocSecurity>
  <Lines>685</Lines>
  <Paragraphs>191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Surowiec KPRM</dc:creator>
  <cp:lastModifiedBy>Golec Michał</cp:lastModifiedBy>
  <cp:revision>3</cp:revision>
  <cp:lastPrinted>2021-10-19T11:31:00Z</cp:lastPrinted>
  <dcterms:created xsi:type="dcterms:W3CDTF">2022-05-20T10:31:00Z</dcterms:created>
  <dcterms:modified xsi:type="dcterms:W3CDTF">2022-05-20T10:40:00Z</dcterms:modified>
</cp:coreProperties>
</file>