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72F85" w14:textId="2CFC1095" w:rsidR="00501070" w:rsidRPr="00B53C3C" w:rsidRDefault="00B53C3C" w:rsidP="00651232">
      <w:pPr>
        <w:pStyle w:val="Nagwek1"/>
        <w:rPr>
          <w:rFonts w:asciiTheme="minorHAnsi" w:hAnsiTheme="minorHAnsi" w:cstheme="minorHAnsi"/>
          <w:i/>
          <w:color w:val="auto"/>
          <w:sz w:val="24"/>
        </w:rPr>
      </w:pPr>
      <w:bookmarkStart w:id="0" w:name="_GoBack"/>
      <w:bookmarkEnd w:id="0"/>
      <w:r>
        <w:rPr>
          <w:rFonts w:asciiTheme="minorHAnsi" w:hAnsiTheme="minorHAnsi" w:cstheme="minorHAnsi"/>
          <w:color w:val="auto"/>
          <w:sz w:val="24"/>
        </w:rPr>
        <w:t xml:space="preserve">Budowa </w:t>
      </w:r>
      <w:r w:rsidR="00501070" w:rsidRPr="00B53C3C">
        <w:rPr>
          <w:rFonts w:asciiTheme="minorHAnsi" w:hAnsiTheme="minorHAnsi" w:cstheme="minorHAnsi"/>
          <w:i/>
          <w:color w:val="auto"/>
          <w:sz w:val="24"/>
        </w:rPr>
        <w:t>Powszechn</w:t>
      </w:r>
      <w:r w:rsidRPr="00B53C3C">
        <w:rPr>
          <w:rFonts w:asciiTheme="minorHAnsi" w:hAnsiTheme="minorHAnsi" w:cstheme="minorHAnsi"/>
          <w:i/>
          <w:color w:val="auto"/>
          <w:sz w:val="24"/>
        </w:rPr>
        <w:t>ego</w:t>
      </w:r>
      <w:r w:rsidR="00501070" w:rsidRPr="00B53C3C">
        <w:rPr>
          <w:rFonts w:asciiTheme="minorHAnsi" w:hAnsiTheme="minorHAnsi" w:cstheme="minorHAnsi"/>
          <w:i/>
          <w:color w:val="auto"/>
          <w:sz w:val="24"/>
        </w:rPr>
        <w:t xml:space="preserve"> System</w:t>
      </w:r>
      <w:r w:rsidRPr="00B53C3C">
        <w:rPr>
          <w:rFonts w:asciiTheme="minorHAnsi" w:hAnsiTheme="minorHAnsi" w:cstheme="minorHAnsi"/>
          <w:i/>
          <w:color w:val="auto"/>
          <w:sz w:val="24"/>
        </w:rPr>
        <w:t>u</w:t>
      </w:r>
      <w:r w:rsidR="00501070" w:rsidRPr="00B53C3C">
        <w:rPr>
          <w:rFonts w:asciiTheme="minorHAnsi" w:hAnsiTheme="minorHAnsi" w:cstheme="minorHAnsi"/>
          <w:i/>
          <w:color w:val="auto"/>
          <w:sz w:val="24"/>
        </w:rPr>
        <w:t xml:space="preserve"> Monitorowania Usług Publicznych</w:t>
      </w:r>
    </w:p>
    <w:p w14:paraId="43A95D6A" w14:textId="761AB431" w:rsidR="00295B18" w:rsidRPr="00651232" w:rsidRDefault="000C5082" w:rsidP="00651232">
      <w:pPr>
        <w:pStyle w:val="Nagwek1"/>
        <w:rPr>
          <w:rFonts w:asciiTheme="minorHAnsi" w:hAnsiTheme="minorHAnsi" w:cstheme="minorHAnsi"/>
          <w:color w:val="auto"/>
          <w:sz w:val="24"/>
        </w:rPr>
      </w:pPr>
      <w:r w:rsidRPr="00651232">
        <w:rPr>
          <w:rFonts w:asciiTheme="minorHAnsi" w:hAnsiTheme="minorHAnsi" w:cstheme="minorHAnsi"/>
          <w:color w:val="auto"/>
          <w:sz w:val="24"/>
        </w:rPr>
        <w:t xml:space="preserve">Tabela 1. </w:t>
      </w:r>
    </w:p>
    <w:tbl>
      <w:tblPr>
        <w:tblStyle w:val="Tabela-Siatka"/>
        <w:tblW w:w="15020" w:type="dxa"/>
        <w:tblLook w:val="04A0" w:firstRow="1" w:lastRow="0" w:firstColumn="1" w:lastColumn="0" w:noHBand="0" w:noVBand="1"/>
      </w:tblPr>
      <w:tblGrid>
        <w:gridCol w:w="2439"/>
        <w:gridCol w:w="1486"/>
        <w:gridCol w:w="1374"/>
        <w:gridCol w:w="1374"/>
        <w:gridCol w:w="773"/>
        <w:gridCol w:w="773"/>
        <w:gridCol w:w="773"/>
        <w:gridCol w:w="773"/>
        <w:gridCol w:w="773"/>
        <w:gridCol w:w="773"/>
        <w:gridCol w:w="773"/>
        <w:gridCol w:w="773"/>
        <w:gridCol w:w="2163"/>
      </w:tblGrid>
      <w:tr w:rsidR="005A7EE6" w:rsidRPr="005A7EE6" w14:paraId="356BE80A" w14:textId="77777777" w:rsidTr="00811CDF">
        <w:tc>
          <w:tcPr>
            <w:tcW w:w="15020" w:type="dxa"/>
            <w:gridSpan w:val="13"/>
          </w:tcPr>
          <w:p w14:paraId="05916211" w14:textId="77777777" w:rsidR="00E95F72" w:rsidRPr="005A7EE6" w:rsidRDefault="00E95F72" w:rsidP="001225B6">
            <w:pPr>
              <w:pStyle w:val="Nagwek1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4"/>
              </w:rPr>
              <w:t>Wpływ na sektor finansów publicznych</w:t>
            </w:r>
          </w:p>
        </w:tc>
      </w:tr>
      <w:tr w:rsidR="005A7EE6" w:rsidRPr="005A7EE6" w14:paraId="55341ACB" w14:textId="77777777" w:rsidTr="001316C2">
        <w:trPr>
          <w:trHeight w:val="393"/>
        </w:trPr>
        <w:tc>
          <w:tcPr>
            <w:tcW w:w="2439" w:type="dxa"/>
            <w:vMerge w:val="restart"/>
          </w:tcPr>
          <w:p w14:paraId="07B19483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</w:rPr>
            </w:pPr>
            <w:r w:rsidRPr="00421732">
              <w:rPr>
                <w:rFonts w:asciiTheme="minorHAnsi" w:hAnsiTheme="minorHAnsi" w:cstheme="minorHAnsi"/>
                <w:color w:val="auto"/>
                <w:sz w:val="20"/>
              </w:rPr>
              <w:t>(ceny stałe z …… r.)</w:t>
            </w:r>
          </w:p>
        </w:tc>
        <w:tc>
          <w:tcPr>
            <w:tcW w:w="12581" w:type="dxa"/>
            <w:gridSpan w:val="12"/>
          </w:tcPr>
          <w:p w14:paraId="429B2701" w14:textId="77777777" w:rsidR="00E95F72" w:rsidRPr="005A7EE6" w:rsidRDefault="00E95F72" w:rsidP="001225B6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</w:rPr>
              <w:t>Skutki w okresie 10 lat od wejścia w życie zmian [mln zł]</w:t>
            </w:r>
          </w:p>
        </w:tc>
      </w:tr>
      <w:tr w:rsidR="00EC7A8E" w:rsidRPr="005A7EE6" w14:paraId="080FB467" w14:textId="77777777" w:rsidTr="001316C2">
        <w:tc>
          <w:tcPr>
            <w:tcW w:w="2439" w:type="dxa"/>
            <w:vMerge/>
          </w:tcPr>
          <w:p w14:paraId="4AF4B7E2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486" w:type="dxa"/>
            <w:shd w:val="clear" w:color="auto" w:fill="FFFFFF"/>
          </w:tcPr>
          <w:p w14:paraId="293F46A6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0</w:t>
            </w:r>
          </w:p>
        </w:tc>
        <w:tc>
          <w:tcPr>
            <w:tcW w:w="1374" w:type="dxa"/>
            <w:shd w:val="clear" w:color="auto" w:fill="FFFFFF"/>
          </w:tcPr>
          <w:p w14:paraId="7B861735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1</w:t>
            </w:r>
          </w:p>
        </w:tc>
        <w:tc>
          <w:tcPr>
            <w:tcW w:w="1374" w:type="dxa"/>
            <w:shd w:val="clear" w:color="auto" w:fill="FFFFFF"/>
          </w:tcPr>
          <w:p w14:paraId="6235425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2</w:t>
            </w:r>
          </w:p>
        </w:tc>
        <w:tc>
          <w:tcPr>
            <w:tcW w:w="773" w:type="dxa"/>
            <w:shd w:val="clear" w:color="auto" w:fill="FFFFFF"/>
          </w:tcPr>
          <w:p w14:paraId="303EE7A3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3</w:t>
            </w:r>
          </w:p>
        </w:tc>
        <w:tc>
          <w:tcPr>
            <w:tcW w:w="773" w:type="dxa"/>
            <w:shd w:val="clear" w:color="auto" w:fill="FFFFFF"/>
          </w:tcPr>
          <w:p w14:paraId="78491E7F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4</w:t>
            </w:r>
          </w:p>
        </w:tc>
        <w:tc>
          <w:tcPr>
            <w:tcW w:w="773" w:type="dxa"/>
            <w:shd w:val="clear" w:color="auto" w:fill="FFFFFF"/>
          </w:tcPr>
          <w:p w14:paraId="2823D683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5</w:t>
            </w:r>
          </w:p>
        </w:tc>
        <w:tc>
          <w:tcPr>
            <w:tcW w:w="773" w:type="dxa"/>
            <w:shd w:val="clear" w:color="auto" w:fill="FFFFFF"/>
          </w:tcPr>
          <w:p w14:paraId="01E93A7B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6</w:t>
            </w:r>
          </w:p>
        </w:tc>
        <w:tc>
          <w:tcPr>
            <w:tcW w:w="773" w:type="dxa"/>
            <w:shd w:val="clear" w:color="auto" w:fill="FFFFFF"/>
          </w:tcPr>
          <w:p w14:paraId="6B7540D2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7</w:t>
            </w:r>
          </w:p>
        </w:tc>
        <w:tc>
          <w:tcPr>
            <w:tcW w:w="773" w:type="dxa"/>
            <w:shd w:val="clear" w:color="auto" w:fill="FFFFFF"/>
          </w:tcPr>
          <w:p w14:paraId="0C44A4B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8</w:t>
            </w:r>
          </w:p>
        </w:tc>
        <w:tc>
          <w:tcPr>
            <w:tcW w:w="773" w:type="dxa"/>
            <w:shd w:val="clear" w:color="auto" w:fill="FFFFFF"/>
          </w:tcPr>
          <w:p w14:paraId="406FC497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9</w:t>
            </w:r>
          </w:p>
        </w:tc>
        <w:tc>
          <w:tcPr>
            <w:tcW w:w="773" w:type="dxa"/>
            <w:shd w:val="clear" w:color="auto" w:fill="FFFFFF"/>
          </w:tcPr>
          <w:p w14:paraId="1AD5B2F8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10</w:t>
            </w:r>
          </w:p>
        </w:tc>
        <w:tc>
          <w:tcPr>
            <w:tcW w:w="2163" w:type="dxa"/>
            <w:shd w:val="clear" w:color="auto" w:fill="FFFFFF"/>
          </w:tcPr>
          <w:p w14:paraId="133F8CF8" w14:textId="77777777" w:rsidR="00E95F72" w:rsidRPr="005A7EE6" w:rsidRDefault="00E95F72" w:rsidP="00811CDF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  <w:i/>
                <w:spacing w:val="-2"/>
              </w:rPr>
              <w:t>Łącznie (0-10)</w:t>
            </w:r>
          </w:p>
        </w:tc>
      </w:tr>
      <w:tr w:rsidR="00EC7A8E" w:rsidRPr="005A7EE6" w14:paraId="785063F8" w14:textId="77777777" w:rsidTr="001316C2">
        <w:tc>
          <w:tcPr>
            <w:tcW w:w="2439" w:type="dxa"/>
            <w:shd w:val="clear" w:color="auto" w:fill="FFFFFF"/>
            <w:vAlign w:val="center"/>
          </w:tcPr>
          <w:p w14:paraId="5D8890A2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lastRenderedPageBreak/>
              <w:t>Dochody ogółem</w:t>
            </w:r>
          </w:p>
        </w:tc>
        <w:tc>
          <w:tcPr>
            <w:tcW w:w="1486" w:type="dxa"/>
          </w:tcPr>
          <w:p w14:paraId="5B21800D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2F3A4D7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6ABA806E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FDDF0A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064FCD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D44D8B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539B93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282842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415004C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4B9309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F88CCB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4E218DF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EC7A8E" w:rsidRPr="005A7EE6" w14:paraId="5A086A9E" w14:textId="77777777" w:rsidTr="001316C2">
        <w:tc>
          <w:tcPr>
            <w:tcW w:w="2439" w:type="dxa"/>
            <w:shd w:val="clear" w:color="auto" w:fill="FFFFFF"/>
            <w:vAlign w:val="center"/>
          </w:tcPr>
          <w:p w14:paraId="3F180B1E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1486" w:type="dxa"/>
          </w:tcPr>
          <w:p w14:paraId="186F58A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02A83DC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0B56EFF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1405CBB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D322A6C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8923A2D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CCEB6B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143CF8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17CB04D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784606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C730E9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350348B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EC7A8E" w:rsidRPr="005A7EE6" w14:paraId="4ED143EB" w14:textId="77777777" w:rsidTr="001316C2">
        <w:tc>
          <w:tcPr>
            <w:tcW w:w="2439" w:type="dxa"/>
            <w:shd w:val="clear" w:color="auto" w:fill="FFFFFF"/>
            <w:vAlign w:val="center"/>
          </w:tcPr>
          <w:p w14:paraId="0FEF11B5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1486" w:type="dxa"/>
          </w:tcPr>
          <w:p w14:paraId="61870C37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14EC946B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530678B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A517532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209D6E7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E8650A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1D116B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D617AF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FB6512F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05545A0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25CE4E3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50C5C98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EC7A8E" w:rsidRPr="005A7EE6" w14:paraId="6DF940FE" w14:textId="77777777" w:rsidTr="001316C2">
        <w:tc>
          <w:tcPr>
            <w:tcW w:w="2439" w:type="dxa"/>
            <w:shd w:val="clear" w:color="auto" w:fill="FFFFFF"/>
            <w:vAlign w:val="center"/>
          </w:tcPr>
          <w:p w14:paraId="4D275C39" w14:textId="77777777" w:rsidR="00E95F72" w:rsidRPr="005A7EE6" w:rsidRDefault="00E95F72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1486" w:type="dxa"/>
          </w:tcPr>
          <w:p w14:paraId="7A09C5FA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63FD0EC4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7E2C544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5AA619E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46FAFDB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BBA4D01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52927A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6E34176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752EEC8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39F6139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4619722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1EEFBB83" w14:textId="77777777" w:rsidR="00E95F72" w:rsidRPr="005A7EE6" w:rsidRDefault="00E95F72" w:rsidP="004F4131">
            <w:pPr>
              <w:rPr>
                <w:rFonts w:cstheme="minorHAnsi"/>
              </w:rPr>
            </w:pPr>
          </w:p>
        </w:tc>
      </w:tr>
      <w:tr w:rsidR="001316C2" w:rsidRPr="005A7EE6" w14:paraId="1768F200" w14:textId="77777777" w:rsidTr="001316C2">
        <w:tc>
          <w:tcPr>
            <w:tcW w:w="2439" w:type="dxa"/>
            <w:shd w:val="clear" w:color="auto" w:fill="FFFFFF"/>
            <w:vAlign w:val="center"/>
          </w:tcPr>
          <w:p w14:paraId="0E3F3727" w14:textId="77777777" w:rsidR="001316C2" w:rsidRPr="005A7EE6" w:rsidRDefault="001316C2" w:rsidP="001316C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Wydatki ogółem</w:t>
            </w:r>
          </w:p>
        </w:tc>
        <w:tc>
          <w:tcPr>
            <w:tcW w:w="1486" w:type="dxa"/>
          </w:tcPr>
          <w:p w14:paraId="2A3395C8" w14:textId="0B42E43D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13 588 876,70</w:t>
            </w:r>
          </w:p>
        </w:tc>
        <w:tc>
          <w:tcPr>
            <w:tcW w:w="1374" w:type="dxa"/>
          </w:tcPr>
          <w:p w14:paraId="1805DF7E" w14:textId="42DBB453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9 587 773,47</w:t>
            </w:r>
          </w:p>
        </w:tc>
        <w:tc>
          <w:tcPr>
            <w:tcW w:w="1374" w:type="dxa"/>
          </w:tcPr>
          <w:p w14:paraId="345BA357" w14:textId="202BBDF4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4 170 426,46</w:t>
            </w:r>
          </w:p>
        </w:tc>
        <w:tc>
          <w:tcPr>
            <w:tcW w:w="773" w:type="dxa"/>
          </w:tcPr>
          <w:p w14:paraId="3A960DC8" w14:textId="4A4792E6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299B8EF2" w14:textId="36DB70D3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4FC792DC" w14:textId="1B841E61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3659DD8F" w14:textId="368E2CE8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30959669" w14:textId="4852A686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75B7FD5A" w14:textId="620B57EE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2E7F6347" w14:textId="714F8037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68105EC0" w14:textId="39A2E6B9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2163" w:type="dxa"/>
          </w:tcPr>
          <w:p w14:paraId="570FE249" w14:textId="3300D296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31 344 207,91</w:t>
            </w:r>
          </w:p>
        </w:tc>
      </w:tr>
      <w:tr w:rsidR="001316C2" w:rsidRPr="005A7EE6" w14:paraId="1A2F20DD" w14:textId="77777777" w:rsidTr="001316C2">
        <w:tc>
          <w:tcPr>
            <w:tcW w:w="2439" w:type="dxa"/>
            <w:shd w:val="clear" w:color="auto" w:fill="FFFFFF"/>
            <w:vAlign w:val="center"/>
          </w:tcPr>
          <w:p w14:paraId="3018978F" w14:textId="77777777" w:rsidR="001316C2" w:rsidRPr="005A7EE6" w:rsidRDefault="001316C2" w:rsidP="001316C2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1486" w:type="dxa"/>
          </w:tcPr>
          <w:p w14:paraId="3A7B0D36" w14:textId="582222DB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2 136 171,42</w:t>
            </w:r>
          </w:p>
        </w:tc>
        <w:tc>
          <w:tcPr>
            <w:tcW w:w="1374" w:type="dxa"/>
          </w:tcPr>
          <w:p w14:paraId="1DB6964E" w14:textId="7C878397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1 507 197,99</w:t>
            </w:r>
          </w:p>
        </w:tc>
        <w:tc>
          <w:tcPr>
            <w:tcW w:w="1374" w:type="dxa"/>
          </w:tcPr>
          <w:p w14:paraId="00B0DEF8" w14:textId="0872185C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655 591,04</w:t>
            </w:r>
          </w:p>
        </w:tc>
        <w:tc>
          <w:tcPr>
            <w:tcW w:w="773" w:type="dxa"/>
          </w:tcPr>
          <w:p w14:paraId="1C667F27" w14:textId="6103E320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2328B158" w14:textId="6D2D2AFF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6B284875" w14:textId="78D779CF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03709DA4" w14:textId="7D690018" w:rsidR="001316C2" w:rsidRPr="005A7EE6" w:rsidRDefault="001316C2" w:rsidP="001316C2">
            <w:pPr>
              <w:rPr>
                <w:rFonts w:cstheme="minorHAnsi"/>
              </w:rPr>
            </w:pPr>
            <w:r w:rsidRPr="00F45339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125C5274" w14:textId="03D749B9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7AD3F69E" w14:textId="7438CA35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30A8FA5E" w14:textId="3DF4308C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773" w:type="dxa"/>
          </w:tcPr>
          <w:p w14:paraId="5D99C270" w14:textId="1DA5F748" w:rsidR="001316C2" w:rsidRPr="005A7EE6" w:rsidRDefault="001316C2" w:rsidP="001316C2">
            <w:pPr>
              <w:rPr>
                <w:rFonts w:cstheme="minorHAnsi"/>
              </w:rPr>
            </w:pPr>
            <w:r w:rsidRPr="00CC196A">
              <w:rPr>
                <w:rFonts w:cs="Arial"/>
                <w:color w:val="000000" w:themeColor="text1"/>
                <w:sz w:val="20"/>
              </w:rPr>
              <w:t>499 641,41</w:t>
            </w:r>
          </w:p>
        </w:tc>
        <w:tc>
          <w:tcPr>
            <w:tcW w:w="2163" w:type="dxa"/>
          </w:tcPr>
          <w:p w14:paraId="6EC517CE" w14:textId="59F089F6" w:rsidR="001316C2" w:rsidRPr="005A7EE6" w:rsidRDefault="001316C2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>8 296 091,73</w:t>
            </w:r>
          </w:p>
        </w:tc>
      </w:tr>
      <w:tr w:rsidR="00EC7A8E" w:rsidRPr="005A7EE6" w14:paraId="799FA918" w14:textId="77777777" w:rsidTr="001316C2">
        <w:tc>
          <w:tcPr>
            <w:tcW w:w="2439" w:type="dxa"/>
            <w:shd w:val="clear" w:color="auto" w:fill="FFFFFF"/>
            <w:vAlign w:val="center"/>
          </w:tcPr>
          <w:p w14:paraId="1D0C8ED6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1486" w:type="dxa"/>
          </w:tcPr>
          <w:p w14:paraId="05D0655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26CC538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07AE5B1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6E90F11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5F3E23A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83AD03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352C5A3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975017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8C6FB3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4A1436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9A3A400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45D78F42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24E70411" w14:textId="77777777" w:rsidTr="001316C2">
        <w:tc>
          <w:tcPr>
            <w:tcW w:w="2439" w:type="dxa"/>
            <w:shd w:val="clear" w:color="auto" w:fill="FFFFFF"/>
            <w:vAlign w:val="center"/>
          </w:tcPr>
          <w:p w14:paraId="7D2700EA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1486" w:type="dxa"/>
          </w:tcPr>
          <w:p w14:paraId="5C5B134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2D0092B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0A0A631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B87F13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93DF452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8D2B4C0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66CDDC0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983EAD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4D4F6A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9070F2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EDD24A1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34D3300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3F5420F9" w14:textId="77777777" w:rsidTr="001316C2">
        <w:tc>
          <w:tcPr>
            <w:tcW w:w="2439" w:type="dxa"/>
            <w:shd w:val="clear" w:color="auto" w:fill="FFFFFF"/>
            <w:vAlign w:val="center"/>
          </w:tcPr>
          <w:p w14:paraId="4D93D37F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Saldo ogółem</w:t>
            </w:r>
          </w:p>
        </w:tc>
        <w:tc>
          <w:tcPr>
            <w:tcW w:w="1486" w:type="dxa"/>
          </w:tcPr>
          <w:p w14:paraId="3B258860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29EDB18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1EC05C0A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497B6D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B4EFDD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06D4534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B04876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7CC288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E3BB6C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3E0EF1B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741926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599B8BE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255DCB92" w14:textId="77777777" w:rsidTr="001316C2">
        <w:tc>
          <w:tcPr>
            <w:tcW w:w="2439" w:type="dxa"/>
            <w:shd w:val="clear" w:color="auto" w:fill="FFFFFF"/>
            <w:vAlign w:val="center"/>
          </w:tcPr>
          <w:p w14:paraId="1981BF6F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1486" w:type="dxa"/>
          </w:tcPr>
          <w:p w14:paraId="2199CA0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23E8846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2A2C21A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A150E3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4D027E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098B35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D2527A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56F5F6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CACBB0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990D57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45AE83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3E8C3F1B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60F616E3" w14:textId="77777777" w:rsidTr="001316C2">
        <w:tc>
          <w:tcPr>
            <w:tcW w:w="2439" w:type="dxa"/>
            <w:shd w:val="clear" w:color="auto" w:fill="FFFFFF"/>
            <w:vAlign w:val="center"/>
          </w:tcPr>
          <w:p w14:paraId="1A5774EF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1486" w:type="dxa"/>
          </w:tcPr>
          <w:p w14:paraId="282DC6F3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7F360EB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57E0B79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2F0D02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B6F863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07D08C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7C7A75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16BB303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BBF3DFA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2B9690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DFEF6C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194E03D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4000894F" w14:textId="77777777" w:rsidTr="001316C2">
        <w:tc>
          <w:tcPr>
            <w:tcW w:w="2439" w:type="dxa"/>
            <w:shd w:val="clear" w:color="auto" w:fill="FFFFFF"/>
            <w:vAlign w:val="center"/>
          </w:tcPr>
          <w:p w14:paraId="5BD8DCC1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1486" w:type="dxa"/>
          </w:tcPr>
          <w:p w14:paraId="2999AD3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0797977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5D9A5A5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588989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452C2A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6026CCA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6145F5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69A8444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0D1019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D37C6D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FD4FC8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68E8A4A0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526769C1" w14:textId="77777777" w:rsidTr="001316C2">
        <w:tc>
          <w:tcPr>
            <w:tcW w:w="2439" w:type="dxa"/>
            <w:shd w:val="clear" w:color="auto" w:fill="FFFFFF"/>
            <w:vAlign w:val="center"/>
          </w:tcPr>
          <w:p w14:paraId="1F0899B8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środki z funduszy UE oraz innych źródeł zagranicznych </w:t>
            </w:r>
          </w:p>
        </w:tc>
        <w:tc>
          <w:tcPr>
            <w:tcW w:w="1486" w:type="dxa"/>
          </w:tcPr>
          <w:p w14:paraId="27FDFA57" w14:textId="3F442ED6" w:rsidR="00EC7A8E" w:rsidRPr="005A7EE6" w:rsidRDefault="00F43CCD" w:rsidP="00EC7A8E">
            <w:pPr>
              <w:rPr>
                <w:rFonts w:cstheme="minorHAnsi"/>
              </w:rPr>
            </w:pPr>
            <w:r>
              <w:rPr>
                <w:rFonts w:cstheme="minorHAnsi"/>
              </w:rPr>
              <w:t>11 452 705,28</w:t>
            </w:r>
          </w:p>
        </w:tc>
        <w:tc>
          <w:tcPr>
            <w:tcW w:w="1374" w:type="dxa"/>
          </w:tcPr>
          <w:p w14:paraId="5579B4EB" w14:textId="42501F9D" w:rsidR="00EC7A8E" w:rsidRPr="005A7EE6" w:rsidRDefault="00F43CCD" w:rsidP="00EC7A8E">
            <w:pPr>
              <w:rPr>
                <w:rFonts w:cstheme="minorHAnsi"/>
              </w:rPr>
            </w:pPr>
            <w:r>
              <w:rPr>
                <w:rFonts w:cstheme="minorHAnsi"/>
              </w:rPr>
              <w:t>8 080 575,48</w:t>
            </w:r>
          </w:p>
        </w:tc>
        <w:tc>
          <w:tcPr>
            <w:tcW w:w="1374" w:type="dxa"/>
          </w:tcPr>
          <w:p w14:paraId="391E88FE" w14:textId="0FD2E396" w:rsidR="00EC7A8E" w:rsidRPr="005A7EE6" w:rsidRDefault="00F43CCD" w:rsidP="00EC7A8E">
            <w:pPr>
              <w:rPr>
                <w:rFonts w:cstheme="minorHAnsi"/>
              </w:rPr>
            </w:pPr>
            <w:r>
              <w:rPr>
                <w:rFonts w:cstheme="minorHAnsi"/>
              </w:rPr>
              <w:t>3 514 835,42</w:t>
            </w:r>
          </w:p>
        </w:tc>
        <w:tc>
          <w:tcPr>
            <w:tcW w:w="773" w:type="dxa"/>
          </w:tcPr>
          <w:p w14:paraId="637A482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52EA56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98C6B2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AF8D333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6CB1F4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97C834B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8C5C88A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6AB0602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1A127D8E" w14:textId="18BFA530" w:rsidR="00EC7A8E" w:rsidRPr="005A7EE6" w:rsidRDefault="00D57E20" w:rsidP="00EC7A8E">
            <w:pPr>
              <w:rPr>
                <w:rFonts w:cstheme="minorHAnsi"/>
              </w:rPr>
            </w:pPr>
            <w:r>
              <w:rPr>
                <w:rFonts w:cstheme="minorHAnsi"/>
              </w:rPr>
              <w:t>23 048 116,18</w:t>
            </w:r>
          </w:p>
        </w:tc>
      </w:tr>
      <w:tr w:rsidR="00EC7A8E" w:rsidRPr="005A7EE6" w14:paraId="5308C28A" w14:textId="77777777" w:rsidTr="001316C2">
        <w:tc>
          <w:tcPr>
            <w:tcW w:w="2439" w:type="dxa"/>
            <w:shd w:val="clear" w:color="auto" w:fill="FFFFFF"/>
            <w:vAlign w:val="center"/>
          </w:tcPr>
          <w:p w14:paraId="645101A7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 xml:space="preserve">Prognozowane oszczędności </w:t>
            </w:r>
          </w:p>
        </w:tc>
        <w:tc>
          <w:tcPr>
            <w:tcW w:w="1486" w:type="dxa"/>
          </w:tcPr>
          <w:p w14:paraId="12B95D21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6C367F52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01BF5FCF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5CB34C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FB4B96B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33A29C4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961339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106386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6AF632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17C63F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C1360BA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3E72BEA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0AFE5A4F" w14:textId="77777777" w:rsidTr="001316C2">
        <w:tc>
          <w:tcPr>
            <w:tcW w:w="2439" w:type="dxa"/>
            <w:shd w:val="clear" w:color="auto" w:fill="FFFFFF"/>
            <w:vAlign w:val="center"/>
          </w:tcPr>
          <w:p w14:paraId="121C18FA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budżet państwa</w:t>
            </w:r>
          </w:p>
        </w:tc>
        <w:tc>
          <w:tcPr>
            <w:tcW w:w="1486" w:type="dxa"/>
          </w:tcPr>
          <w:p w14:paraId="5AF6F76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4F7EEAD0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5302FBB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47F6044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59CE0C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E68F8FB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C248D3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14AADF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900593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D6B31DB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464573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7873BBF3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600D0279" w14:textId="77777777" w:rsidTr="001316C2">
        <w:tc>
          <w:tcPr>
            <w:tcW w:w="2439" w:type="dxa"/>
            <w:shd w:val="clear" w:color="auto" w:fill="FFFFFF"/>
            <w:vAlign w:val="center"/>
          </w:tcPr>
          <w:p w14:paraId="5ADB3415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JST</w:t>
            </w:r>
          </w:p>
        </w:tc>
        <w:tc>
          <w:tcPr>
            <w:tcW w:w="1486" w:type="dxa"/>
          </w:tcPr>
          <w:p w14:paraId="2669E9FD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48425904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345DBA9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0ACBAE9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2F57CC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EC067F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6610C6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2425A290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52DA2B4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16BC23A2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AAFBE9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532F7E4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0990EDFE" w14:textId="77777777" w:rsidTr="001316C2">
        <w:tc>
          <w:tcPr>
            <w:tcW w:w="2439" w:type="dxa"/>
            <w:shd w:val="clear" w:color="auto" w:fill="FFFFFF"/>
            <w:vAlign w:val="center"/>
          </w:tcPr>
          <w:p w14:paraId="6E24C621" w14:textId="77777777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pozostałe jednostki (oddzielnie)</w:t>
            </w:r>
          </w:p>
        </w:tc>
        <w:tc>
          <w:tcPr>
            <w:tcW w:w="1486" w:type="dxa"/>
          </w:tcPr>
          <w:p w14:paraId="13D1C89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7209123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1374" w:type="dxa"/>
          </w:tcPr>
          <w:p w14:paraId="610C74C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5E934D6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4E9CCC35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052FE9E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AFEECC8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60CE9862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0B8DEB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7F45CB27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773" w:type="dxa"/>
          </w:tcPr>
          <w:p w14:paraId="338F96EC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  <w:tc>
          <w:tcPr>
            <w:tcW w:w="2163" w:type="dxa"/>
          </w:tcPr>
          <w:p w14:paraId="269DAA09" w14:textId="77777777" w:rsidR="00EC7A8E" w:rsidRPr="005A7EE6" w:rsidRDefault="00EC7A8E" w:rsidP="00EC7A8E">
            <w:pPr>
              <w:rPr>
                <w:rFonts w:cstheme="minorHAnsi"/>
              </w:rPr>
            </w:pPr>
          </w:p>
        </w:tc>
      </w:tr>
      <w:tr w:rsidR="00EC7A8E" w:rsidRPr="005A7EE6" w14:paraId="67A4A5CE" w14:textId="77777777" w:rsidTr="001316C2">
        <w:tc>
          <w:tcPr>
            <w:tcW w:w="2439" w:type="dxa"/>
            <w:shd w:val="clear" w:color="auto" w:fill="FFFFFF"/>
            <w:vAlign w:val="center"/>
          </w:tcPr>
          <w:p w14:paraId="6FA066DA" w14:textId="4A42846E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t>Źródła finansowania</w:t>
            </w: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 xml:space="preserve"> (część, dział, rozdział budżetu państwa/rezerwa celowa / nazwa programu operacyjnego)</w:t>
            </w:r>
          </w:p>
        </w:tc>
        <w:tc>
          <w:tcPr>
            <w:tcW w:w="12581" w:type="dxa"/>
            <w:gridSpan w:val="12"/>
          </w:tcPr>
          <w:p w14:paraId="5BE6F1B5" w14:textId="77777777" w:rsidR="003C2779" w:rsidRDefault="004539CA" w:rsidP="00EC7A8E">
            <w:pPr>
              <w:rPr>
                <w:rFonts w:cstheme="minorHAnsi"/>
              </w:rPr>
            </w:pPr>
            <w:r>
              <w:rPr>
                <w:rFonts w:cstheme="minorHAnsi"/>
              </w:rPr>
              <w:t>Program Operacyjny Wiedza Edukacja R</w:t>
            </w:r>
            <w:r w:rsidR="003C2779">
              <w:rPr>
                <w:rFonts w:cstheme="minorHAnsi"/>
              </w:rPr>
              <w:t>ozwój/ budżet państwa:</w:t>
            </w:r>
          </w:p>
          <w:p w14:paraId="38D8F5EC" w14:textId="2534B646" w:rsidR="003C2779" w:rsidRDefault="003C2779" w:rsidP="00EC7A8E">
            <w:pPr>
              <w:rPr>
                <w:rFonts w:cstheme="minorHAnsi"/>
              </w:rPr>
            </w:pPr>
            <w:r w:rsidRPr="003C2779">
              <w:rPr>
                <w:rFonts w:cstheme="minorHAnsi"/>
                <w:b/>
              </w:rPr>
              <w:t xml:space="preserve">część 17 </w:t>
            </w:r>
            <w:r>
              <w:rPr>
                <w:rFonts w:cstheme="minorHAnsi"/>
              </w:rPr>
              <w:t>- dz. 750 - rozdz. 75001,</w:t>
            </w:r>
          </w:p>
          <w:p w14:paraId="19C60672" w14:textId="3929CC83" w:rsidR="00EC7A8E" w:rsidRDefault="003C2779" w:rsidP="003C2779">
            <w:pPr>
              <w:rPr>
                <w:rFonts w:cstheme="minorHAnsi"/>
              </w:rPr>
            </w:pPr>
            <w:r w:rsidRPr="003C2779">
              <w:rPr>
                <w:rFonts w:cstheme="minorHAnsi"/>
                <w:b/>
              </w:rPr>
              <w:t>część</w:t>
            </w:r>
            <w:r w:rsidR="004539CA" w:rsidRPr="003C2779">
              <w:rPr>
                <w:rFonts w:cstheme="minorHAnsi"/>
                <w:b/>
              </w:rPr>
              <w:t xml:space="preserve"> 58</w:t>
            </w:r>
            <w:r w:rsidRPr="003C2779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- dz. 750 - rozdz. 75001, 75007</w:t>
            </w:r>
          </w:p>
          <w:p w14:paraId="77969A26" w14:textId="67E19180" w:rsidR="003C2779" w:rsidRPr="005A7EE6" w:rsidRDefault="00DD7A7C" w:rsidP="00DD7A7C">
            <w:pPr>
              <w:rPr>
                <w:rFonts w:cstheme="minorHAnsi"/>
              </w:rPr>
            </w:pPr>
            <w:r w:rsidRPr="003C2779">
              <w:rPr>
                <w:rFonts w:cstheme="minorHAnsi"/>
                <w:b/>
              </w:rPr>
              <w:t xml:space="preserve">część 58 </w:t>
            </w:r>
            <w:r>
              <w:rPr>
                <w:rFonts w:cstheme="minorHAnsi"/>
                <w:b/>
              </w:rPr>
              <w:t>–</w:t>
            </w:r>
            <w:r w:rsidR="003C2779">
              <w:rPr>
                <w:rFonts w:cstheme="minorHAnsi"/>
              </w:rPr>
              <w:t xml:space="preserve"> dz</w:t>
            </w:r>
            <w:r>
              <w:rPr>
                <w:rFonts w:cstheme="minorHAnsi"/>
              </w:rPr>
              <w:t>. 720 -</w:t>
            </w:r>
            <w:r w:rsidR="003C2779">
              <w:rPr>
                <w:rFonts w:cstheme="minorHAnsi"/>
              </w:rPr>
              <w:t xml:space="preserve"> rozdz. 72001</w:t>
            </w:r>
          </w:p>
        </w:tc>
      </w:tr>
      <w:tr w:rsidR="00EC7A8E" w:rsidRPr="005A7EE6" w14:paraId="7F99EE65" w14:textId="77777777" w:rsidTr="001316C2">
        <w:tc>
          <w:tcPr>
            <w:tcW w:w="2439" w:type="dxa"/>
            <w:shd w:val="clear" w:color="auto" w:fill="FFFFFF"/>
          </w:tcPr>
          <w:p w14:paraId="3279AF5F" w14:textId="45D38C10" w:rsidR="00EC7A8E" w:rsidRPr="005A7EE6" w:rsidRDefault="00EC7A8E" w:rsidP="00EC7A8E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0"/>
              </w:rPr>
              <w:lastRenderedPageBreak/>
              <w:t>Dodatkowe informacje</w:t>
            </w: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, w tym wskazanie źródeł danych i przyjętych do obliczeń założeń</w:t>
            </w:r>
          </w:p>
        </w:tc>
        <w:tc>
          <w:tcPr>
            <w:tcW w:w="12581" w:type="dxa"/>
            <w:gridSpan w:val="12"/>
          </w:tcPr>
          <w:p w14:paraId="014999B2" w14:textId="558DA278" w:rsidR="00EC7A8E" w:rsidRPr="005A7EE6" w:rsidRDefault="004539CA" w:rsidP="001316C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 latach 2019-2021 projekt realizowany będzie przy udziale środków europejskich w ramach Programu Operacyjnego Wiedza Edukacja Rozwój (84,28%) </w:t>
            </w:r>
            <w:r w:rsidR="00B508D9">
              <w:rPr>
                <w:rFonts w:cstheme="minorHAnsi"/>
              </w:rPr>
              <w:t xml:space="preserve">w kwocie 23 048 116,18 </w:t>
            </w:r>
            <w:r>
              <w:rPr>
                <w:rFonts w:cstheme="minorHAnsi"/>
              </w:rPr>
              <w:t>oraz środków budżetu państwa (łącznie 15,72%) w ramach części 17 (administracja publiczna)</w:t>
            </w:r>
            <w:r w:rsidR="00B56337">
              <w:rPr>
                <w:rFonts w:cstheme="minorHAnsi"/>
              </w:rPr>
              <w:t xml:space="preserve"> w kwocie 1 348 638,71</w:t>
            </w:r>
            <w:r>
              <w:rPr>
                <w:rFonts w:cstheme="minorHAnsi"/>
              </w:rPr>
              <w:t xml:space="preserve"> oraz 58 (Główny Urząd Statystyczny)</w:t>
            </w:r>
            <w:r w:rsidR="00B56337">
              <w:rPr>
                <w:rFonts w:cstheme="minorHAnsi"/>
              </w:rPr>
              <w:t xml:space="preserve"> w kwocie 2 950 321,74</w:t>
            </w:r>
            <w:r>
              <w:rPr>
                <w:rFonts w:cstheme="minorHAnsi"/>
              </w:rPr>
              <w:t>. Po zakończeniu realizacji projektu</w:t>
            </w:r>
            <w:r w:rsidR="00A46EF3">
              <w:rPr>
                <w:rFonts w:cstheme="minorHAnsi"/>
              </w:rPr>
              <w:t xml:space="preserve"> za utrzymanie Systemu odpowiedzialny będzie Główny Urząd Statystyczny (środki – budżet państwa, część 58)</w:t>
            </w:r>
            <w:r w:rsidR="001316C2">
              <w:rPr>
                <w:rFonts w:cstheme="minorHAnsi"/>
              </w:rPr>
              <w:t xml:space="preserve"> w szacowanej kwocie 3 9</w:t>
            </w:r>
            <w:r w:rsidR="00B56337">
              <w:rPr>
                <w:rFonts w:cstheme="minorHAnsi"/>
              </w:rPr>
              <w:t>97 </w:t>
            </w:r>
            <w:r w:rsidR="001316C2">
              <w:rPr>
                <w:rFonts w:cstheme="minorHAnsi"/>
              </w:rPr>
              <w:t>131</w:t>
            </w:r>
            <w:r w:rsidR="00B56337">
              <w:rPr>
                <w:rFonts w:cstheme="minorHAnsi"/>
              </w:rPr>
              <w:t>,</w:t>
            </w:r>
            <w:r w:rsidR="001316C2">
              <w:rPr>
                <w:rFonts w:cstheme="minorHAnsi"/>
              </w:rPr>
              <w:t>2</w:t>
            </w:r>
            <w:r w:rsidR="00B56337">
              <w:rPr>
                <w:rFonts w:cstheme="minorHAnsi"/>
              </w:rPr>
              <w:t>8</w:t>
            </w:r>
          </w:p>
        </w:tc>
      </w:tr>
    </w:tbl>
    <w:p w14:paraId="2F0BE346" w14:textId="77777777" w:rsidR="000C5082" w:rsidRPr="005A7EE6" w:rsidRDefault="000C5082" w:rsidP="00295B18">
      <w:pPr>
        <w:rPr>
          <w:rFonts w:cstheme="minorHAnsi"/>
        </w:rPr>
      </w:pPr>
    </w:p>
    <w:p w14:paraId="797FABBE" w14:textId="77777777" w:rsidR="000C5082" w:rsidRPr="005A7EE6" w:rsidRDefault="000C5082" w:rsidP="00295B18">
      <w:pPr>
        <w:rPr>
          <w:rFonts w:cstheme="minorHAnsi"/>
        </w:rPr>
      </w:pPr>
    </w:p>
    <w:p w14:paraId="31EC8040" w14:textId="123F6746" w:rsidR="000C5082" w:rsidRPr="005D6676" w:rsidRDefault="000C5082" w:rsidP="001225B6">
      <w:pPr>
        <w:pStyle w:val="Nagwek1"/>
        <w:rPr>
          <w:rFonts w:asciiTheme="minorHAnsi" w:hAnsiTheme="minorHAnsi" w:cstheme="minorHAnsi"/>
          <w:color w:val="auto"/>
          <w:sz w:val="24"/>
        </w:rPr>
      </w:pPr>
      <w:r w:rsidRPr="005D6676">
        <w:rPr>
          <w:rFonts w:asciiTheme="minorHAnsi" w:hAnsiTheme="minorHAnsi" w:cstheme="minorHAnsi"/>
          <w:color w:val="auto"/>
          <w:sz w:val="24"/>
        </w:rPr>
        <w:t xml:space="preserve">Tabela 2.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0"/>
        <w:gridCol w:w="2975"/>
        <w:gridCol w:w="946"/>
        <w:gridCol w:w="954"/>
        <w:gridCol w:w="954"/>
        <w:gridCol w:w="953"/>
        <w:gridCol w:w="953"/>
        <w:gridCol w:w="954"/>
        <w:gridCol w:w="2933"/>
      </w:tblGrid>
      <w:tr w:rsidR="005A7EE6" w:rsidRPr="005A7EE6" w14:paraId="2EA6BEDB" w14:textId="77777777" w:rsidTr="00AD2C6A">
        <w:tc>
          <w:tcPr>
            <w:tcW w:w="13462" w:type="dxa"/>
            <w:gridSpan w:val="9"/>
          </w:tcPr>
          <w:p w14:paraId="15927532" w14:textId="77777777" w:rsidR="00E95F72" w:rsidRPr="005A7EE6" w:rsidRDefault="00E95F72" w:rsidP="001225B6">
            <w:pPr>
              <w:pStyle w:val="Nagwek1"/>
              <w:outlineLvl w:val="0"/>
              <w:rPr>
                <w:rFonts w:asciiTheme="minorHAnsi" w:hAnsiTheme="minorHAnsi" w:cstheme="minorHAnsi"/>
                <w:b/>
                <w:color w:val="auto"/>
              </w:rPr>
            </w:pPr>
            <w:r w:rsidRPr="005A7EE6">
              <w:rPr>
                <w:rFonts w:asciiTheme="minorHAnsi" w:hAnsiTheme="minorHAnsi" w:cstheme="minorHAnsi"/>
                <w:b/>
                <w:color w:val="auto"/>
                <w:sz w:val="24"/>
              </w:rPr>
              <w:t>Wpływ na konkurencyjność gospodarki i przedsiębiorczość, w tym funkcjonowanie przedsiębiorców oraz na rodzinę, obywateli i gospodarstwa domowe</w:t>
            </w:r>
          </w:p>
        </w:tc>
      </w:tr>
      <w:tr w:rsidR="005A7EE6" w:rsidRPr="005A7EE6" w14:paraId="6EA21EE6" w14:textId="77777777" w:rsidTr="00AD2C6A">
        <w:tc>
          <w:tcPr>
            <w:tcW w:w="13462" w:type="dxa"/>
            <w:gridSpan w:val="9"/>
          </w:tcPr>
          <w:p w14:paraId="601DB47E" w14:textId="1A84173B" w:rsidR="00F877DD" w:rsidRPr="005A7EE6" w:rsidRDefault="00F877DD" w:rsidP="00F877DD">
            <w:pPr>
              <w:jc w:val="center"/>
              <w:rPr>
                <w:rFonts w:cstheme="minorHAnsi"/>
              </w:rPr>
            </w:pPr>
            <w:r w:rsidRPr="005A7EE6">
              <w:rPr>
                <w:rFonts w:cstheme="minorHAnsi"/>
              </w:rPr>
              <w:t>Skutki</w:t>
            </w:r>
          </w:p>
        </w:tc>
      </w:tr>
      <w:tr w:rsidR="005A7EE6" w:rsidRPr="005A7EE6" w14:paraId="02D7AE2F" w14:textId="77777777" w:rsidTr="00AD2C6A">
        <w:tc>
          <w:tcPr>
            <w:tcW w:w="4815" w:type="dxa"/>
            <w:gridSpan w:val="2"/>
          </w:tcPr>
          <w:p w14:paraId="73FAEA65" w14:textId="2B1A023A" w:rsidR="00AD2C6A" w:rsidRPr="005A7EE6" w:rsidRDefault="00AD2C6A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Czas w latach od wejścia w życie zmian</w:t>
            </w:r>
          </w:p>
        </w:tc>
        <w:tc>
          <w:tcPr>
            <w:tcW w:w="946" w:type="dxa"/>
          </w:tcPr>
          <w:p w14:paraId="7BFF1288" w14:textId="42D15CAC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0</w:t>
            </w:r>
          </w:p>
        </w:tc>
        <w:tc>
          <w:tcPr>
            <w:tcW w:w="954" w:type="dxa"/>
            <w:shd w:val="clear" w:color="auto" w:fill="FFFFFF"/>
          </w:tcPr>
          <w:p w14:paraId="0376F6B4" w14:textId="74DD044E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1</w:t>
            </w:r>
          </w:p>
        </w:tc>
        <w:tc>
          <w:tcPr>
            <w:tcW w:w="954" w:type="dxa"/>
            <w:shd w:val="clear" w:color="auto" w:fill="FFFFFF"/>
          </w:tcPr>
          <w:p w14:paraId="05E2FE48" w14:textId="5DFB0BA9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2</w:t>
            </w:r>
          </w:p>
        </w:tc>
        <w:tc>
          <w:tcPr>
            <w:tcW w:w="953" w:type="dxa"/>
            <w:shd w:val="clear" w:color="auto" w:fill="FFFFFF"/>
          </w:tcPr>
          <w:p w14:paraId="7041CE0B" w14:textId="02FB3ED2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3</w:t>
            </w:r>
          </w:p>
        </w:tc>
        <w:tc>
          <w:tcPr>
            <w:tcW w:w="953" w:type="dxa"/>
            <w:shd w:val="clear" w:color="auto" w:fill="FFFFFF"/>
          </w:tcPr>
          <w:p w14:paraId="278A7D8D" w14:textId="7BA5AB65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5</w:t>
            </w:r>
          </w:p>
        </w:tc>
        <w:tc>
          <w:tcPr>
            <w:tcW w:w="954" w:type="dxa"/>
            <w:shd w:val="clear" w:color="auto" w:fill="FFFFFF"/>
          </w:tcPr>
          <w:p w14:paraId="06FF3FF3" w14:textId="1DAD28DF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</w:rPr>
              <w:t>10</w:t>
            </w:r>
          </w:p>
        </w:tc>
        <w:tc>
          <w:tcPr>
            <w:tcW w:w="2933" w:type="dxa"/>
            <w:shd w:val="clear" w:color="auto" w:fill="FFFFFF"/>
          </w:tcPr>
          <w:p w14:paraId="38968E23" w14:textId="25D5BC1B" w:rsidR="00AD2C6A" w:rsidRPr="005A7EE6" w:rsidRDefault="00AD2C6A" w:rsidP="00AD2C6A">
            <w:pPr>
              <w:rPr>
                <w:rFonts w:cstheme="minorHAnsi"/>
              </w:rPr>
            </w:pPr>
            <w:r w:rsidRPr="005A7EE6">
              <w:rPr>
                <w:rFonts w:cstheme="minorHAnsi"/>
                <w:i/>
                <w:spacing w:val="-2"/>
              </w:rPr>
              <w:t>Łącznie</w:t>
            </w:r>
            <w:r w:rsidRPr="005A7EE6" w:rsidDel="0073273A">
              <w:rPr>
                <w:rFonts w:cstheme="minorHAnsi"/>
                <w:i/>
                <w:spacing w:val="-2"/>
              </w:rPr>
              <w:t xml:space="preserve"> </w:t>
            </w:r>
            <w:r w:rsidRPr="005A7EE6">
              <w:rPr>
                <w:rFonts w:cstheme="minorHAnsi"/>
                <w:i/>
                <w:spacing w:val="-2"/>
              </w:rPr>
              <w:t>(0-10)</w:t>
            </w:r>
          </w:p>
        </w:tc>
      </w:tr>
      <w:tr w:rsidR="00775566" w:rsidRPr="005A7EE6" w14:paraId="2F05C9B6" w14:textId="77777777" w:rsidTr="00AD5957">
        <w:tc>
          <w:tcPr>
            <w:tcW w:w="1840" w:type="dxa"/>
            <w:vMerge w:val="restart"/>
          </w:tcPr>
          <w:p w14:paraId="42C340FB" w14:textId="77777777" w:rsidR="00775566" w:rsidRPr="005A7EE6" w:rsidRDefault="00775566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  <w:r w:rsidRPr="005A7EE6">
              <w:rPr>
                <w:rFonts w:asciiTheme="minorHAnsi" w:hAnsiTheme="minorHAnsi" w:cstheme="minorHAnsi"/>
                <w:color w:val="auto"/>
                <w:sz w:val="20"/>
              </w:rPr>
              <w:t>Niemierzalne</w:t>
            </w:r>
          </w:p>
        </w:tc>
        <w:tc>
          <w:tcPr>
            <w:tcW w:w="2975" w:type="dxa"/>
            <w:shd w:val="clear" w:color="auto" w:fill="FFFFFF"/>
          </w:tcPr>
          <w:p w14:paraId="57A0B047" w14:textId="0C219FB9" w:rsidR="00775566" w:rsidRPr="005A7EE6" w:rsidRDefault="00775566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Administracja publiczna</w:t>
            </w:r>
          </w:p>
        </w:tc>
        <w:tc>
          <w:tcPr>
            <w:tcW w:w="8647" w:type="dxa"/>
            <w:gridSpan w:val="7"/>
            <w:vMerge w:val="restart"/>
          </w:tcPr>
          <w:p w14:paraId="087A023C" w14:textId="77777777" w:rsidR="0070643B" w:rsidRDefault="00775566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W wyniku realizacji przedsięwzięcia wymienione grupy otrzymają dostęp do narzędzia, dzięki któremu możliwa będzie ocena ilości, jakości, dostępności oraz efektywności kosztowej usług publicznych świadczonych przez jednostki samorządu terytorialnego w Polsc</w:t>
            </w:r>
            <w:r w:rsidR="0070643B">
              <w:rPr>
                <w:rFonts w:cstheme="minorHAnsi"/>
              </w:rPr>
              <w:t xml:space="preserve">e. Pozwoli to na: </w:t>
            </w:r>
          </w:p>
          <w:p w14:paraId="64086827" w14:textId="77777777" w:rsidR="0070643B" w:rsidRDefault="0070643B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- skuteczniejsze, oparte na wiedzy, zarządzanie w JST;</w:t>
            </w:r>
          </w:p>
          <w:p w14:paraId="31CE68FF" w14:textId="77777777" w:rsidR="0070643B" w:rsidRDefault="0070643B" w:rsidP="0070643B">
            <w:pPr>
              <w:rPr>
                <w:rFonts w:cstheme="minorHAnsi"/>
              </w:rPr>
            </w:pPr>
            <w:r>
              <w:rPr>
                <w:rFonts w:cstheme="minorHAnsi"/>
              </w:rPr>
              <w:t>- podejmowanie decyzji lokalizacyjnych dotyczących prowadzenia działalności gospodarczej na podstawie rzetelnych danych;</w:t>
            </w:r>
          </w:p>
          <w:p w14:paraId="360E161D" w14:textId="77777777" w:rsidR="0070643B" w:rsidRDefault="0070643B" w:rsidP="0070643B">
            <w:pPr>
              <w:rPr>
                <w:rFonts w:cstheme="minorHAnsi"/>
              </w:rPr>
            </w:pPr>
            <w:r>
              <w:rPr>
                <w:rFonts w:cstheme="minorHAnsi"/>
              </w:rPr>
              <w:t>- prowadzenie badań i uczestnictwo w debacie publicznej w zakresie poprawy świadczenia usług publicznych i rozwoju lokalnego.</w:t>
            </w:r>
          </w:p>
          <w:p w14:paraId="6EFB0543" w14:textId="3C7BA26C" w:rsidR="00775566" w:rsidRPr="005A7EE6" w:rsidRDefault="0070643B" w:rsidP="0070643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 wyniku realizacji przedsięwzięcia mogą wystąpić również skutki o charakterze finansowym w zakresie optymalizacji kosztów świadczenia usług publicznych przez jednostki samorządu terytorialnego, jednakże ich skala nie jest możliwa do oszacowania. </w:t>
            </w:r>
          </w:p>
        </w:tc>
      </w:tr>
      <w:tr w:rsidR="00775566" w:rsidRPr="005A7EE6" w14:paraId="05C98937" w14:textId="77777777" w:rsidTr="00AD5957">
        <w:tc>
          <w:tcPr>
            <w:tcW w:w="1840" w:type="dxa"/>
            <w:vMerge/>
          </w:tcPr>
          <w:p w14:paraId="0C181407" w14:textId="55731F11" w:rsidR="00775566" w:rsidRPr="005A7EE6" w:rsidRDefault="00775566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12C4F9E8" w14:textId="747BA92A" w:rsidR="00775566" w:rsidRPr="005A7EE6" w:rsidRDefault="00775566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Przedsiębiorcy</w:t>
            </w:r>
          </w:p>
        </w:tc>
        <w:tc>
          <w:tcPr>
            <w:tcW w:w="8647" w:type="dxa"/>
            <w:gridSpan w:val="7"/>
            <w:vMerge/>
          </w:tcPr>
          <w:p w14:paraId="29037C6F" w14:textId="77777777" w:rsidR="00775566" w:rsidRPr="005A7EE6" w:rsidRDefault="00775566" w:rsidP="00AD2C6A">
            <w:pPr>
              <w:rPr>
                <w:rFonts w:cstheme="minorHAnsi"/>
              </w:rPr>
            </w:pPr>
          </w:p>
        </w:tc>
      </w:tr>
      <w:tr w:rsidR="00775566" w:rsidRPr="005A7EE6" w14:paraId="4177F080" w14:textId="77777777" w:rsidTr="00AD5957">
        <w:tc>
          <w:tcPr>
            <w:tcW w:w="1840" w:type="dxa"/>
            <w:vMerge/>
          </w:tcPr>
          <w:p w14:paraId="39B1883A" w14:textId="77777777" w:rsidR="00775566" w:rsidRPr="005A7EE6" w:rsidRDefault="00775566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6AC3D9CE" w14:textId="3152357E" w:rsidR="00775566" w:rsidRDefault="00775566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Obywatele</w:t>
            </w:r>
          </w:p>
        </w:tc>
        <w:tc>
          <w:tcPr>
            <w:tcW w:w="8647" w:type="dxa"/>
            <w:gridSpan w:val="7"/>
            <w:vMerge/>
          </w:tcPr>
          <w:p w14:paraId="2D376705" w14:textId="77777777" w:rsidR="00775566" w:rsidRPr="005A7EE6" w:rsidRDefault="00775566" w:rsidP="00AD2C6A">
            <w:pPr>
              <w:rPr>
                <w:rFonts w:cstheme="minorHAnsi"/>
              </w:rPr>
            </w:pPr>
          </w:p>
        </w:tc>
      </w:tr>
      <w:tr w:rsidR="00775566" w:rsidRPr="005A7EE6" w14:paraId="74330347" w14:textId="77777777" w:rsidTr="00AD5957">
        <w:tc>
          <w:tcPr>
            <w:tcW w:w="1840" w:type="dxa"/>
            <w:vMerge/>
          </w:tcPr>
          <w:p w14:paraId="75DFC549" w14:textId="77777777" w:rsidR="00775566" w:rsidRPr="005A7EE6" w:rsidRDefault="00775566" w:rsidP="001225B6">
            <w:pPr>
              <w:pStyle w:val="Nagwek2"/>
              <w:outlineLvl w:val="1"/>
              <w:rPr>
                <w:rFonts w:asciiTheme="minorHAnsi" w:hAnsiTheme="minorHAnsi" w:cstheme="minorHAnsi"/>
                <w:color w:val="auto"/>
                <w:sz w:val="20"/>
              </w:rPr>
            </w:pPr>
          </w:p>
        </w:tc>
        <w:tc>
          <w:tcPr>
            <w:tcW w:w="2975" w:type="dxa"/>
            <w:shd w:val="clear" w:color="auto" w:fill="FFFFFF"/>
          </w:tcPr>
          <w:p w14:paraId="24A06ADF" w14:textId="6411B29A" w:rsidR="00775566" w:rsidRDefault="00775566" w:rsidP="00AD2C6A">
            <w:pPr>
              <w:rPr>
                <w:rFonts w:cstheme="minorHAnsi"/>
              </w:rPr>
            </w:pPr>
            <w:r>
              <w:rPr>
                <w:rFonts w:cstheme="minorHAnsi"/>
              </w:rPr>
              <w:t>Instytucje pozarządowe, środowiska naukowe</w:t>
            </w:r>
          </w:p>
        </w:tc>
        <w:tc>
          <w:tcPr>
            <w:tcW w:w="8647" w:type="dxa"/>
            <w:gridSpan w:val="7"/>
            <w:vMerge/>
          </w:tcPr>
          <w:p w14:paraId="691F6358" w14:textId="77777777" w:rsidR="00775566" w:rsidRPr="005A7EE6" w:rsidRDefault="00775566" w:rsidP="00AD2C6A">
            <w:pPr>
              <w:rPr>
                <w:rFonts w:cstheme="minorHAnsi"/>
              </w:rPr>
            </w:pPr>
          </w:p>
        </w:tc>
      </w:tr>
    </w:tbl>
    <w:p w14:paraId="074F1BDB" w14:textId="77777777" w:rsidR="009E29F3" w:rsidRPr="005A7EE6" w:rsidRDefault="009E29F3" w:rsidP="00295B18">
      <w:pPr>
        <w:rPr>
          <w:rFonts w:cstheme="minorHAnsi"/>
        </w:rPr>
      </w:pPr>
    </w:p>
    <w:p w14:paraId="7CC46D8F" w14:textId="77777777" w:rsidR="00E26D2F" w:rsidRPr="005A7EE6" w:rsidRDefault="00E26D2F" w:rsidP="00295B18">
      <w:pPr>
        <w:rPr>
          <w:rFonts w:cstheme="minorHAnsi"/>
        </w:rPr>
      </w:pPr>
    </w:p>
    <w:p w14:paraId="5877E666" w14:textId="77777777" w:rsidR="002A082B" w:rsidRPr="005A7EE6" w:rsidRDefault="002A082B" w:rsidP="00295B18">
      <w:pPr>
        <w:rPr>
          <w:rFonts w:cstheme="minorHAnsi"/>
        </w:rPr>
      </w:pPr>
    </w:p>
    <w:p w14:paraId="0ACEAD3A" w14:textId="77777777" w:rsidR="002A082B" w:rsidRPr="005A7EE6" w:rsidRDefault="002A082B" w:rsidP="00295B18">
      <w:pPr>
        <w:rPr>
          <w:rFonts w:cstheme="minorHAnsi"/>
        </w:rPr>
      </w:pPr>
    </w:p>
    <w:p w14:paraId="16AC0B0D" w14:textId="3C4FC3A1" w:rsidR="00E26D2F" w:rsidRPr="005A7EE6" w:rsidRDefault="00E26D2F" w:rsidP="00295B18">
      <w:pPr>
        <w:rPr>
          <w:rFonts w:cstheme="minorHAnsi"/>
        </w:rPr>
      </w:pPr>
      <w:r w:rsidRPr="005A7EE6">
        <w:rPr>
          <w:rFonts w:cstheme="minorHAnsi"/>
        </w:rPr>
        <w:t>Objaśnienia:</w:t>
      </w:r>
    </w:p>
    <w:p w14:paraId="000B8BCD" w14:textId="1BDFF36A" w:rsidR="00E26D2F" w:rsidRPr="005A7EE6" w:rsidRDefault="00E26D2F" w:rsidP="00295B18">
      <w:pPr>
        <w:rPr>
          <w:rFonts w:cstheme="minorHAnsi"/>
          <w:b/>
          <w:sz w:val="20"/>
        </w:rPr>
      </w:pPr>
      <w:r w:rsidRPr="005A7EE6">
        <w:rPr>
          <w:rFonts w:cstheme="minorHAnsi"/>
          <w:b/>
          <w:sz w:val="20"/>
        </w:rPr>
        <w:lastRenderedPageBreak/>
        <w:t xml:space="preserve">Tabela 1. </w:t>
      </w:r>
    </w:p>
    <w:p w14:paraId="28E577A0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przygotowaniu kalkulacji skutków dla sektora finansów publicznych proszę uwzględnić aktualne wytyczne dotyczące założeń makroekonomicznych, o których mowa w art. 50a ustawy o finansach publicznych. </w:t>
      </w:r>
    </w:p>
    <w:p w14:paraId="062B0A2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Jeśli to możliwe proszę wskazać skumulowane koszty/oszczędności. Prognozę proszę przeprowadzić w podziale na proponowane kategorie w horyzoncie 10-letnim, w wartościach stałych (np. ceny stałe dla pierwszego roku prognozy).</w:t>
      </w:r>
    </w:p>
    <w:p w14:paraId="3C31F3AE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przypadku gdy analiza wpływu obejmuje dłuższy niż 10-letni horyzont (np. zmiany w systemie emerytalnym), możliwe jest dostosowanie kolumn tabeli do horyzontu projektu. </w:t>
      </w:r>
    </w:p>
    <w:p w14:paraId="635E2ECE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Jeżeli obliczenia zostały wykonane na podstawie opracowania własnego, proszę je przedstawić w formie załącznika oraz wskazać to opracowanie w pkt 13. </w:t>
      </w:r>
    </w:p>
    <w:p w14:paraId="2F367173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opracowywanej analizie wpływu, co do zasady, należy przyjąć kalkulację w cenach stałych. W przypadku zastosowania cen bieżących, prezentacja skutków finansowych powinna uwzględniać wskaźniki makroekonomiczne podawane</w:t>
      </w:r>
    </w:p>
    <w:p w14:paraId="56AB0FB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Wytycznych dotyczących stosowania jednolitych wskaźników makroekonomicznych będących podstawą oszacowania skutków finansowych projektowanych ustaw. Jeżeli nie zastosowano wskaźników makroekonomicznych podanych</w:t>
      </w:r>
    </w:p>
    <w:p w14:paraId="7B8779A8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Wytycznych MF, proszę  dołączyć stosowną informację wyjaśniającą.</w:t>
      </w:r>
    </w:p>
    <w:p w14:paraId="1753247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Proszę wskazać źródła finansowania planowanych wydatków. Proszę wskazać również wszystkie przyjęte do obliczeń założenia i źródła danych.</w:t>
      </w:r>
    </w:p>
    <w:p w14:paraId="6BAB65A9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Skutki proszę skalkulować dla roku wejścia w życie regulacji (0), a następnie w kolejnych latach jej obowiązywania.</w:t>
      </w:r>
    </w:p>
    <w:p w14:paraId="29680293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kolumnie Łącznie proszę wpisać skumulowane skutki za okres 10 lat obowiązywania regulacji.</w:t>
      </w:r>
    </w:p>
    <w:p w14:paraId="3C553215" w14:textId="163796C0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Jeżeli projekt ma charakter przekrojowy i dotyczy wielu zagadnień (np. ustawa deregulująca zawody, ustawa o ułatwieniu wykonywania działalności gospodarczej) proszę dokonać analizy wpływu na SFP dla najważniejszych zmian.</w:t>
      </w:r>
    </w:p>
    <w:p w14:paraId="7989F69B" w14:textId="3CC694FD" w:rsidR="00E26D2F" w:rsidRPr="005A7EE6" w:rsidRDefault="00E26D2F" w:rsidP="00295B18">
      <w:pPr>
        <w:rPr>
          <w:rFonts w:cstheme="minorHAnsi"/>
          <w:b/>
          <w:sz w:val="20"/>
        </w:rPr>
      </w:pPr>
      <w:r w:rsidRPr="005A7EE6">
        <w:rPr>
          <w:rFonts w:cstheme="minorHAnsi"/>
          <w:b/>
          <w:sz w:val="20"/>
        </w:rPr>
        <w:t xml:space="preserve">Tabela 2. </w:t>
      </w:r>
    </w:p>
    <w:p w14:paraId="4AB1A0B6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Proszę oszacować wpływ na konkurencyjność gospodarki, przedsiębiorczości oraz na sytuację rodziny. Skutki należy przypisać do odpowiedniej grupy w tabeli. </w:t>
      </w:r>
    </w:p>
    <w:p w14:paraId="1B6F468D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przypadku gdy regulacja będzie oddziaływać na inne niż wymienione w formularzu podmioty proszę odpowiednio uzupełnić formularz.</w:t>
      </w:r>
    </w:p>
    <w:p w14:paraId="16F2604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Proszę wskazać wartość finansową, z uwzględnieniem m.in. kosztów ponoszonych w związku z wejściem w życie aktu (np. koszt aktualizacji systemów informatycznych, zakupu nowych urządzeń), podatków i opłat lokalnych, itp. </w:t>
      </w:r>
    </w:p>
    <w:p w14:paraId="6B650B9D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lastRenderedPageBreak/>
        <w:t>W ujęciu niepieniężnym proszę podać wartości najważniejszych wskaźników, które ulegną zmianie (np. skrócenie czasu wydania pozwolenia na budowę o 100 dni, wzrost wskaźnika upowszechnienia wychowania przedszkolnego o 20 punktów procentowych).</w:t>
      </w:r>
    </w:p>
    <w:p w14:paraId="1E7B753B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W przypadku gdy nie ma możliwości podania żadnych wartości liczbowych (lub wpływ dotyczy także zmian, których nie można skwantyfikować) proszę odpowiednio opisać analizę wpływu w pozycji: „niemierzalne”.</w:t>
      </w:r>
    </w:p>
    <w:p w14:paraId="014D2131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Skutki proszę skalkulować dla roku wejścia w życie regulacji (0), a następnie w 1, 2, 3, 5 i 10 roku jej obowiązywania.</w:t>
      </w:r>
    </w:p>
    <w:p w14:paraId="06FF1697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kolumnie Łącznie proszę wpisać skumulowane skutki za okres 10 lat obowiązywania regulacji. </w:t>
      </w:r>
    </w:p>
    <w:p w14:paraId="031264C5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 xml:space="preserve">W przypadku gdy analiza wpływu obejmuje dłuższy niż 10-letni horyzont (np. zmiany w systemie emerytalnym), możliwe jest dostosowanie kolumn tabeli do horyzontu projektu. </w:t>
      </w:r>
    </w:p>
    <w:p w14:paraId="73B0843C" w14:textId="77777777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Jeżeli projekt ma charakter przekrojowy i dotyczy wielu zagadnień (np. ustawa deregulująca zawody, ustawa o ułatwieniu wykonywania działalności gospodarczej) proszę dokonać analizy wpływu dla najważniejszych zmian.</w:t>
      </w:r>
    </w:p>
    <w:p w14:paraId="6591C964" w14:textId="55CDEFDD" w:rsidR="002A082B" w:rsidRPr="005A7EE6" w:rsidRDefault="002A082B" w:rsidP="002A082B">
      <w:pPr>
        <w:rPr>
          <w:rFonts w:cstheme="minorHAnsi"/>
          <w:sz w:val="20"/>
        </w:rPr>
      </w:pPr>
      <w:r w:rsidRPr="005A7EE6">
        <w:rPr>
          <w:rFonts w:cstheme="minorHAnsi"/>
          <w:sz w:val="20"/>
        </w:rPr>
        <w:t>Proszę dostosować ilość wierszy w tabeli, zgodnie z potrzebami projektu. Puste wiersze proszę usunąć.</w:t>
      </w:r>
    </w:p>
    <w:sectPr w:rsidR="002A082B" w:rsidRPr="005A7EE6" w:rsidSect="00D402FB">
      <w:headerReference w:type="default" r:id="rId7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71F163" w14:textId="77777777" w:rsidR="00826F88" w:rsidRDefault="00826F88" w:rsidP="005C0CFC">
      <w:pPr>
        <w:spacing w:after="0" w:line="240" w:lineRule="auto"/>
      </w:pPr>
      <w:r>
        <w:separator/>
      </w:r>
    </w:p>
  </w:endnote>
  <w:endnote w:type="continuationSeparator" w:id="0">
    <w:p w14:paraId="15A2A4F9" w14:textId="77777777" w:rsidR="00826F88" w:rsidRDefault="00826F88" w:rsidP="005C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FB463" w14:textId="77777777" w:rsidR="00826F88" w:rsidRDefault="00826F88" w:rsidP="005C0CFC">
      <w:pPr>
        <w:spacing w:after="0" w:line="240" w:lineRule="auto"/>
      </w:pPr>
      <w:r>
        <w:separator/>
      </w:r>
    </w:p>
  </w:footnote>
  <w:footnote w:type="continuationSeparator" w:id="0">
    <w:p w14:paraId="5E687E90" w14:textId="77777777" w:rsidR="00826F88" w:rsidRDefault="00826F88" w:rsidP="005C0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F282" w14:textId="7CB5C2CE" w:rsidR="005C0CFC" w:rsidRPr="009958DC" w:rsidRDefault="005C0CFC">
    <w:pPr>
      <w:pStyle w:val="Nagwek"/>
    </w:pPr>
    <w:r w:rsidRPr="009958DC">
      <w:t xml:space="preserve">Załącznik nr 1 </w:t>
    </w:r>
    <w:r w:rsidR="00012C9F" w:rsidRPr="009958DC">
      <w:t xml:space="preserve">do OSR dla uchwały </w:t>
    </w:r>
    <w:r w:rsidR="009958DC" w:rsidRPr="009958DC">
      <w:rPr>
        <w:rFonts w:ascii="Calibri" w:hAnsi="Calibri" w:cs="Calibri"/>
      </w:rPr>
      <w:t>zmieniającej uchwałę w sprawie przyjęcia programu rozwoju „Program Zintegrowanej Informatyzacji Państwa”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009DD"/>
    <w:multiLevelType w:val="hybridMultilevel"/>
    <w:tmpl w:val="4DAE8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63"/>
    <w:rsid w:val="00012C9F"/>
    <w:rsid w:val="000540EE"/>
    <w:rsid w:val="00071A70"/>
    <w:rsid w:val="000B7CE4"/>
    <w:rsid w:val="000C5082"/>
    <w:rsid w:val="000C518F"/>
    <w:rsid w:val="000F1133"/>
    <w:rsid w:val="000F6574"/>
    <w:rsid w:val="001225B6"/>
    <w:rsid w:val="001316C2"/>
    <w:rsid w:val="001B582B"/>
    <w:rsid w:val="001D6ABE"/>
    <w:rsid w:val="00254D32"/>
    <w:rsid w:val="00275B3A"/>
    <w:rsid w:val="00287FCC"/>
    <w:rsid w:val="00295B18"/>
    <w:rsid w:val="002A082B"/>
    <w:rsid w:val="002B0482"/>
    <w:rsid w:val="00312DD2"/>
    <w:rsid w:val="00325220"/>
    <w:rsid w:val="00356243"/>
    <w:rsid w:val="00366961"/>
    <w:rsid w:val="00375B80"/>
    <w:rsid w:val="00380E16"/>
    <w:rsid w:val="003C2779"/>
    <w:rsid w:val="003C54C5"/>
    <w:rsid w:val="00421732"/>
    <w:rsid w:val="00436403"/>
    <w:rsid w:val="00441351"/>
    <w:rsid w:val="00445DC2"/>
    <w:rsid w:val="00450F8B"/>
    <w:rsid w:val="004539CA"/>
    <w:rsid w:val="00454DA7"/>
    <w:rsid w:val="0045792A"/>
    <w:rsid w:val="004C5581"/>
    <w:rsid w:val="004D4E00"/>
    <w:rsid w:val="004D50FA"/>
    <w:rsid w:val="00501070"/>
    <w:rsid w:val="005971DA"/>
    <w:rsid w:val="005A3702"/>
    <w:rsid w:val="005A7EE6"/>
    <w:rsid w:val="005B7B3E"/>
    <w:rsid w:val="005C0CFC"/>
    <w:rsid w:val="005D6676"/>
    <w:rsid w:val="005E7419"/>
    <w:rsid w:val="00613006"/>
    <w:rsid w:val="006476D2"/>
    <w:rsid w:val="00651232"/>
    <w:rsid w:val="006B3018"/>
    <w:rsid w:val="006C0ADA"/>
    <w:rsid w:val="0070643B"/>
    <w:rsid w:val="007420B1"/>
    <w:rsid w:val="00775566"/>
    <w:rsid w:val="00797DD5"/>
    <w:rsid w:val="007B70EB"/>
    <w:rsid w:val="007C631F"/>
    <w:rsid w:val="00811CDF"/>
    <w:rsid w:val="00826F88"/>
    <w:rsid w:val="00861476"/>
    <w:rsid w:val="008752BC"/>
    <w:rsid w:val="008C5E94"/>
    <w:rsid w:val="009023F1"/>
    <w:rsid w:val="009027D9"/>
    <w:rsid w:val="00917FD9"/>
    <w:rsid w:val="0093328A"/>
    <w:rsid w:val="0099242B"/>
    <w:rsid w:val="009958DC"/>
    <w:rsid w:val="009C6688"/>
    <w:rsid w:val="009E29F3"/>
    <w:rsid w:val="00A37BE8"/>
    <w:rsid w:val="00A46EF3"/>
    <w:rsid w:val="00A7460F"/>
    <w:rsid w:val="00AC1EA3"/>
    <w:rsid w:val="00AD2C6A"/>
    <w:rsid w:val="00AE33ED"/>
    <w:rsid w:val="00B10F68"/>
    <w:rsid w:val="00B15D56"/>
    <w:rsid w:val="00B172F9"/>
    <w:rsid w:val="00B178C3"/>
    <w:rsid w:val="00B34AAA"/>
    <w:rsid w:val="00B46507"/>
    <w:rsid w:val="00B4775F"/>
    <w:rsid w:val="00B508D9"/>
    <w:rsid w:val="00B53C3C"/>
    <w:rsid w:val="00B56337"/>
    <w:rsid w:val="00B624C6"/>
    <w:rsid w:val="00BB5D4F"/>
    <w:rsid w:val="00BC67A1"/>
    <w:rsid w:val="00D402FB"/>
    <w:rsid w:val="00D57E20"/>
    <w:rsid w:val="00D86444"/>
    <w:rsid w:val="00DD7A7C"/>
    <w:rsid w:val="00E02A23"/>
    <w:rsid w:val="00E26D2F"/>
    <w:rsid w:val="00E301F4"/>
    <w:rsid w:val="00E362D5"/>
    <w:rsid w:val="00E763C0"/>
    <w:rsid w:val="00E80EE2"/>
    <w:rsid w:val="00E95F72"/>
    <w:rsid w:val="00EC7A8E"/>
    <w:rsid w:val="00ED4D70"/>
    <w:rsid w:val="00F01A54"/>
    <w:rsid w:val="00F2468D"/>
    <w:rsid w:val="00F40D5A"/>
    <w:rsid w:val="00F43CCD"/>
    <w:rsid w:val="00F47E3C"/>
    <w:rsid w:val="00F54A63"/>
    <w:rsid w:val="00F635D6"/>
    <w:rsid w:val="00F877DD"/>
    <w:rsid w:val="00FA2D6E"/>
    <w:rsid w:val="00FC269C"/>
    <w:rsid w:val="00FC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5B24"/>
  <w15:chartTrackingRefBased/>
  <w15:docId w15:val="{09FE2AA5-BD3D-4477-B17C-2352E3D4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25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225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A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15D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CFC"/>
  </w:style>
  <w:style w:type="paragraph" w:styleId="Stopka">
    <w:name w:val="footer"/>
    <w:basedOn w:val="Normalny"/>
    <w:link w:val="StopkaZnak"/>
    <w:uiPriority w:val="99"/>
    <w:unhideWhenUsed/>
    <w:rsid w:val="005C0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CFC"/>
  </w:style>
  <w:style w:type="paragraph" w:styleId="Tekstdymka">
    <w:name w:val="Balloon Text"/>
    <w:basedOn w:val="Normalny"/>
    <w:link w:val="TekstdymkaZnak"/>
    <w:uiPriority w:val="99"/>
    <w:semiHidden/>
    <w:unhideWhenUsed/>
    <w:rsid w:val="0043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40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4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4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44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225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225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Idaszak Wioletta</cp:lastModifiedBy>
  <cp:revision>2</cp:revision>
  <dcterms:created xsi:type="dcterms:W3CDTF">2019-07-15T10:29:00Z</dcterms:created>
  <dcterms:modified xsi:type="dcterms:W3CDTF">2019-07-15T10:29:00Z</dcterms:modified>
</cp:coreProperties>
</file>