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AA2A33" w14:textId="77777777" w:rsidR="00D65080" w:rsidRDefault="00D65080">
      <w:pPr>
        <w:pStyle w:val="Tytu"/>
        <w:tabs>
          <w:tab w:val="right" w:leader="dot" w:pos="9340"/>
        </w:tabs>
        <w:spacing w:before="100" w:after="100"/>
        <w:ind w:left="70"/>
        <w:rPr>
          <w:bCs/>
          <w:color w:val="auto"/>
          <w:szCs w:val="24"/>
        </w:rPr>
      </w:pPr>
    </w:p>
    <w:p w14:paraId="7021D9B1" w14:textId="77777777" w:rsidR="003D7E86" w:rsidRDefault="003D7E86">
      <w:pPr>
        <w:sectPr w:rsidR="003D7E86">
          <w:pgSz w:w="12240" w:h="15840"/>
          <w:pgMar w:top="862" w:right="900" w:bottom="851" w:left="1418" w:header="708" w:footer="708" w:gutter="0"/>
          <w:cols w:space="708"/>
          <w:titlePg/>
        </w:sectPr>
      </w:pPr>
    </w:p>
    <w:p w14:paraId="5DA93C1B" w14:textId="77777777" w:rsidR="00D65080" w:rsidRDefault="00D65080">
      <w:pPr>
        <w:pStyle w:val="Tytu"/>
        <w:tabs>
          <w:tab w:val="right" w:leader="dot" w:pos="9340"/>
        </w:tabs>
        <w:spacing w:before="100" w:after="100"/>
        <w:rPr>
          <w:b/>
          <w:bCs/>
          <w:color w:val="auto"/>
          <w:szCs w:val="24"/>
        </w:rPr>
      </w:pPr>
    </w:p>
    <w:p w14:paraId="4073CBB9" w14:textId="77777777" w:rsidR="00D65080" w:rsidRDefault="00D65080"/>
    <w:p w14:paraId="355B51F9" w14:textId="77777777" w:rsidR="00D65080" w:rsidRDefault="006776D8">
      <w:pPr>
        <w:pStyle w:val="Tytu"/>
        <w:tabs>
          <w:tab w:val="right" w:leader="dot" w:pos="9340"/>
        </w:tabs>
        <w:spacing w:before="100" w:after="100"/>
        <w:ind w:left="70"/>
        <w:jc w:val="center"/>
        <w:rPr>
          <w:color w:val="auto"/>
          <w:sz w:val="48"/>
          <w:szCs w:val="48"/>
        </w:rPr>
      </w:pPr>
      <w:r>
        <w:rPr>
          <w:color w:val="auto"/>
          <w:sz w:val="48"/>
          <w:szCs w:val="48"/>
        </w:rPr>
        <w:t>Konsultacje społeczne obszarów białych NGA</w:t>
      </w:r>
    </w:p>
    <w:p w14:paraId="0B64882A" w14:textId="77777777" w:rsidR="00D65080" w:rsidRDefault="006776D8">
      <w:pPr>
        <w:pStyle w:val="Tytu"/>
        <w:tabs>
          <w:tab w:val="right" w:leader="dot" w:pos="9340"/>
        </w:tabs>
        <w:spacing w:before="100" w:after="100"/>
        <w:ind w:left="70"/>
        <w:jc w:val="center"/>
        <w:rPr>
          <w:color w:val="auto"/>
          <w:sz w:val="48"/>
          <w:szCs w:val="48"/>
        </w:rPr>
      </w:pPr>
      <w:r>
        <w:rPr>
          <w:color w:val="auto"/>
          <w:sz w:val="48"/>
          <w:szCs w:val="48"/>
        </w:rPr>
        <w:t>Plany inwestycyjne</w:t>
      </w:r>
    </w:p>
    <w:p w14:paraId="2AC86A68" w14:textId="77777777" w:rsidR="00D65080" w:rsidRDefault="00D65080">
      <w:pPr>
        <w:pStyle w:val="Tytu"/>
        <w:tabs>
          <w:tab w:val="right" w:leader="dot" w:pos="9340"/>
        </w:tabs>
        <w:spacing w:before="100" w:after="100"/>
        <w:ind w:left="70"/>
        <w:jc w:val="center"/>
        <w:rPr>
          <w:rFonts w:ascii="Calibri" w:hAnsi="Calibri"/>
          <w:b/>
          <w:color w:val="auto"/>
          <w:sz w:val="36"/>
          <w:szCs w:val="24"/>
        </w:rPr>
      </w:pPr>
    </w:p>
    <w:p w14:paraId="65A6E5A1" w14:textId="77777777" w:rsidR="00D65080" w:rsidRDefault="00D65080"/>
    <w:p w14:paraId="4EC44720" w14:textId="77777777" w:rsidR="00D65080" w:rsidRDefault="006776D8">
      <w:pPr>
        <w:pStyle w:val="Tytu"/>
        <w:tabs>
          <w:tab w:val="right" w:leader="dot" w:pos="9340"/>
        </w:tabs>
        <w:spacing w:before="100" w:after="100"/>
        <w:ind w:left="70"/>
        <w:jc w:val="center"/>
        <w:rPr>
          <w:rFonts w:ascii="Calibri" w:hAnsi="Calibri"/>
          <w:b/>
          <w:color w:val="auto"/>
          <w:sz w:val="36"/>
          <w:szCs w:val="24"/>
        </w:rPr>
      </w:pPr>
      <w:r>
        <w:rPr>
          <w:rFonts w:ascii="Calibri" w:hAnsi="Calibri"/>
          <w:b/>
          <w:color w:val="auto"/>
          <w:sz w:val="36"/>
          <w:szCs w:val="24"/>
        </w:rPr>
        <w:t>System Informacyjny o Infrastrukturze Szerokopasmowej</w:t>
      </w:r>
    </w:p>
    <w:p w14:paraId="5AE97735" w14:textId="77777777" w:rsidR="00D65080" w:rsidRDefault="006776D8">
      <w:pPr>
        <w:pStyle w:val="Tytu"/>
        <w:tabs>
          <w:tab w:val="right" w:leader="dot" w:pos="9340"/>
        </w:tabs>
        <w:spacing w:before="100" w:after="100"/>
        <w:ind w:left="70"/>
        <w:jc w:val="center"/>
        <w:rPr>
          <w:rFonts w:ascii="Calibri" w:hAnsi="Calibri"/>
          <w:b/>
          <w:color w:val="auto"/>
          <w:sz w:val="36"/>
          <w:szCs w:val="24"/>
        </w:rPr>
      </w:pPr>
      <w:r>
        <w:rPr>
          <w:rFonts w:ascii="Calibri" w:hAnsi="Calibri"/>
          <w:b/>
          <w:color w:val="auto"/>
          <w:sz w:val="36"/>
          <w:szCs w:val="24"/>
        </w:rPr>
        <w:t>Instrukcja użytkownika</w:t>
      </w:r>
    </w:p>
    <w:p w14:paraId="498F0B43" w14:textId="77777777" w:rsidR="00D65080" w:rsidRDefault="00D65080"/>
    <w:p w14:paraId="0FAFEF78" w14:textId="77777777" w:rsidR="00D65080" w:rsidRDefault="00D65080">
      <w:pPr>
        <w:rPr>
          <w:b/>
          <w:sz w:val="20"/>
        </w:rPr>
      </w:pPr>
    </w:p>
    <w:p w14:paraId="6B82982C" w14:textId="77777777" w:rsidR="00D65080" w:rsidRDefault="00D65080">
      <w:pPr>
        <w:rPr>
          <w:b/>
          <w:sz w:val="20"/>
        </w:rPr>
      </w:pPr>
    </w:p>
    <w:p w14:paraId="0C14B810" w14:textId="77777777" w:rsidR="00D65080" w:rsidRDefault="00D65080">
      <w:pPr>
        <w:rPr>
          <w:b/>
          <w:sz w:val="20"/>
        </w:rPr>
      </w:pPr>
    </w:p>
    <w:p w14:paraId="11E5FCD5" w14:textId="77777777" w:rsidR="00D65080" w:rsidRDefault="00D65080"/>
    <w:p w14:paraId="3F2121A4" w14:textId="696CD0FA" w:rsidR="00D65080" w:rsidRDefault="006776D8">
      <w:pPr>
        <w:ind w:left="3686"/>
        <w:rPr>
          <w:b/>
        </w:rPr>
      </w:pPr>
      <w:r>
        <w:rPr>
          <w:b/>
        </w:rPr>
        <w:t>Wersja oprogramowania 5.7</w:t>
      </w:r>
      <w:r w:rsidR="00241604">
        <w:rPr>
          <w:b/>
        </w:rPr>
        <w:t>9</w:t>
      </w:r>
    </w:p>
    <w:p w14:paraId="75145522" w14:textId="77777777" w:rsidR="00D65080" w:rsidRDefault="006776D8">
      <w:pPr>
        <w:spacing w:before="100" w:after="100"/>
        <w:jc w:val="center"/>
        <w:rPr>
          <w:rFonts w:cs="Arial"/>
          <w:b/>
        </w:rPr>
      </w:pPr>
      <w:r>
        <w:rPr>
          <w:rFonts w:cs="Arial"/>
          <w:b/>
        </w:rPr>
        <w:t>Wersja dokumentacji 1.0</w:t>
      </w:r>
    </w:p>
    <w:p w14:paraId="28130146" w14:textId="77777777" w:rsidR="00D65080" w:rsidRDefault="00D65080">
      <w:pPr>
        <w:spacing w:before="100" w:after="100"/>
        <w:jc w:val="center"/>
        <w:rPr>
          <w:rFonts w:cs="Arial"/>
          <w:b/>
        </w:rPr>
      </w:pPr>
    </w:p>
    <w:p w14:paraId="7C24A115" w14:textId="77777777" w:rsidR="00D65080" w:rsidRDefault="006776D8">
      <w:pPr>
        <w:spacing w:before="100" w:after="100"/>
        <w:jc w:val="center"/>
      </w:pPr>
      <w:r>
        <w:rPr>
          <w:rFonts w:cs="Arial"/>
        </w:rPr>
        <w:t>Warszawa, październik 2020 r.</w:t>
      </w:r>
    </w:p>
    <w:p w14:paraId="2444ADD9" w14:textId="77777777" w:rsidR="00D65080" w:rsidRDefault="00D65080">
      <w:pPr>
        <w:rPr>
          <w:rFonts w:cs="Arial"/>
          <w:b/>
          <w:sz w:val="14"/>
          <w:szCs w:val="32"/>
        </w:rPr>
      </w:pPr>
      <w:bookmarkStart w:id="0" w:name="_Toc288122437"/>
      <w:bookmarkStart w:id="1" w:name="_Toc288124720"/>
      <w:bookmarkStart w:id="2" w:name="_Toc284699677"/>
    </w:p>
    <w:p w14:paraId="79CE2430" w14:textId="77777777" w:rsidR="003D7E86" w:rsidRDefault="003D7E86">
      <w:pPr>
        <w:sectPr w:rsidR="003D7E86">
          <w:type w:val="continuous"/>
          <w:pgSz w:w="12240" w:h="15840"/>
          <w:pgMar w:top="862" w:right="900" w:bottom="851" w:left="1418" w:header="708" w:footer="708" w:gutter="0"/>
          <w:cols w:space="708"/>
          <w:titlePg/>
        </w:sectPr>
      </w:pPr>
    </w:p>
    <w:p w14:paraId="744F34C7" w14:textId="77777777" w:rsidR="00D65080" w:rsidRDefault="006776D8">
      <w:pPr>
        <w:jc w:val="center"/>
      </w:pPr>
      <w:r>
        <w:rPr>
          <w:rFonts w:cs="Arial"/>
          <w:b/>
          <w:sz w:val="32"/>
          <w:szCs w:val="32"/>
        </w:rPr>
        <w:lastRenderedPageBreak/>
        <w:t>Spis treści</w:t>
      </w:r>
    </w:p>
    <w:p w14:paraId="1DA8B380" w14:textId="77777777" w:rsidR="00D65080" w:rsidRDefault="006776D8">
      <w:pPr>
        <w:pStyle w:val="Spistreci1"/>
        <w:tabs>
          <w:tab w:val="right" w:leader="dot" w:pos="400"/>
        </w:tabs>
      </w:pPr>
      <w:r>
        <w:rPr>
          <w:b w:val="0"/>
          <w:bCs w:val="0"/>
        </w:rPr>
        <w:fldChar w:fldCharType="begin"/>
      </w:r>
      <w:r>
        <w:instrText xml:space="preserve"> TOC \o "1-4" \u </w:instrText>
      </w:r>
      <w:r>
        <w:rPr>
          <w:b w:val="0"/>
          <w:bCs w:val="0"/>
        </w:rPr>
        <w:fldChar w:fldCharType="separate"/>
      </w:r>
      <w:r>
        <w:t>1</w:t>
      </w:r>
      <w:r>
        <w:rPr>
          <w:b w:val="0"/>
          <w:bCs w:val="0"/>
        </w:rPr>
        <w:tab/>
      </w:r>
      <w:r>
        <w:t>Podstawowe informacje</w:t>
      </w:r>
      <w:r>
        <w:tab/>
        <w:t>3</w:t>
      </w:r>
    </w:p>
    <w:p w14:paraId="6BFAFD0E" w14:textId="77777777" w:rsidR="00D65080" w:rsidRDefault="006776D8">
      <w:pPr>
        <w:pStyle w:val="Spistreci1"/>
        <w:tabs>
          <w:tab w:val="right" w:leader="dot" w:pos="400"/>
        </w:tabs>
      </w:pPr>
      <w:r>
        <w:t>2</w:t>
      </w:r>
      <w:r>
        <w:rPr>
          <w:b w:val="0"/>
          <w:bCs w:val="0"/>
        </w:rPr>
        <w:tab/>
      </w:r>
      <w:r>
        <w:t>Podstawa prawna i definicje</w:t>
      </w:r>
      <w:r>
        <w:tab/>
        <w:t>4</w:t>
      </w:r>
    </w:p>
    <w:p w14:paraId="16CAEDD6" w14:textId="77777777" w:rsidR="00D65080" w:rsidRDefault="006776D8">
      <w:pPr>
        <w:pStyle w:val="Spistreci1"/>
        <w:tabs>
          <w:tab w:val="right" w:leader="dot" w:pos="400"/>
        </w:tabs>
      </w:pPr>
      <w:r>
        <w:t>3</w:t>
      </w:r>
      <w:r>
        <w:rPr>
          <w:b w:val="0"/>
          <w:bCs w:val="0"/>
        </w:rPr>
        <w:tab/>
      </w:r>
      <w:r>
        <w:t>Jak mogę zgłosić swój plan inwestycyjny?</w:t>
      </w:r>
      <w:r>
        <w:tab/>
        <w:t>7</w:t>
      </w:r>
    </w:p>
    <w:p w14:paraId="0212E604" w14:textId="77777777" w:rsidR="00D65080" w:rsidRDefault="006776D8">
      <w:pPr>
        <w:pStyle w:val="Spistreci1"/>
        <w:tabs>
          <w:tab w:val="right" w:leader="dot" w:pos="400"/>
        </w:tabs>
      </w:pPr>
      <w:r>
        <w:t>4</w:t>
      </w:r>
      <w:r>
        <w:rPr>
          <w:b w:val="0"/>
          <w:bCs w:val="0"/>
        </w:rPr>
        <w:tab/>
      </w:r>
      <w:r>
        <w:t>Jakie dane należy przesłać, żeby zgłosić plan inwestycyjny?</w:t>
      </w:r>
      <w:r>
        <w:tab/>
        <w:t>7</w:t>
      </w:r>
    </w:p>
    <w:p w14:paraId="2A0ECE91" w14:textId="77777777" w:rsidR="00D65080" w:rsidRDefault="006776D8">
      <w:pPr>
        <w:pStyle w:val="Spistreci1"/>
        <w:tabs>
          <w:tab w:val="right" w:leader="dot" w:pos="400"/>
        </w:tabs>
      </w:pPr>
      <w:r>
        <w:t>5</w:t>
      </w:r>
      <w:r>
        <w:rPr>
          <w:b w:val="0"/>
          <w:bCs w:val="0"/>
        </w:rPr>
        <w:tab/>
      </w:r>
      <w:r>
        <w:t>Rejestracja i logowanie w systemie SIIS</w:t>
      </w:r>
      <w:r>
        <w:tab/>
        <w:t>7</w:t>
      </w:r>
    </w:p>
    <w:p w14:paraId="1517637A" w14:textId="77777777" w:rsidR="00D65080" w:rsidRDefault="006776D8">
      <w:pPr>
        <w:pStyle w:val="Spistreci1"/>
        <w:tabs>
          <w:tab w:val="right" w:leader="dot" w:pos="400"/>
        </w:tabs>
      </w:pPr>
      <w:r>
        <w:t>6</w:t>
      </w:r>
      <w:r>
        <w:rPr>
          <w:b w:val="0"/>
          <w:bCs w:val="0"/>
        </w:rPr>
        <w:tab/>
      </w:r>
      <w:r>
        <w:t>Użytkownik Konsultacji</w:t>
      </w:r>
      <w:r>
        <w:tab/>
        <w:t>11</w:t>
      </w:r>
    </w:p>
    <w:p w14:paraId="3D4FFEC9" w14:textId="77777777" w:rsidR="00D65080" w:rsidRDefault="006776D8">
      <w:pPr>
        <w:pStyle w:val="Spistreci1"/>
        <w:tabs>
          <w:tab w:val="right" w:leader="dot" w:pos="400"/>
        </w:tabs>
      </w:pPr>
      <w:r>
        <w:t>7</w:t>
      </w:r>
      <w:r>
        <w:rPr>
          <w:b w:val="0"/>
          <w:bCs w:val="0"/>
        </w:rPr>
        <w:tab/>
      </w:r>
      <w:r>
        <w:t>Podsumowanie</w:t>
      </w:r>
      <w:r>
        <w:tab/>
        <w:t>12</w:t>
      </w:r>
    </w:p>
    <w:p w14:paraId="40EE3917" w14:textId="77777777" w:rsidR="00D65080" w:rsidRDefault="006776D8">
      <w:pPr>
        <w:pStyle w:val="Spistreci1"/>
        <w:tabs>
          <w:tab w:val="right" w:leader="dot" w:pos="400"/>
        </w:tabs>
      </w:pPr>
      <w:r>
        <w:t>8</w:t>
      </w:r>
      <w:r>
        <w:rPr>
          <w:b w:val="0"/>
          <w:bCs w:val="0"/>
        </w:rPr>
        <w:tab/>
      </w:r>
      <w:r>
        <w:t>Formularz Planowane inwestycje - zakładka Konsultacje</w:t>
      </w:r>
      <w:r>
        <w:tab/>
        <w:t>13</w:t>
      </w:r>
    </w:p>
    <w:p w14:paraId="0E10F98E" w14:textId="77777777" w:rsidR="00D65080" w:rsidRDefault="006776D8">
      <w:pPr>
        <w:pStyle w:val="Spistreci1"/>
        <w:tabs>
          <w:tab w:val="right" w:leader="dot" w:pos="400"/>
        </w:tabs>
      </w:pPr>
      <w:r>
        <w:t>9</w:t>
      </w:r>
      <w:r>
        <w:rPr>
          <w:b w:val="0"/>
          <w:bCs w:val="0"/>
        </w:rPr>
        <w:tab/>
      </w:r>
      <w:r>
        <w:t>Import planów inwestycyjnych - zakładka Konsultacje</w:t>
      </w:r>
      <w:r>
        <w:tab/>
        <w:t>19</w:t>
      </w:r>
    </w:p>
    <w:p w14:paraId="3C427A07" w14:textId="77777777" w:rsidR="00D65080" w:rsidRDefault="006776D8">
      <w:pPr>
        <w:pStyle w:val="Spistreci1"/>
        <w:tabs>
          <w:tab w:val="right" w:leader="dot" w:pos="400"/>
        </w:tabs>
      </w:pPr>
      <w:r>
        <w:t>10</w:t>
      </w:r>
      <w:r>
        <w:rPr>
          <w:b w:val="0"/>
          <w:bCs w:val="0"/>
        </w:rPr>
        <w:tab/>
      </w:r>
      <w:r>
        <w:t>Oświadczenia</w:t>
      </w:r>
      <w:r>
        <w:tab/>
        <w:t>21</w:t>
      </w:r>
    </w:p>
    <w:p w14:paraId="5D503648" w14:textId="77777777" w:rsidR="00D65080" w:rsidRDefault="006776D8">
      <w:pPr>
        <w:pStyle w:val="Spistreci1"/>
        <w:tabs>
          <w:tab w:val="right" w:leader="dot" w:pos="400"/>
        </w:tabs>
      </w:pPr>
      <w:r>
        <w:t>11</w:t>
      </w:r>
      <w:r>
        <w:rPr>
          <w:b w:val="0"/>
          <w:bCs w:val="0"/>
        </w:rPr>
        <w:tab/>
      </w:r>
      <w:r>
        <w:t>Użytkownicy</w:t>
      </w:r>
      <w:r>
        <w:tab/>
        <w:t>22</w:t>
      </w:r>
    </w:p>
    <w:p w14:paraId="693F5CE4" w14:textId="77777777" w:rsidR="00D65080" w:rsidRDefault="006776D8">
      <w:pPr>
        <w:pStyle w:val="Spistreci1"/>
        <w:tabs>
          <w:tab w:val="right" w:leader="dot" w:pos="400"/>
        </w:tabs>
      </w:pPr>
      <w:r>
        <w:t>12</w:t>
      </w:r>
      <w:r>
        <w:rPr>
          <w:b w:val="0"/>
          <w:bCs w:val="0"/>
        </w:rPr>
        <w:tab/>
      </w:r>
      <w:r>
        <w:t>Pomoc</w:t>
      </w:r>
      <w:r>
        <w:tab/>
        <w:t>24</w:t>
      </w:r>
    </w:p>
    <w:p w14:paraId="3EDB96E2" w14:textId="77777777" w:rsidR="00D65080" w:rsidRDefault="006776D8">
      <w:pPr>
        <w:pStyle w:val="Spistreci1"/>
        <w:tabs>
          <w:tab w:val="right" w:leader="dot" w:pos="400"/>
        </w:tabs>
      </w:pPr>
      <w:r>
        <w:t>13</w:t>
      </w:r>
      <w:r>
        <w:rPr>
          <w:b w:val="0"/>
          <w:bCs w:val="0"/>
        </w:rPr>
        <w:tab/>
      </w:r>
      <w:r>
        <w:t>Kontakt</w:t>
      </w:r>
      <w:r>
        <w:tab/>
        <w:t>24</w:t>
      </w:r>
    </w:p>
    <w:p w14:paraId="09381FD7" w14:textId="77777777" w:rsidR="00D65080" w:rsidRDefault="006776D8">
      <w:pPr>
        <w:pageBreakBefore/>
        <w:tabs>
          <w:tab w:val="left" w:pos="9214"/>
          <w:tab w:val="right" w:leader="dot" w:pos="9498"/>
          <w:tab w:val="right" w:leader="dot" w:pos="9639"/>
        </w:tabs>
        <w:spacing w:before="100" w:after="100"/>
      </w:pPr>
      <w:r>
        <w:rPr>
          <w:b/>
          <w:bCs/>
        </w:rPr>
        <w:lastRenderedPageBreak/>
        <w:fldChar w:fldCharType="end"/>
      </w:r>
    </w:p>
    <w:p w14:paraId="492A3660" w14:textId="77777777" w:rsidR="00D65080" w:rsidRDefault="006776D8">
      <w:pPr>
        <w:pStyle w:val="Nagwek1"/>
      </w:pPr>
      <w:bookmarkStart w:id="3" w:name="_Toc413968640"/>
      <w:bookmarkStart w:id="4" w:name="_Toc414262223"/>
      <w:bookmarkStart w:id="5" w:name="_Toc451149440"/>
      <w:bookmarkStart w:id="6" w:name="_Toc14875632"/>
      <w:bookmarkStart w:id="7" w:name="_Toc413097117"/>
      <w:bookmarkEnd w:id="0"/>
      <w:bookmarkEnd w:id="1"/>
      <w:bookmarkEnd w:id="2"/>
      <w:r>
        <w:t>Podstawowe informacje</w:t>
      </w:r>
      <w:bookmarkEnd w:id="3"/>
      <w:bookmarkEnd w:id="4"/>
      <w:bookmarkEnd w:id="5"/>
      <w:bookmarkEnd w:id="6"/>
    </w:p>
    <w:p w14:paraId="7374CE59" w14:textId="77777777" w:rsidR="00D65080" w:rsidRDefault="006776D8">
      <w:p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Celem konsultacji jest określenie listy białych obszarów NGA, które będą stanowiły potencjalny obszar do kolejnych interwencji publicznych w zakresie zapewnienia powszechnego dostępu do szybkiego internetu.</w:t>
      </w:r>
    </w:p>
    <w:p w14:paraId="631D257D" w14:textId="77777777" w:rsidR="00D65080" w:rsidRDefault="006776D8">
      <w:pPr>
        <w:spacing w:before="100" w:after="100"/>
      </w:pPr>
      <w:r>
        <w:rPr>
          <w:b/>
          <w:sz w:val="24"/>
          <w:szCs w:val="24"/>
        </w:rPr>
        <w:t>Lista obszarów białych NGA zostanie opracowana na podstawie danych przekazanych w ramach inwentaryzacji Prezesa UKE w 2020 roku oraz konsultacji społecznych obszarów białych NGA. Tak przygotowana lista obszarów białych NGA będzie listą ostateczną i po jej opracowaniu nie będą przyjmowane zgłoszenia dotyczące istniejącej lub planowanej do wybudowania infrastruktury.</w:t>
      </w:r>
    </w:p>
    <w:p w14:paraId="703421AC" w14:textId="77777777" w:rsidR="00D65080" w:rsidRDefault="006776D8">
      <w:p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Konsultacje społeczne polegają na zebraniu trzyletnich planów inwestycyjnych w zakresie infrastruktury szerokopasmowej NGA przy użyciu Systemu Informacyjnego o Infrastrukturze Szerokopasmowej (SIIS).</w:t>
      </w:r>
    </w:p>
    <w:p w14:paraId="1AFCA797" w14:textId="77777777" w:rsidR="00D65080" w:rsidRDefault="006776D8">
      <w:pPr>
        <w:spacing w:before="100" w:after="100"/>
        <w:rPr>
          <w:sz w:val="24"/>
        </w:rPr>
      </w:pPr>
      <w:r>
        <w:rPr>
          <w:sz w:val="24"/>
        </w:rPr>
        <w:t>Zbieranie planów inwestycyjnych na lata 2020-2023 odbywa się poprzez system SIIS na stronie:</w:t>
      </w:r>
    </w:p>
    <w:p w14:paraId="69B6191B" w14:textId="77777777" w:rsidR="00D65080" w:rsidRDefault="00BD00A2">
      <w:pPr>
        <w:spacing w:before="100" w:after="100"/>
      </w:pPr>
      <w:hyperlink r:id="rId7" w:history="1">
        <w:r w:rsidR="006776D8">
          <w:rPr>
            <w:rStyle w:val="Hipercze"/>
            <w:rFonts w:ascii="Arial" w:hAnsi="Arial" w:cs="Arial"/>
            <w:sz w:val="24"/>
          </w:rPr>
          <w:t>https://form.teleinfrastruktura.gov.pl/</w:t>
        </w:r>
      </w:hyperlink>
      <w:r w:rsidR="006776D8">
        <w:rPr>
          <w:rFonts w:cs="Arial"/>
          <w:sz w:val="24"/>
        </w:rPr>
        <w:t>.</w:t>
      </w:r>
    </w:p>
    <w:p w14:paraId="09EE0511" w14:textId="26EA888A" w:rsidR="00D65080" w:rsidRDefault="00373907">
      <w:pPr>
        <w:spacing w:before="100" w:after="100"/>
        <w:rPr>
          <w:b/>
          <w:sz w:val="24"/>
          <w:szCs w:val="24"/>
        </w:rPr>
      </w:pPr>
      <w:r>
        <w:rPr>
          <w:b/>
          <w:sz w:val="24"/>
          <w:szCs w:val="24"/>
        </w:rPr>
        <w:t>Konsultacje trwają od 21 października do 23</w:t>
      </w:r>
      <w:r w:rsidR="006776D8">
        <w:rPr>
          <w:b/>
          <w:sz w:val="24"/>
          <w:szCs w:val="24"/>
        </w:rPr>
        <w:t xml:space="preserve"> listopada 2020 roku.</w:t>
      </w:r>
    </w:p>
    <w:p w14:paraId="0B451201" w14:textId="77777777" w:rsidR="00D65080" w:rsidRDefault="006776D8">
      <w:p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Konsultacje społeczne obszarów białych NGA prowadzone są przez Kancelarię Prezesa Rady Ministrów.</w:t>
      </w:r>
    </w:p>
    <w:p w14:paraId="73D06602" w14:textId="77777777" w:rsidR="00D65080" w:rsidRDefault="006776D8">
      <w:pPr>
        <w:suppressAutoHyphens/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Baza adresów „białych obszarów NGA” została utworzona na podstawie danych pozyskanych w ramach inwentaryzacji infrastruktury i usług telekomunikacyjnych Prezesa Urzędu Komunikacji Elektronicznej przeprowadzonej w 2020 roku. Z bazy adresów „białych obszarów NGA” zostały wykluczone lokalizacje:</w:t>
      </w:r>
    </w:p>
    <w:p w14:paraId="1CE65D08" w14:textId="77777777" w:rsidR="00D65080" w:rsidRDefault="006776D8">
      <w:pPr>
        <w:numPr>
          <w:ilvl w:val="0"/>
          <w:numId w:val="10"/>
        </w:numPr>
        <w:spacing w:after="0" w:line="240" w:lineRule="auto"/>
        <w:textAlignment w:val="auto"/>
        <w:rPr>
          <w:rFonts w:cs="Calibri"/>
          <w:color w:val="212529"/>
          <w:sz w:val="24"/>
          <w:szCs w:val="24"/>
        </w:rPr>
      </w:pPr>
      <w:r>
        <w:rPr>
          <w:rFonts w:cs="Calibri"/>
          <w:color w:val="212529"/>
          <w:sz w:val="24"/>
          <w:szCs w:val="24"/>
        </w:rPr>
        <w:t>objęte planami inwestycyjnymi zgłoszonymi w ramach konsultacji społecznych obszarów białych NGA przeprowadzonych w 2016, 2017, 2018 i 2019 roku (które zostały uznane za wiarygodne i potwierdzono ich realizację przed rozpoczęciem tegorocznych konsultacji);</w:t>
      </w:r>
    </w:p>
    <w:p w14:paraId="4C8BAA96" w14:textId="77777777" w:rsidR="00D65080" w:rsidRDefault="006776D8">
      <w:pPr>
        <w:pStyle w:val="Akapitzlist"/>
        <w:numPr>
          <w:ilvl w:val="0"/>
          <w:numId w:val="10"/>
        </w:numPr>
        <w:suppressAutoHyphens/>
        <w:spacing w:after="0" w:line="240" w:lineRule="auto"/>
      </w:pPr>
      <w:r>
        <w:rPr>
          <w:rFonts w:cs="Calibri"/>
          <w:color w:val="212529"/>
          <w:sz w:val="24"/>
          <w:szCs w:val="24"/>
        </w:rPr>
        <w:t>wskazane przez beneficjentów projektów realizowanych w ramach 2 i 3 konkursu w działaniu 1.1 PO PC;</w:t>
      </w:r>
    </w:p>
    <w:p w14:paraId="251C1C8D" w14:textId="0E84EAE1" w:rsidR="00D65080" w:rsidRDefault="006776D8">
      <w:pPr>
        <w:pStyle w:val="Akapitzlist"/>
        <w:numPr>
          <w:ilvl w:val="0"/>
          <w:numId w:val="10"/>
        </w:numPr>
        <w:suppressAutoHyphens/>
        <w:spacing w:after="120" w:line="240" w:lineRule="auto"/>
      </w:pPr>
      <w:r>
        <w:rPr>
          <w:rFonts w:cs="Calibri"/>
          <w:color w:val="212529"/>
          <w:sz w:val="24"/>
          <w:szCs w:val="24"/>
        </w:rPr>
        <w:t>wyznaczone</w:t>
      </w:r>
      <w:r>
        <w:t xml:space="preserve"> </w:t>
      </w:r>
      <w:r>
        <w:rPr>
          <w:rFonts w:cs="Calibri"/>
          <w:color w:val="212529"/>
          <w:sz w:val="24"/>
          <w:szCs w:val="24"/>
        </w:rPr>
        <w:t>do obszarów, na których wybrano projekty do dofinansowania w ramach 4 konkursu w działaniu 1.1 PO PC</w:t>
      </w:r>
      <w:bookmarkStart w:id="8" w:name="_GoBack"/>
      <w:bookmarkEnd w:id="8"/>
      <w:r>
        <w:rPr>
          <w:rFonts w:cs="Calibri"/>
          <w:color w:val="212529"/>
          <w:sz w:val="24"/>
          <w:szCs w:val="24"/>
        </w:rPr>
        <w:t>.</w:t>
      </w:r>
    </w:p>
    <w:p w14:paraId="428021D1" w14:textId="77777777" w:rsidR="00D65080" w:rsidRDefault="006776D8">
      <w:pPr>
        <w:spacing w:after="0" w:line="240" w:lineRule="auto"/>
      </w:pPr>
      <w:r>
        <w:rPr>
          <w:sz w:val="24"/>
          <w:szCs w:val="24"/>
        </w:rPr>
        <w:t>Współrzędne geograficzne do zlokalizowania adresów zostały pobrane z Państwowego Rejestru Granic prowadzonego przez Głównego Geodetę Kraju.</w:t>
      </w:r>
    </w:p>
    <w:p w14:paraId="489E2B89" w14:textId="77777777" w:rsidR="00D65080" w:rsidRDefault="006776D8">
      <w:pPr>
        <w:spacing w:before="100" w:after="100"/>
      </w:pPr>
      <w:r>
        <w:rPr>
          <w:sz w:val="24"/>
          <w:szCs w:val="24"/>
        </w:rPr>
        <w:t xml:space="preserve">Zgłoszone plany inwestycyjne będą podlegać analizie ich wiarygodności przez zespół międzyinstytucjonalny, w którego skład wejdą przedstawiciele KPRM, UKE, CPPC i IŁ. Plany inwestycyjne będą oceniane w oparciu o przekazane dane i dokumenty, zgodnie z procedurą opisaną w dokumencie pn. </w:t>
      </w:r>
      <w:r>
        <w:rPr>
          <w:i/>
          <w:sz w:val="24"/>
          <w:szCs w:val="24"/>
        </w:rPr>
        <w:t>Zasady konsultacji społecznych obszarów białych NGA</w:t>
      </w:r>
      <w:r>
        <w:rPr>
          <w:sz w:val="24"/>
          <w:szCs w:val="24"/>
        </w:rPr>
        <w:t>.</w:t>
      </w:r>
    </w:p>
    <w:p w14:paraId="76F91416" w14:textId="77777777" w:rsidR="00D65080" w:rsidRDefault="006776D8">
      <w:pPr>
        <w:spacing w:before="100" w:after="100"/>
      </w:pPr>
      <w:r>
        <w:rPr>
          <w:sz w:val="24"/>
          <w:szCs w:val="24"/>
        </w:rPr>
        <w:t>Punkty adresowe objęte planami inwestycyjnymi uznanymi za wiarygodne zostaną wyłączone spod kolejnych interwencji ze środków publicznych w obszarze wsparcia rozwoju sieci szerokopasmowych.</w:t>
      </w:r>
    </w:p>
    <w:p w14:paraId="4C8490B8" w14:textId="77777777" w:rsidR="00D65080" w:rsidRDefault="006776D8">
      <w:pPr>
        <w:pStyle w:val="Nagwek1"/>
      </w:pPr>
      <w:bookmarkStart w:id="9" w:name="_Toc413097112"/>
      <w:bookmarkStart w:id="10" w:name="_Toc413609575"/>
      <w:bookmarkStart w:id="11" w:name="_Toc413968641"/>
      <w:bookmarkStart w:id="12" w:name="_Toc414262224"/>
      <w:bookmarkStart w:id="13" w:name="_Toc451149441"/>
      <w:bookmarkStart w:id="14" w:name="_Toc14875633"/>
      <w:r>
        <w:lastRenderedPageBreak/>
        <w:t>Podstawa prawna i definicje</w:t>
      </w:r>
      <w:bookmarkEnd w:id="9"/>
      <w:bookmarkEnd w:id="10"/>
      <w:bookmarkEnd w:id="11"/>
      <w:bookmarkEnd w:id="12"/>
      <w:bookmarkEnd w:id="13"/>
      <w:bookmarkEnd w:id="14"/>
    </w:p>
    <w:p w14:paraId="14B0BF15" w14:textId="77777777" w:rsidR="00D65080" w:rsidRDefault="006776D8">
      <w:pPr>
        <w:spacing w:before="100"/>
      </w:pPr>
      <w:r>
        <w:rPr>
          <w:sz w:val="24"/>
          <w:szCs w:val="24"/>
        </w:rPr>
        <w:t xml:space="preserve">Podstawą prawną konsultacji jest </w:t>
      </w:r>
      <w:r>
        <w:rPr>
          <w:sz w:val="24"/>
        </w:rPr>
        <w:t xml:space="preserve">art. 52 ust. 3 rozporządzenia Komisji (UE) nr 651/2014 z dnia 17 czerwca 2014 r. uznającego niektóre rodzaje pomocy za zgodne z rynkiem wewnętrznym w zastosowaniu art. 107 i 108 Traktatu (Dz. Urz. UE L 187 z 26.6.2014, str. 1, z </w:t>
      </w:r>
      <w:proofErr w:type="spellStart"/>
      <w:r>
        <w:rPr>
          <w:sz w:val="24"/>
        </w:rPr>
        <w:t>późn</w:t>
      </w:r>
      <w:proofErr w:type="spellEnd"/>
      <w:r>
        <w:rPr>
          <w:sz w:val="24"/>
        </w:rPr>
        <w:t>. zm.).</w:t>
      </w:r>
    </w:p>
    <w:p w14:paraId="5B9F531B" w14:textId="77777777" w:rsidR="00D65080" w:rsidRDefault="006776D8">
      <w:pPr>
        <w:spacing w:before="100" w:after="100"/>
      </w:pPr>
      <w:r>
        <w:rPr>
          <w:b/>
          <w:sz w:val="24"/>
          <w:szCs w:val="24"/>
        </w:rPr>
        <w:t>Białe obszary NGA</w:t>
      </w:r>
      <w:r>
        <w:rPr>
          <w:sz w:val="24"/>
          <w:szCs w:val="24"/>
        </w:rPr>
        <w:t xml:space="preserve"> - punkty adresowe, w których na podstawie najbardziej aktualnych dostępnych danych, nie występują sieci NGA umożliwiające świadczenie usługi stacjonarnego dostępu do Internetu o przepustowości co najmniej 30 </w:t>
      </w:r>
      <w:proofErr w:type="spellStart"/>
      <w:r>
        <w:rPr>
          <w:sz w:val="24"/>
          <w:szCs w:val="24"/>
        </w:rPr>
        <w:t>Mb</w:t>
      </w:r>
      <w:proofErr w:type="spellEnd"/>
      <w:r>
        <w:rPr>
          <w:sz w:val="24"/>
          <w:szCs w:val="24"/>
        </w:rPr>
        <w:t>/s.</w:t>
      </w:r>
    </w:p>
    <w:p w14:paraId="0A4421C8" w14:textId="77777777" w:rsidR="00D65080" w:rsidRDefault="006776D8">
      <w:pPr>
        <w:spacing w:before="100" w:after="100"/>
      </w:pPr>
      <w:r>
        <w:rPr>
          <w:b/>
          <w:sz w:val="24"/>
          <w:szCs w:val="24"/>
        </w:rPr>
        <w:t>Sieci NGA</w:t>
      </w:r>
      <w:r>
        <w:rPr>
          <w:sz w:val="24"/>
          <w:szCs w:val="24"/>
        </w:rPr>
        <w:t xml:space="preserve"> - zaawansowane sieci, które posiadają co najmniej następujące cechy:</w:t>
      </w:r>
    </w:p>
    <w:p w14:paraId="72D0A981" w14:textId="77777777" w:rsidR="00D65080" w:rsidRDefault="006776D8">
      <w:pPr>
        <w:pStyle w:val="Akapitzlist"/>
        <w:numPr>
          <w:ilvl w:val="0"/>
          <w:numId w:val="11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dostarczają w sposób niezawodny usługi o bardzo dużej szybkości przypadającej na abonenta, za pomocą światłowodowego łącza dosyłowego (lub z wykorzystaniem równoważnej technologii), które znajduje się na tyle blisko lokalu użytkownika, aby gwarantować rzeczywistą bardzo wysoką szybkość transmisji,</w:t>
      </w:r>
    </w:p>
    <w:p w14:paraId="4A03AE60" w14:textId="77777777" w:rsidR="00D65080" w:rsidRDefault="006776D8">
      <w:pPr>
        <w:pStyle w:val="Akapitzlist"/>
        <w:numPr>
          <w:ilvl w:val="0"/>
          <w:numId w:val="11"/>
        </w:numPr>
        <w:spacing w:before="100" w:after="100"/>
      </w:pPr>
      <w:r>
        <w:rPr>
          <w:sz w:val="24"/>
          <w:szCs w:val="24"/>
        </w:rPr>
        <w:t xml:space="preserve">umożliwiają świadczenie szeregu zaawansowanych usług cyfrowych, w tym usług </w:t>
      </w:r>
      <w:proofErr w:type="spellStart"/>
      <w:r>
        <w:rPr>
          <w:sz w:val="24"/>
          <w:szCs w:val="24"/>
        </w:rPr>
        <w:t>konwergentnych</w:t>
      </w:r>
      <w:proofErr w:type="spellEnd"/>
      <w:r>
        <w:rPr>
          <w:sz w:val="24"/>
          <w:szCs w:val="24"/>
        </w:rPr>
        <w:t xml:space="preserve"> opartych wyłącznie na protokole IP,</w:t>
      </w:r>
    </w:p>
    <w:p w14:paraId="0A45841A" w14:textId="77777777" w:rsidR="00D65080" w:rsidRDefault="006776D8">
      <w:pPr>
        <w:pStyle w:val="Akapitzlist"/>
        <w:numPr>
          <w:ilvl w:val="0"/>
          <w:numId w:val="11"/>
        </w:numPr>
        <w:spacing w:before="100" w:after="100"/>
      </w:pPr>
      <w:r>
        <w:rPr>
          <w:sz w:val="24"/>
          <w:szCs w:val="24"/>
        </w:rPr>
        <w:t>zapewniają znacznie wyższe szybkości wysyłania w porównaniu z podstawowymi sieciami szerokopasmowymi.</w:t>
      </w:r>
    </w:p>
    <w:p w14:paraId="27E98A27" w14:textId="77777777" w:rsidR="00D65080" w:rsidRDefault="006776D8">
      <w:p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Na obecnym etapie rozwoju sieci telekomunikacyjnych są to:</w:t>
      </w:r>
    </w:p>
    <w:p w14:paraId="4565B031" w14:textId="77777777" w:rsidR="00D65080" w:rsidRDefault="006776D8">
      <w:pPr>
        <w:pStyle w:val="Akapitzlist"/>
        <w:numPr>
          <w:ilvl w:val="0"/>
          <w:numId w:val="12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światłowodowe sieci dostępowe (</w:t>
      </w:r>
      <w:proofErr w:type="spellStart"/>
      <w:r>
        <w:rPr>
          <w:sz w:val="24"/>
          <w:szCs w:val="24"/>
        </w:rPr>
        <w:t>FTTx</w:t>
      </w:r>
      <w:proofErr w:type="spellEnd"/>
      <w:r>
        <w:rPr>
          <w:sz w:val="24"/>
          <w:szCs w:val="24"/>
        </w:rPr>
        <w:t>),</w:t>
      </w:r>
    </w:p>
    <w:p w14:paraId="69252037" w14:textId="77777777" w:rsidR="00D65080" w:rsidRDefault="006776D8">
      <w:pPr>
        <w:pStyle w:val="Akapitzlist"/>
        <w:numPr>
          <w:ilvl w:val="0"/>
          <w:numId w:val="12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zaawansowane - unowocześnione sieci kablowe,</w:t>
      </w:r>
    </w:p>
    <w:p w14:paraId="5051C4B5" w14:textId="77777777" w:rsidR="00D65080" w:rsidRDefault="006776D8">
      <w:pPr>
        <w:pStyle w:val="Akapitzlist"/>
        <w:numPr>
          <w:ilvl w:val="0"/>
          <w:numId w:val="12"/>
        </w:numPr>
        <w:spacing w:before="100" w:after="100"/>
      </w:pPr>
      <w:r>
        <w:rPr>
          <w:sz w:val="24"/>
          <w:szCs w:val="24"/>
        </w:rPr>
        <w:t>niektóre zaawansowane bezprzewodowe sieci dostępowe, przy zachowaniu odpowiedniego stopnia zagęszczenia i/lub z zaawansowanymi konfiguracjami (takimi jak dedykowane anteny lub systemy wieloantenowe). W zaawansowanej sieci bezprzewodowej dostęp następnej generacji oparty na dostosowanej do warunków mobilnej technologii szerokopasmowej musi także zapewniać wymaganą jakość usług dla użytkowników w określonej lokalizacji, jednocześnie obsługując innych abonentów mobilnych znajdujących się na danym obszarze,</w:t>
      </w:r>
    </w:p>
    <w:p w14:paraId="6BF42EB7" w14:textId="77777777" w:rsidR="00D65080" w:rsidRDefault="006776D8">
      <w:pPr>
        <w:spacing w:before="100" w:after="100"/>
      </w:pPr>
      <w:r>
        <w:rPr>
          <w:sz w:val="24"/>
          <w:szCs w:val="24"/>
        </w:rPr>
        <w:t xml:space="preserve">zapewniające użytkownikowi końcowemu, w sposób niezawodny, dostęp do Internetu z przepustowością co najmniej 30 </w:t>
      </w:r>
      <w:proofErr w:type="spellStart"/>
      <w:r>
        <w:rPr>
          <w:sz w:val="24"/>
          <w:szCs w:val="24"/>
        </w:rPr>
        <w:t>Mb</w:t>
      </w:r>
      <w:proofErr w:type="spellEnd"/>
      <w:r>
        <w:rPr>
          <w:sz w:val="24"/>
          <w:szCs w:val="24"/>
        </w:rPr>
        <w:t>/s.</w:t>
      </w:r>
    </w:p>
    <w:p w14:paraId="11B10FF4" w14:textId="77777777" w:rsidR="00D65080" w:rsidRDefault="006776D8">
      <w:pPr>
        <w:spacing w:before="100" w:after="100"/>
        <w:rPr>
          <w:b/>
          <w:sz w:val="24"/>
          <w:szCs w:val="24"/>
        </w:rPr>
      </w:pPr>
      <w:r>
        <w:rPr>
          <w:b/>
          <w:sz w:val="24"/>
          <w:szCs w:val="24"/>
        </w:rPr>
        <w:t>Wymagania jakościowe dla usług w sieci NGA</w:t>
      </w:r>
    </w:p>
    <w:p w14:paraId="50BDC5A7" w14:textId="77777777" w:rsidR="00D65080" w:rsidRDefault="006776D8">
      <w:pPr>
        <w:pStyle w:val="Akapitzlist"/>
        <w:numPr>
          <w:ilvl w:val="0"/>
          <w:numId w:val="13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Wymagane parametry na usługi świadczone w sieci NGA wynoszą maksymalnie:</w:t>
      </w:r>
    </w:p>
    <w:p w14:paraId="1B54727C" w14:textId="77777777" w:rsidR="00D65080" w:rsidRDefault="006776D8">
      <w:pPr>
        <w:pStyle w:val="Akapitzlist"/>
        <w:numPr>
          <w:ilvl w:val="0"/>
          <w:numId w:val="14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 xml:space="preserve">opóźnienie (ang. </w:t>
      </w:r>
      <w:proofErr w:type="spellStart"/>
      <w:r>
        <w:rPr>
          <w:sz w:val="24"/>
          <w:szCs w:val="24"/>
        </w:rPr>
        <w:t>Latency</w:t>
      </w:r>
      <w:proofErr w:type="spellEnd"/>
      <w:r>
        <w:rPr>
          <w:sz w:val="24"/>
          <w:szCs w:val="24"/>
        </w:rPr>
        <w:t>) - 150 ms,</w:t>
      </w:r>
    </w:p>
    <w:p w14:paraId="11B8B838" w14:textId="77777777" w:rsidR="00D65080" w:rsidRDefault="006776D8">
      <w:pPr>
        <w:pStyle w:val="Akapitzlist"/>
        <w:numPr>
          <w:ilvl w:val="0"/>
          <w:numId w:val="14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 xml:space="preserve">utrata pakietów (ang. </w:t>
      </w:r>
      <w:proofErr w:type="spellStart"/>
      <w:r>
        <w:rPr>
          <w:sz w:val="24"/>
          <w:szCs w:val="24"/>
        </w:rPr>
        <w:t>Packet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loss</w:t>
      </w:r>
      <w:proofErr w:type="spellEnd"/>
      <w:r>
        <w:rPr>
          <w:sz w:val="24"/>
          <w:szCs w:val="24"/>
        </w:rPr>
        <w:t>) - 0,03%.</w:t>
      </w:r>
    </w:p>
    <w:p w14:paraId="76800685" w14:textId="77777777" w:rsidR="00D65080" w:rsidRDefault="006776D8">
      <w:pPr>
        <w:pStyle w:val="Akapitzlist"/>
        <w:numPr>
          <w:ilvl w:val="0"/>
          <w:numId w:val="13"/>
        </w:numPr>
        <w:spacing w:before="100" w:after="100"/>
      </w:pPr>
      <w:r>
        <w:rPr>
          <w:sz w:val="24"/>
          <w:szCs w:val="24"/>
        </w:rPr>
        <w:t xml:space="preserve">Sieci NGA muszą spełniać wymagania jakościowe w zakresie opóźnienia, zmienności opóźnienia i utraty pakietów, co najmniej na poziomie określonym w </w:t>
      </w:r>
      <w:proofErr w:type="spellStart"/>
      <w:r>
        <w:rPr>
          <w:sz w:val="24"/>
          <w:szCs w:val="24"/>
        </w:rPr>
        <w:t>Implementation</w:t>
      </w:r>
      <w:proofErr w:type="spellEnd"/>
      <w:r>
        <w:rPr>
          <w:sz w:val="24"/>
          <w:szCs w:val="24"/>
        </w:rPr>
        <w:t xml:space="preserve"> Agreement MEF 23.1 Carrier Ethernet Class of Service - </w:t>
      </w:r>
      <w:proofErr w:type="spellStart"/>
      <w:r>
        <w:rPr>
          <w:sz w:val="24"/>
          <w:szCs w:val="24"/>
        </w:rPr>
        <w:t>Phase</w:t>
      </w:r>
      <w:proofErr w:type="spellEnd"/>
      <w:r>
        <w:rPr>
          <w:sz w:val="24"/>
          <w:szCs w:val="24"/>
        </w:rPr>
        <w:t xml:space="preserve"> 2 dla następujących usług:</w:t>
      </w:r>
    </w:p>
    <w:p w14:paraId="288715C7" w14:textId="77777777" w:rsidR="00D65080" w:rsidRDefault="006776D8">
      <w:pPr>
        <w:pStyle w:val="Akapitzlist"/>
        <w:numPr>
          <w:ilvl w:val="0"/>
          <w:numId w:val="15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VoIP,</w:t>
      </w:r>
    </w:p>
    <w:p w14:paraId="615B37B3" w14:textId="77777777" w:rsidR="00D65080" w:rsidRDefault="006776D8">
      <w:pPr>
        <w:pStyle w:val="Akapitzlist"/>
        <w:numPr>
          <w:ilvl w:val="0"/>
          <w:numId w:val="15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interaktywne video,</w:t>
      </w:r>
    </w:p>
    <w:p w14:paraId="0374C804" w14:textId="77777777" w:rsidR="00D65080" w:rsidRDefault="006776D8">
      <w:pPr>
        <w:pStyle w:val="Akapitzlist"/>
        <w:numPr>
          <w:ilvl w:val="0"/>
          <w:numId w:val="15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video jakości HD,</w:t>
      </w:r>
    </w:p>
    <w:p w14:paraId="3229E9D7" w14:textId="77777777" w:rsidR="00D65080" w:rsidRDefault="006776D8">
      <w:pPr>
        <w:pStyle w:val="Akapitzlist"/>
        <w:numPr>
          <w:ilvl w:val="0"/>
          <w:numId w:val="15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streaming audio/video,</w:t>
      </w:r>
    </w:p>
    <w:p w14:paraId="0CFCB347" w14:textId="77777777" w:rsidR="00D65080" w:rsidRDefault="006776D8">
      <w:pPr>
        <w:pStyle w:val="Akapitzlist"/>
        <w:numPr>
          <w:ilvl w:val="0"/>
          <w:numId w:val="15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lastRenderedPageBreak/>
        <w:t>transakcje interaktywne,</w:t>
      </w:r>
    </w:p>
    <w:p w14:paraId="557659EC" w14:textId="77777777" w:rsidR="00D65080" w:rsidRDefault="006776D8">
      <w:pPr>
        <w:pStyle w:val="Akapitzlist"/>
        <w:numPr>
          <w:ilvl w:val="0"/>
          <w:numId w:val="15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dostęp do baz danych w modelu Abonent - serwer.</w:t>
      </w:r>
    </w:p>
    <w:p w14:paraId="3864963D" w14:textId="77777777" w:rsidR="00D65080" w:rsidRDefault="006776D8">
      <w:pPr>
        <w:pStyle w:val="Akapitzlist"/>
        <w:numPr>
          <w:ilvl w:val="0"/>
          <w:numId w:val="13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Usługi realizowane w oparciu o sieć NGA:</w:t>
      </w:r>
    </w:p>
    <w:p w14:paraId="05E48465" w14:textId="77777777" w:rsidR="00D65080" w:rsidRDefault="006776D8">
      <w:pPr>
        <w:pStyle w:val="Akapitzlist"/>
        <w:numPr>
          <w:ilvl w:val="0"/>
          <w:numId w:val="16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nie są ograniczane do określonego limitu transferu danych,</w:t>
      </w:r>
    </w:p>
    <w:p w14:paraId="2AB7CF30" w14:textId="77777777" w:rsidR="00D65080" w:rsidRDefault="006776D8">
      <w:pPr>
        <w:pStyle w:val="Akapitzlist"/>
        <w:numPr>
          <w:ilvl w:val="0"/>
          <w:numId w:val="16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opierają się na zasadzie neutralności Internetu, tj. gwarantują użytkownikom dostęp do otwartego i wolnego Internetu, w którym będą mogli w sposób nieskrępowany korzystać z wybranych przez siebie usług, treści i aplikacji,</w:t>
      </w:r>
    </w:p>
    <w:p w14:paraId="68943CA0" w14:textId="77777777" w:rsidR="00D65080" w:rsidRDefault="006776D8">
      <w:pPr>
        <w:pStyle w:val="Akapitzlist"/>
        <w:numPr>
          <w:ilvl w:val="0"/>
          <w:numId w:val="16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nie są ograniczane w zakresie dostępności do usług świadczonych przez innych dostawców usług,</w:t>
      </w:r>
    </w:p>
    <w:p w14:paraId="19E6BE50" w14:textId="77777777" w:rsidR="00D65080" w:rsidRDefault="006776D8">
      <w:pPr>
        <w:pStyle w:val="Akapitzlist"/>
        <w:numPr>
          <w:ilvl w:val="0"/>
          <w:numId w:val="16"/>
        </w:numPr>
        <w:spacing w:before="100" w:after="100"/>
      </w:pPr>
      <w:r>
        <w:rPr>
          <w:sz w:val="24"/>
          <w:szCs w:val="24"/>
        </w:rPr>
        <w:t xml:space="preserve">używają wyłącznie adresacji IP przypisanych do zbiorów zakresów adresacji IP zarejestrowanych w Polsce oraz używają punktów styku do sieci Internet w Polsce. </w:t>
      </w:r>
    </w:p>
    <w:p w14:paraId="441FC407" w14:textId="77777777" w:rsidR="00D65080" w:rsidRDefault="006776D8">
      <w:pPr>
        <w:spacing w:before="100" w:after="100"/>
        <w:rPr>
          <w:b/>
          <w:sz w:val="24"/>
          <w:szCs w:val="24"/>
        </w:rPr>
      </w:pPr>
      <w:r>
        <w:rPr>
          <w:b/>
          <w:sz w:val="24"/>
          <w:szCs w:val="24"/>
        </w:rPr>
        <w:t>Do listy białych obszarów NGA zostały zaliczone adresy budynków, w których:</w:t>
      </w:r>
    </w:p>
    <w:p w14:paraId="11B00687" w14:textId="77777777" w:rsidR="00D65080" w:rsidRDefault="006776D8">
      <w:pPr>
        <w:pStyle w:val="Akapitzlist"/>
        <w:numPr>
          <w:ilvl w:val="0"/>
          <w:numId w:val="17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podczas inwentaryzacji Prezesa UKE przeprowadzonej w 2020 roku:</w:t>
      </w:r>
    </w:p>
    <w:p w14:paraId="28F7358C" w14:textId="77777777" w:rsidR="00D65080" w:rsidRDefault="006776D8">
      <w:pPr>
        <w:pStyle w:val="Akapitzlist"/>
        <w:numPr>
          <w:ilvl w:val="0"/>
          <w:numId w:val="18"/>
        </w:numPr>
        <w:autoSpaceDE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nie wykazano zasięgów światłowodowych w technologiach dostępowych:</w:t>
      </w:r>
    </w:p>
    <w:p w14:paraId="2ECE00CB" w14:textId="77777777" w:rsidR="00D65080" w:rsidRDefault="006776D8">
      <w:pPr>
        <w:pStyle w:val="Akapitzlist"/>
        <w:numPr>
          <w:ilvl w:val="0"/>
          <w:numId w:val="19"/>
        </w:numPr>
        <w:autoSpaceDE w:val="0"/>
        <w:spacing w:after="0" w:line="240" w:lineRule="auto"/>
        <w:rPr>
          <w:rFonts w:cs="TimesNewRomanPSMT"/>
          <w:sz w:val="24"/>
          <w:szCs w:val="24"/>
          <w:lang w:val="en-US"/>
        </w:rPr>
      </w:pPr>
      <w:r>
        <w:rPr>
          <w:rFonts w:cs="TimesNewRomanPSMT"/>
          <w:sz w:val="24"/>
          <w:szCs w:val="24"/>
          <w:lang w:val="en-US"/>
        </w:rPr>
        <w:t>10 Mb/s Ethernet</w:t>
      </w:r>
    </w:p>
    <w:p w14:paraId="300149C8" w14:textId="77777777" w:rsidR="00D65080" w:rsidRDefault="006776D8">
      <w:pPr>
        <w:pStyle w:val="Akapitzlist"/>
        <w:numPr>
          <w:ilvl w:val="0"/>
          <w:numId w:val="19"/>
        </w:numPr>
        <w:autoSpaceDE w:val="0"/>
        <w:spacing w:after="0" w:line="240" w:lineRule="auto"/>
        <w:rPr>
          <w:rFonts w:cs="TimesNewRomanPSMT"/>
          <w:sz w:val="24"/>
          <w:szCs w:val="24"/>
          <w:lang w:val="en-US"/>
        </w:rPr>
      </w:pPr>
      <w:r>
        <w:rPr>
          <w:rFonts w:cs="TimesNewRomanPSMT"/>
          <w:sz w:val="24"/>
          <w:szCs w:val="24"/>
          <w:lang w:val="en-US"/>
        </w:rPr>
        <w:t>100 Mb/s Fast Ethernet</w:t>
      </w:r>
    </w:p>
    <w:p w14:paraId="3C7855EC" w14:textId="77777777" w:rsidR="00D65080" w:rsidRDefault="006776D8">
      <w:pPr>
        <w:pStyle w:val="Akapitzlist"/>
        <w:numPr>
          <w:ilvl w:val="0"/>
          <w:numId w:val="19"/>
        </w:numPr>
        <w:autoSpaceDE w:val="0"/>
        <w:spacing w:after="0" w:line="240" w:lineRule="auto"/>
        <w:rPr>
          <w:rFonts w:cs="TimesNewRomanPSMT"/>
          <w:sz w:val="24"/>
          <w:szCs w:val="24"/>
          <w:lang w:val="en-US"/>
        </w:rPr>
      </w:pPr>
      <w:r>
        <w:rPr>
          <w:rFonts w:cs="TimesNewRomanPSMT"/>
          <w:sz w:val="24"/>
          <w:szCs w:val="24"/>
          <w:lang w:val="en-US"/>
        </w:rPr>
        <w:t>1 Gigabit Ethernet</w:t>
      </w:r>
    </w:p>
    <w:p w14:paraId="6F851786" w14:textId="77777777" w:rsidR="00D65080" w:rsidRDefault="006776D8">
      <w:pPr>
        <w:pStyle w:val="Akapitzlist"/>
        <w:numPr>
          <w:ilvl w:val="0"/>
          <w:numId w:val="19"/>
        </w:numPr>
        <w:autoSpaceDE w:val="0"/>
        <w:spacing w:after="0" w:line="240" w:lineRule="auto"/>
        <w:rPr>
          <w:rFonts w:cs="TimesNewRomanPSMT"/>
          <w:sz w:val="24"/>
          <w:szCs w:val="24"/>
          <w:lang w:val="en-US"/>
        </w:rPr>
      </w:pPr>
      <w:r>
        <w:rPr>
          <w:rFonts w:cs="TimesNewRomanPSMT"/>
          <w:sz w:val="24"/>
          <w:szCs w:val="24"/>
          <w:lang w:val="en-US"/>
        </w:rPr>
        <w:t>10 Gigabit Ethernet</w:t>
      </w:r>
    </w:p>
    <w:p w14:paraId="5FE452E2" w14:textId="77777777" w:rsidR="00D65080" w:rsidRDefault="006776D8">
      <w:pPr>
        <w:pStyle w:val="Akapitzlist"/>
        <w:numPr>
          <w:ilvl w:val="0"/>
          <w:numId w:val="19"/>
        </w:numPr>
        <w:autoSpaceDE w:val="0"/>
        <w:spacing w:after="0" w:line="240" w:lineRule="auto"/>
        <w:rPr>
          <w:rFonts w:cs="TimesNewRomanPSMT"/>
          <w:sz w:val="24"/>
          <w:szCs w:val="24"/>
          <w:lang w:val="en-US"/>
        </w:rPr>
      </w:pPr>
      <w:r>
        <w:rPr>
          <w:rFonts w:cs="TimesNewRomanPSMT"/>
          <w:sz w:val="24"/>
          <w:szCs w:val="24"/>
          <w:lang w:val="en-US"/>
        </w:rPr>
        <w:t>40 Gigabit Ethernet</w:t>
      </w:r>
    </w:p>
    <w:p w14:paraId="554C94D2" w14:textId="77777777" w:rsidR="00D65080" w:rsidRDefault="006776D8">
      <w:pPr>
        <w:pStyle w:val="Akapitzlist"/>
        <w:numPr>
          <w:ilvl w:val="0"/>
          <w:numId w:val="19"/>
        </w:numPr>
        <w:autoSpaceDE w:val="0"/>
        <w:spacing w:after="0" w:line="240" w:lineRule="auto"/>
        <w:rPr>
          <w:rFonts w:cs="TimesNewRomanPSMT"/>
          <w:sz w:val="24"/>
          <w:szCs w:val="24"/>
          <w:lang w:val="en-US"/>
        </w:rPr>
      </w:pPr>
      <w:r>
        <w:rPr>
          <w:rFonts w:cs="TimesNewRomanPSMT"/>
          <w:sz w:val="24"/>
          <w:szCs w:val="24"/>
          <w:lang w:val="en-US"/>
        </w:rPr>
        <w:t>100 Gigabit Ethernet</w:t>
      </w:r>
    </w:p>
    <w:p w14:paraId="75F62BA1" w14:textId="77777777" w:rsidR="00D65080" w:rsidRDefault="006776D8">
      <w:pPr>
        <w:pStyle w:val="Akapitzlist"/>
        <w:numPr>
          <w:ilvl w:val="0"/>
          <w:numId w:val="19"/>
        </w:numPr>
        <w:autoSpaceDE w:val="0"/>
        <w:spacing w:after="0" w:line="240" w:lineRule="auto"/>
        <w:rPr>
          <w:rFonts w:cs="TimesNewRomanPSMT"/>
          <w:sz w:val="24"/>
          <w:szCs w:val="24"/>
          <w:lang w:val="en-US"/>
        </w:rPr>
      </w:pPr>
      <w:r>
        <w:rPr>
          <w:rFonts w:cs="TimesNewRomanPSMT"/>
          <w:sz w:val="24"/>
          <w:szCs w:val="24"/>
          <w:lang w:val="en-US"/>
        </w:rPr>
        <w:t>GPON</w:t>
      </w:r>
    </w:p>
    <w:p w14:paraId="7FF4BC8A" w14:textId="77777777" w:rsidR="00D65080" w:rsidRDefault="006776D8">
      <w:pPr>
        <w:pStyle w:val="Akapitzlist"/>
        <w:numPr>
          <w:ilvl w:val="0"/>
          <w:numId w:val="19"/>
        </w:numPr>
        <w:autoSpaceDE w:val="0"/>
        <w:spacing w:after="0" w:line="240" w:lineRule="auto"/>
        <w:rPr>
          <w:rFonts w:cs="TimesNewRomanPSMT"/>
          <w:sz w:val="24"/>
          <w:szCs w:val="24"/>
          <w:lang w:val="en-US"/>
        </w:rPr>
      </w:pPr>
      <w:r>
        <w:rPr>
          <w:rFonts w:cs="TimesNewRomanPSMT"/>
          <w:sz w:val="24"/>
          <w:szCs w:val="24"/>
          <w:lang w:val="en-US"/>
        </w:rPr>
        <w:t>EPON</w:t>
      </w:r>
    </w:p>
    <w:p w14:paraId="6AF2007A" w14:textId="77777777" w:rsidR="00D65080" w:rsidRDefault="006776D8">
      <w:pPr>
        <w:pStyle w:val="Akapitzlist"/>
        <w:numPr>
          <w:ilvl w:val="0"/>
          <w:numId w:val="19"/>
        </w:numPr>
        <w:autoSpaceDE w:val="0"/>
        <w:spacing w:after="0" w:line="240" w:lineRule="auto"/>
        <w:rPr>
          <w:rFonts w:cs="TimesNewRomanPSMT"/>
          <w:sz w:val="24"/>
          <w:szCs w:val="24"/>
          <w:lang w:val="en-US"/>
        </w:rPr>
      </w:pPr>
      <w:r>
        <w:rPr>
          <w:rFonts w:cs="TimesNewRomanPSMT"/>
          <w:sz w:val="24"/>
          <w:szCs w:val="24"/>
          <w:lang w:val="en-US"/>
        </w:rPr>
        <w:t>DWDM</w:t>
      </w:r>
    </w:p>
    <w:p w14:paraId="61093C62" w14:textId="77777777" w:rsidR="00D65080" w:rsidRDefault="006776D8">
      <w:pPr>
        <w:pStyle w:val="Akapitzlist"/>
        <w:numPr>
          <w:ilvl w:val="0"/>
          <w:numId w:val="19"/>
        </w:numPr>
        <w:autoSpaceDE w:val="0"/>
        <w:spacing w:after="0" w:line="240" w:lineRule="auto"/>
        <w:rPr>
          <w:rFonts w:cs="TimesNewRomanPSMT"/>
          <w:sz w:val="24"/>
          <w:szCs w:val="24"/>
          <w:lang w:val="en-US"/>
        </w:rPr>
      </w:pPr>
      <w:r>
        <w:rPr>
          <w:rFonts w:cs="TimesNewRomanPSMT"/>
          <w:sz w:val="24"/>
          <w:szCs w:val="24"/>
          <w:lang w:val="en-US"/>
        </w:rPr>
        <w:t>CWDM</w:t>
      </w:r>
    </w:p>
    <w:p w14:paraId="3A5E6361" w14:textId="77777777" w:rsidR="00D65080" w:rsidRDefault="006776D8">
      <w:pPr>
        <w:pStyle w:val="Akapitzlist"/>
        <w:numPr>
          <w:ilvl w:val="0"/>
          <w:numId w:val="19"/>
        </w:numPr>
        <w:autoSpaceDE w:val="0"/>
        <w:spacing w:after="0" w:line="240" w:lineRule="auto"/>
        <w:rPr>
          <w:rFonts w:cs="TimesNewRomanPSMT"/>
          <w:sz w:val="24"/>
          <w:szCs w:val="24"/>
          <w:lang w:val="en-US"/>
        </w:rPr>
      </w:pPr>
      <w:r>
        <w:rPr>
          <w:rFonts w:cs="TimesNewRomanPSMT"/>
          <w:sz w:val="24"/>
          <w:szCs w:val="24"/>
          <w:lang w:val="en-US"/>
        </w:rPr>
        <w:t>SDH</w:t>
      </w:r>
    </w:p>
    <w:p w14:paraId="521749AB" w14:textId="77777777" w:rsidR="00D65080" w:rsidRDefault="006776D8">
      <w:pPr>
        <w:pStyle w:val="Akapitzlist"/>
        <w:numPr>
          <w:ilvl w:val="0"/>
          <w:numId w:val="19"/>
        </w:numPr>
        <w:autoSpaceDE w:val="0"/>
        <w:spacing w:after="0" w:line="240" w:lineRule="auto"/>
        <w:rPr>
          <w:rFonts w:cs="TimesNewRomanPSMT"/>
          <w:sz w:val="24"/>
          <w:szCs w:val="24"/>
          <w:lang w:val="en-US"/>
        </w:rPr>
      </w:pPr>
      <w:r>
        <w:rPr>
          <w:rFonts w:cs="TimesNewRomanPSMT"/>
          <w:sz w:val="24"/>
          <w:szCs w:val="24"/>
          <w:lang w:val="en-US"/>
        </w:rPr>
        <w:t>FTTB</w:t>
      </w:r>
    </w:p>
    <w:p w14:paraId="6271FF42" w14:textId="77777777" w:rsidR="00D65080" w:rsidRDefault="006776D8">
      <w:pPr>
        <w:pStyle w:val="Akapitzlist"/>
        <w:numPr>
          <w:ilvl w:val="0"/>
          <w:numId w:val="19"/>
        </w:numPr>
        <w:autoSpaceDE w:val="0"/>
        <w:spacing w:after="0" w:line="240" w:lineRule="auto"/>
        <w:rPr>
          <w:rFonts w:cs="TimesNewRomanPSMT"/>
          <w:sz w:val="24"/>
          <w:szCs w:val="24"/>
          <w:lang w:val="en-US"/>
        </w:rPr>
      </w:pPr>
      <w:r>
        <w:rPr>
          <w:rFonts w:cs="TimesNewRomanPSMT"/>
          <w:sz w:val="24"/>
          <w:szCs w:val="24"/>
          <w:lang w:val="en-US"/>
        </w:rPr>
        <w:t>FTTC</w:t>
      </w:r>
    </w:p>
    <w:p w14:paraId="4A5A7485" w14:textId="77777777" w:rsidR="00D65080" w:rsidRDefault="006776D8">
      <w:pPr>
        <w:pStyle w:val="Akapitzlist"/>
        <w:numPr>
          <w:ilvl w:val="0"/>
          <w:numId w:val="19"/>
        </w:numPr>
        <w:autoSpaceDE w:val="0"/>
        <w:spacing w:after="0" w:line="240" w:lineRule="auto"/>
        <w:rPr>
          <w:rFonts w:cs="TimesNewRomanPSMT"/>
          <w:sz w:val="24"/>
          <w:szCs w:val="24"/>
          <w:lang w:val="en-US"/>
        </w:rPr>
      </w:pPr>
      <w:r>
        <w:rPr>
          <w:rFonts w:cs="TimesNewRomanPSMT"/>
          <w:sz w:val="24"/>
          <w:szCs w:val="24"/>
          <w:lang w:val="en-US"/>
        </w:rPr>
        <w:t>FTTH</w:t>
      </w:r>
    </w:p>
    <w:p w14:paraId="0B350197" w14:textId="429F8A4C" w:rsidR="00D65080" w:rsidRDefault="006776D8">
      <w:pPr>
        <w:pStyle w:val="Akapitzlist"/>
        <w:numPr>
          <w:ilvl w:val="0"/>
          <w:numId w:val="19"/>
        </w:numPr>
        <w:autoSpaceDE w:val="0"/>
        <w:spacing w:after="0" w:line="240" w:lineRule="auto"/>
        <w:rPr>
          <w:rFonts w:cs="TimesNewRomanPSMT"/>
          <w:sz w:val="24"/>
          <w:szCs w:val="24"/>
          <w:lang w:val="en-US"/>
        </w:rPr>
      </w:pPr>
      <w:r>
        <w:rPr>
          <w:rFonts w:cs="TimesNewRomanPSMT"/>
          <w:sz w:val="24"/>
          <w:szCs w:val="24"/>
          <w:lang w:val="en-US"/>
        </w:rPr>
        <w:t>(EURO)DOCSIS 3.x.;</w:t>
      </w:r>
    </w:p>
    <w:p w14:paraId="0B8AA738" w14:textId="77777777" w:rsidR="00D65080" w:rsidRDefault="006776D8">
      <w:pPr>
        <w:pStyle w:val="Akapitzlist"/>
        <w:keepNext/>
        <w:numPr>
          <w:ilvl w:val="0"/>
          <w:numId w:val="18"/>
        </w:numPr>
        <w:autoSpaceDE w:val="0"/>
        <w:spacing w:after="0" w:line="240" w:lineRule="auto"/>
        <w:ind w:hanging="357"/>
      </w:pPr>
      <w:r>
        <w:rPr>
          <w:rFonts w:cs="TimesNewRomanPSMT"/>
          <w:sz w:val="24"/>
          <w:szCs w:val="24"/>
        </w:rPr>
        <w:t xml:space="preserve">nie wykazano zasięgów miedzianych parowych w technologiach dostępowych (z przepustowością minimum 30 </w:t>
      </w:r>
      <w:proofErr w:type="spellStart"/>
      <w:r>
        <w:rPr>
          <w:rFonts w:cs="TimesNewRomanPSMT"/>
          <w:sz w:val="24"/>
          <w:szCs w:val="24"/>
        </w:rPr>
        <w:t>Mb</w:t>
      </w:r>
      <w:proofErr w:type="spellEnd"/>
      <w:r>
        <w:rPr>
          <w:rFonts w:cs="TimesNewRomanPSMT"/>
          <w:sz w:val="24"/>
          <w:szCs w:val="24"/>
        </w:rPr>
        <w:t>/s):</w:t>
      </w:r>
    </w:p>
    <w:p w14:paraId="613DCD02" w14:textId="77777777" w:rsidR="00D65080" w:rsidRDefault="006776D8">
      <w:pPr>
        <w:pStyle w:val="Akapitzlist"/>
        <w:numPr>
          <w:ilvl w:val="0"/>
          <w:numId w:val="19"/>
        </w:numPr>
        <w:autoSpaceDE w:val="0"/>
        <w:spacing w:after="0" w:line="240" w:lineRule="auto"/>
        <w:rPr>
          <w:rFonts w:cs="TimesNewRomanPSMT"/>
          <w:sz w:val="24"/>
          <w:szCs w:val="24"/>
          <w:lang w:val="en-US"/>
        </w:rPr>
      </w:pPr>
      <w:r>
        <w:rPr>
          <w:rFonts w:cs="TimesNewRomanPSMT"/>
          <w:sz w:val="24"/>
          <w:szCs w:val="24"/>
          <w:lang w:val="en-US"/>
        </w:rPr>
        <w:t>100 Mb/s Fast Ethernet</w:t>
      </w:r>
    </w:p>
    <w:p w14:paraId="1AEEB260" w14:textId="77777777" w:rsidR="00D65080" w:rsidRDefault="006776D8">
      <w:pPr>
        <w:pStyle w:val="Akapitzlist"/>
        <w:numPr>
          <w:ilvl w:val="0"/>
          <w:numId w:val="19"/>
        </w:numPr>
        <w:autoSpaceDE w:val="0"/>
        <w:spacing w:after="0" w:line="240" w:lineRule="auto"/>
        <w:rPr>
          <w:rFonts w:cs="TimesNewRomanPSMT"/>
          <w:sz w:val="24"/>
          <w:szCs w:val="24"/>
          <w:lang w:val="en-US"/>
        </w:rPr>
      </w:pPr>
      <w:r>
        <w:rPr>
          <w:rFonts w:cs="TimesNewRomanPSMT"/>
          <w:sz w:val="24"/>
          <w:szCs w:val="24"/>
          <w:lang w:val="en-US"/>
        </w:rPr>
        <w:t>1 Gigabit Ethernet</w:t>
      </w:r>
    </w:p>
    <w:p w14:paraId="523DCEE3" w14:textId="77777777" w:rsidR="00D65080" w:rsidRDefault="006776D8">
      <w:pPr>
        <w:pStyle w:val="Akapitzlist"/>
        <w:numPr>
          <w:ilvl w:val="0"/>
          <w:numId w:val="19"/>
        </w:numPr>
        <w:autoSpaceDE w:val="0"/>
        <w:spacing w:after="0" w:line="240" w:lineRule="auto"/>
        <w:rPr>
          <w:rFonts w:cs="TimesNewRomanPSMT"/>
          <w:sz w:val="24"/>
          <w:szCs w:val="24"/>
          <w:lang w:val="en-US"/>
        </w:rPr>
      </w:pPr>
      <w:r>
        <w:rPr>
          <w:rFonts w:cs="TimesNewRomanPSMT"/>
          <w:sz w:val="24"/>
          <w:szCs w:val="24"/>
          <w:lang w:val="en-US"/>
        </w:rPr>
        <w:t>10 Gigabit Ethernet</w:t>
      </w:r>
    </w:p>
    <w:p w14:paraId="2836B548" w14:textId="77777777" w:rsidR="00D65080" w:rsidRDefault="006776D8">
      <w:pPr>
        <w:pStyle w:val="Akapitzlist"/>
        <w:numPr>
          <w:ilvl w:val="0"/>
          <w:numId w:val="19"/>
        </w:numPr>
        <w:autoSpaceDE w:val="0"/>
        <w:spacing w:after="0" w:line="240" w:lineRule="auto"/>
        <w:rPr>
          <w:rFonts w:cs="TimesNewRomanPSMT"/>
          <w:sz w:val="24"/>
          <w:szCs w:val="24"/>
          <w:lang w:val="en-US"/>
        </w:rPr>
      </w:pPr>
      <w:r>
        <w:rPr>
          <w:rFonts w:cs="TimesNewRomanPSMT"/>
          <w:sz w:val="24"/>
          <w:szCs w:val="24"/>
          <w:lang w:val="en-US"/>
        </w:rPr>
        <w:t>Ethernet</w:t>
      </w:r>
    </w:p>
    <w:p w14:paraId="55D54453" w14:textId="77777777" w:rsidR="00D65080" w:rsidRDefault="006776D8">
      <w:pPr>
        <w:pStyle w:val="Akapitzlist"/>
        <w:numPr>
          <w:ilvl w:val="0"/>
          <w:numId w:val="19"/>
        </w:numPr>
        <w:autoSpaceDE w:val="0"/>
        <w:spacing w:after="0" w:line="240" w:lineRule="auto"/>
        <w:rPr>
          <w:rFonts w:cs="TimesNewRomanPSMT"/>
          <w:sz w:val="24"/>
          <w:szCs w:val="24"/>
          <w:lang w:val="en-US"/>
        </w:rPr>
      </w:pPr>
      <w:r>
        <w:rPr>
          <w:rFonts w:cs="TimesNewRomanPSMT"/>
          <w:sz w:val="24"/>
          <w:szCs w:val="24"/>
          <w:lang w:val="en-US"/>
        </w:rPr>
        <w:t>VDSL2</w:t>
      </w:r>
    </w:p>
    <w:p w14:paraId="71AB14B1" w14:textId="77777777" w:rsidR="00D65080" w:rsidRDefault="006776D8">
      <w:pPr>
        <w:pStyle w:val="Akapitzlist"/>
        <w:numPr>
          <w:ilvl w:val="0"/>
          <w:numId w:val="19"/>
        </w:numPr>
        <w:autoSpaceDE w:val="0"/>
        <w:spacing w:after="0" w:line="240" w:lineRule="auto"/>
        <w:rPr>
          <w:rFonts w:cs="TimesNewRomanPSMT"/>
          <w:sz w:val="24"/>
          <w:szCs w:val="24"/>
          <w:lang w:val="en-US"/>
        </w:rPr>
      </w:pPr>
      <w:r>
        <w:rPr>
          <w:rFonts w:cs="TimesNewRomanPSMT"/>
          <w:sz w:val="24"/>
          <w:szCs w:val="24"/>
          <w:lang w:val="en-US"/>
        </w:rPr>
        <w:t>VDSL</w:t>
      </w:r>
    </w:p>
    <w:p w14:paraId="4B45C3C2" w14:textId="77777777" w:rsidR="00D65080" w:rsidRDefault="006776D8">
      <w:pPr>
        <w:pStyle w:val="Akapitzlist"/>
        <w:numPr>
          <w:ilvl w:val="0"/>
          <w:numId w:val="18"/>
        </w:numPr>
        <w:autoSpaceDE w:val="0"/>
        <w:spacing w:after="0" w:line="240" w:lineRule="auto"/>
      </w:pPr>
      <w:r>
        <w:rPr>
          <w:rFonts w:cs="TimesNewRomanPSMT"/>
          <w:sz w:val="24"/>
          <w:szCs w:val="24"/>
        </w:rPr>
        <w:t xml:space="preserve">nie wykazano zasięgów miedzianych współosiowych w technologiach dostępowych (z przepustowością minimum 30 </w:t>
      </w:r>
      <w:proofErr w:type="spellStart"/>
      <w:r>
        <w:rPr>
          <w:rFonts w:cs="TimesNewRomanPSMT"/>
          <w:sz w:val="24"/>
          <w:szCs w:val="24"/>
        </w:rPr>
        <w:t>Mb</w:t>
      </w:r>
      <w:proofErr w:type="spellEnd"/>
      <w:r>
        <w:rPr>
          <w:rFonts w:cs="TimesNewRomanPSMT"/>
          <w:sz w:val="24"/>
          <w:szCs w:val="24"/>
        </w:rPr>
        <w:t>/s):</w:t>
      </w:r>
    </w:p>
    <w:p w14:paraId="4E73D440" w14:textId="77777777" w:rsidR="00D65080" w:rsidRDefault="006776D8">
      <w:pPr>
        <w:pStyle w:val="Akapitzlist"/>
        <w:numPr>
          <w:ilvl w:val="0"/>
          <w:numId w:val="19"/>
        </w:numPr>
        <w:autoSpaceDE w:val="0"/>
        <w:spacing w:after="0" w:line="240" w:lineRule="auto"/>
        <w:rPr>
          <w:rFonts w:cs="TimesNewRomanPSMT"/>
          <w:sz w:val="24"/>
          <w:szCs w:val="24"/>
          <w:lang w:val="en-US"/>
        </w:rPr>
      </w:pPr>
      <w:r>
        <w:rPr>
          <w:rFonts w:cs="TimesNewRomanPSMT"/>
          <w:sz w:val="24"/>
          <w:szCs w:val="24"/>
          <w:lang w:val="en-US"/>
        </w:rPr>
        <w:t>HFC</w:t>
      </w:r>
    </w:p>
    <w:p w14:paraId="4CA26EDF" w14:textId="77777777" w:rsidR="00D65080" w:rsidRDefault="006776D8">
      <w:pPr>
        <w:pStyle w:val="Akapitzlist"/>
        <w:numPr>
          <w:ilvl w:val="0"/>
          <w:numId w:val="19"/>
        </w:numPr>
        <w:autoSpaceDE w:val="0"/>
        <w:spacing w:after="0" w:line="240" w:lineRule="auto"/>
        <w:rPr>
          <w:rFonts w:cs="TimesNewRomanPSMT"/>
          <w:sz w:val="24"/>
          <w:szCs w:val="24"/>
          <w:lang w:val="en-US"/>
        </w:rPr>
      </w:pPr>
      <w:r>
        <w:rPr>
          <w:rFonts w:cs="TimesNewRomanPSMT"/>
          <w:sz w:val="24"/>
          <w:szCs w:val="24"/>
          <w:lang w:val="en-US"/>
        </w:rPr>
        <w:t>100 Mb/s Fast Ethernet</w:t>
      </w:r>
    </w:p>
    <w:p w14:paraId="0E842FC4" w14:textId="7D8955EE" w:rsidR="00D65080" w:rsidRDefault="006776D8">
      <w:pPr>
        <w:pStyle w:val="Akapitzlist"/>
        <w:numPr>
          <w:ilvl w:val="0"/>
          <w:numId w:val="19"/>
        </w:numPr>
        <w:autoSpaceDE w:val="0"/>
        <w:spacing w:after="0" w:line="240" w:lineRule="auto"/>
        <w:rPr>
          <w:rFonts w:cs="TimesNewRomanPSMT"/>
          <w:sz w:val="24"/>
          <w:szCs w:val="24"/>
          <w:lang w:val="en-US"/>
        </w:rPr>
      </w:pPr>
      <w:r>
        <w:rPr>
          <w:rFonts w:cs="TimesNewRomanPSMT"/>
          <w:sz w:val="24"/>
          <w:szCs w:val="24"/>
          <w:lang w:val="en-US"/>
        </w:rPr>
        <w:t>(EURO)DOCSIS 3.x.;</w:t>
      </w:r>
    </w:p>
    <w:p w14:paraId="00292203" w14:textId="77777777" w:rsidR="00D65080" w:rsidRDefault="006776D8">
      <w:pPr>
        <w:pStyle w:val="Akapitzlist"/>
        <w:numPr>
          <w:ilvl w:val="0"/>
          <w:numId w:val="18"/>
        </w:numPr>
        <w:autoSpaceDE w:val="0"/>
        <w:spacing w:after="0" w:line="240" w:lineRule="auto"/>
      </w:pPr>
      <w:r>
        <w:rPr>
          <w:rFonts w:cs="TimesNewRomanPSMT"/>
          <w:sz w:val="24"/>
          <w:szCs w:val="24"/>
        </w:rPr>
        <w:lastRenderedPageBreak/>
        <w:t xml:space="preserve">nie wykazano usług radiowych w technologiach dostępowych, dla których przepustowość na użytkownika końcowego stacjonarnego szerokopasmowego dostępu do Internetu wynosi minimum 30 </w:t>
      </w:r>
      <w:proofErr w:type="spellStart"/>
      <w:r>
        <w:rPr>
          <w:rFonts w:cs="TimesNewRomanPSMT"/>
          <w:sz w:val="24"/>
          <w:szCs w:val="24"/>
        </w:rPr>
        <w:t>Mb</w:t>
      </w:r>
      <w:proofErr w:type="spellEnd"/>
      <w:r>
        <w:rPr>
          <w:rFonts w:cs="TimesNewRomanPSMT"/>
          <w:sz w:val="24"/>
          <w:szCs w:val="24"/>
        </w:rPr>
        <w:t>/s;</w:t>
      </w:r>
    </w:p>
    <w:p w14:paraId="450A7C38" w14:textId="77777777" w:rsidR="00D65080" w:rsidRDefault="006776D8">
      <w:pPr>
        <w:pStyle w:val="Akapitzlist"/>
        <w:numPr>
          <w:ilvl w:val="0"/>
          <w:numId w:val="17"/>
        </w:numPr>
        <w:spacing w:before="100" w:after="100"/>
      </w:pPr>
      <w:r>
        <w:rPr>
          <w:rFonts w:cs="TimesNewRomanPSMT"/>
          <w:sz w:val="24"/>
          <w:szCs w:val="24"/>
        </w:rPr>
        <w:t>nie potwierdzono realizacji wiarygodnych planów inwestycyjnych zgłoszonych w ramach konsultacji społecznych przeprowadzonych w 2016, 2017, 2018 i 2019 roku;</w:t>
      </w:r>
    </w:p>
    <w:p w14:paraId="3E4C53DA" w14:textId="1306DD21" w:rsidR="00D65080" w:rsidRDefault="006776D8" w:rsidP="006776D8">
      <w:pPr>
        <w:pStyle w:val="Akapitzlist"/>
        <w:numPr>
          <w:ilvl w:val="0"/>
          <w:numId w:val="17"/>
        </w:numPr>
        <w:spacing w:before="100" w:after="100"/>
      </w:pPr>
      <w:r w:rsidRPr="006776D8">
        <w:rPr>
          <w:rFonts w:cs="TimesNewRomanPSMT"/>
          <w:sz w:val="24"/>
          <w:szCs w:val="24"/>
        </w:rPr>
        <w:t>nie są realizowane projekty w ramach I, II, III i 2. tury III konkursu w I osi priorytetowej PO PC oraz nie stanowią obszarów interwencji w ramach IV konkursu I osi priorytetowej PO PC</w:t>
      </w:r>
      <w:r>
        <w:rPr>
          <w:rFonts w:cs="TimesNewRomanPSMT"/>
          <w:sz w:val="24"/>
          <w:szCs w:val="24"/>
        </w:rPr>
        <w:t>.</w:t>
      </w:r>
    </w:p>
    <w:p w14:paraId="11399C74" w14:textId="77777777" w:rsidR="00D65080" w:rsidRDefault="006776D8">
      <w:pPr>
        <w:pStyle w:val="Nagwek1"/>
      </w:pPr>
      <w:bookmarkStart w:id="15" w:name="_Toc14875634"/>
      <w:bookmarkEnd w:id="7"/>
      <w:r>
        <w:t>Jak mogę zgłosić swój plan inwestycyjny?</w:t>
      </w:r>
      <w:bookmarkEnd w:id="15"/>
    </w:p>
    <w:p w14:paraId="6A33C1D7" w14:textId="77777777" w:rsidR="00D65080" w:rsidRDefault="006776D8">
      <w:pPr>
        <w:spacing w:before="100" w:after="100"/>
        <w:rPr>
          <w:sz w:val="24"/>
        </w:rPr>
      </w:pPr>
      <w:r>
        <w:rPr>
          <w:sz w:val="24"/>
        </w:rPr>
        <w:t>Każdy uczestnik konsultacji może zgłosić, po zalogowaniu, plany inwestycyjne w systemie SIIS.</w:t>
      </w:r>
    </w:p>
    <w:p w14:paraId="5EA03BAE" w14:textId="77777777" w:rsidR="00D65080" w:rsidRDefault="00BD00A2">
      <w:pPr>
        <w:spacing w:before="100" w:after="100"/>
      </w:pPr>
      <w:hyperlink r:id="rId8" w:history="1">
        <w:r w:rsidR="006776D8">
          <w:rPr>
            <w:rStyle w:val="Hipercze"/>
            <w:rFonts w:ascii="Calibri" w:hAnsi="Calibri"/>
            <w:sz w:val="24"/>
            <w:szCs w:val="22"/>
            <w:shd w:val="clear" w:color="auto" w:fill="auto"/>
          </w:rPr>
          <w:t>Przejdź do formularza</w:t>
        </w:r>
      </w:hyperlink>
    </w:p>
    <w:p w14:paraId="441E759A" w14:textId="77777777" w:rsidR="00D65080" w:rsidRDefault="006776D8">
      <w:pPr>
        <w:spacing w:before="100" w:after="100"/>
        <w:rPr>
          <w:sz w:val="24"/>
        </w:rPr>
      </w:pPr>
      <w:r>
        <w:rPr>
          <w:sz w:val="24"/>
        </w:rPr>
        <w:t>Użytkownicy zarejestrowani w SIIS mogą logować się w systemie przy pomocy swojego loginu i hasła.</w:t>
      </w:r>
    </w:p>
    <w:p w14:paraId="5F92644B" w14:textId="77777777" w:rsidR="00D65080" w:rsidRDefault="006776D8">
      <w:pPr>
        <w:spacing w:after="0" w:line="240" w:lineRule="auto"/>
      </w:pPr>
      <w:bookmarkStart w:id="16" w:name="_Toc413097118"/>
      <w:bookmarkStart w:id="17" w:name="_Toc451149443"/>
      <w:r>
        <w:rPr>
          <w:rFonts w:cs="Calibri"/>
          <w:color w:val="212529"/>
          <w:sz w:val="24"/>
          <w:szCs w:val="24"/>
        </w:rPr>
        <w:t xml:space="preserve">Jeżeli nie masz dostępu do SIIS, a chcesz zgłosić plan inwestycyjny, wyślij prośbę o utworzenie konta na adres: </w:t>
      </w:r>
      <w:hyperlink r:id="rId9" w:history="1">
        <w:r>
          <w:rPr>
            <w:rFonts w:cs="Calibri"/>
            <w:color w:val="0563C1"/>
            <w:sz w:val="24"/>
            <w:szCs w:val="24"/>
            <w:u w:val="single"/>
          </w:rPr>
          <w:t>szybki-internet@mc.gov.pl</w:t>
        </w:r>
      </w:hyperlink>
      <w:r>
        <w:rPr>
          <w:rFonts w:cs="Calibri"/>
          <w:color w:val="212529"/>
          <w:sz w:val="24"/>
          <w:szCs w:val="24"/>
        </w:rPr>
        <w:t>. W treści maila należy podać:</w:t>
      </w:r>
    </w:p>
    <w:p w14:paraId="0E1E78CD" w14:textId="77777777" w:rsidR="00D65080" w:rsidRDefault="006776D8">
      <w:pPr>
        <w:pStyle w:val="Akapitzlist"/>
        <w:numPr>
          <w:ilvl w:val="0"/>
          <w:numId w:val="20"/>
        </w:numPr>
        <w:spacing w:after="0" w:line="240" w:lineRule="auto"/>
        <w:textAlignment w:val="auto"/>
        <w:rPr>
          <w:rFonts w:cs="Calibri"/>
          <w:color w:val="212529"/>
          <w:sz w:val="24"/>
          <w:szCs w:val="24"/>
        </w:rPr>
      </w:pPr>
      <w:r>
        <w:rPr>
          <w:rFonts w:cs="Calibri"/>
          <w:color w:val="212529"/>
          <w:sz w:val="24"/>
          <w:szCs w:val="24"/>
        </w:rPr>
        <w:t>Imię i nazwisko / Nazwę firmy</w:t>
      </w:r>
    </w:p>
    <w:p w14:paraId="420D04FF" w14:textId="77777777" w:rsidR="00D65080" w:rsidRDefault="006776D8">
      <w:pPr>
        <w:pStyle w:val="Akapitzlist"/>
        <w:numPr>
          <w:ilvl w:val="0"/>
          <w:numId w:val="20"/>
        </w:numPr>
        <w:spacing w:after="0" w:line="240" w:lineRule="auto"/>
        <w:textAlignment w:val="auto"/>
        <w:rPr>
          <w:rFonts w:cs="Calibri"/>
          <w:color w:val="212529"/>
          <w:sz w:val="24"/>
          <w:szCs w:val="24"/>
        </w:rPr>
      </w:pPr>
      <w:r>
        <w:rPr>
          <w:rFonts w:cs="Calibri"/>
          <w:color w:val="212529"/>
          <w:sz w:val="24"/>
          <w:szCs w:val="24"/>
        </w:rPr>
        <w:t xml:space="preserve">Adres / siedzibę: </w:t>
      </w:r>
    </w:p>
    <w:p w14:paraId="08859124" w14:textId="77777777" w:rsidR="00D65080" w:rsidRDefault="006776D8">
      <w:pPr>
        <w:pStyle w:val="Akapitzlist"/>
        <w:numPr>
          <w:ilvl w:val="1"/>
          <w:numId w:val="20"/>
        </w:numPr>
        <w:spacing w:after="0" w:line="240" w:lineRule="auto"/>
        <w:textAlignment w:val="auto"/>
        <w:rPr>
          <w:rFonts w:cs="Calibri"/>
          <w:color w:val="212529"/>
          <w:sz w:val="24"/>
          <w:szCs w:val="24"/>
        </w:rPr>
      </w:pPr>
      <w:r>
        <w:rPr>
          <w:rFonts w:cs="Calibri"/>
          <w:color w:val="212529"/>
          <w:sz w:val="24"/>
          <w:szCs w:val="24"/>
        </w:rPr>
        <w:t>Miejscowość</w:t>
      </w:r>
    </w:p>
    <w:p w14:paraId="071DD824" w14:textId="77777777" w:rsidR="00D65080" w:rsidRDefault="006776D8">
      <w:pPr>
        <w:pStyle w:val="Akapitzlist"/>
        <w:numPr>
          <w:ilvl w:val="1"/>
          <w:numId w:val="20"/>
        </w:numPr>
        <w:spacing w:after="0" w:line="240" w:lineRule="auto"/>
        <w:textAlignment w:val="auto"/>
        <w:rPr>
          <w:rFonts w:cs="Calibri"/>
          <w:color w:val="212529"/>
          <w:sz w:val="24"/>
          <w:szCs w:val="24"/>
        </w:rPr>
      </w:pPr>
      <w:r>
        <w:rPr>
          <w:rFonts w:cs="Calibri"/>
          <w:color w:val="212529"/>
          <w:sz w:val="24"/>
          <w:szCs w:val="24"/>
        </w:rPr>
        <w:t>Ulicę</w:t>
      </w:r>
    </w:p>
    <w:p w14:paraId="1EF98A30" w14:textId="77777777" w:rsidR="00D65080" w:rsidRDefault="006776D8">
      <w:pPr>
        <w:pStyle w:val="Akapitzlist"/>
        <w:numPr>
          <w:ilvl w:val="1"/>
          <w:numId w:val="20"/>
        </w:numPr>
        <w:spacing w:after="0" w:line="240" w:lineRule="auto"/>
        <w:textAlignment w:val="auto"/>
        <w:rPr>
          <w:rFonts w:cs="Calibri"/>
          <w:color w:val="212529"/>
          <w:sz w:val="24"/>
          <w:szCs w:val="24"/>
        </w:rPr>
      </w:pPr>
      <w:r>
        <w:rPr>
          <w:rFonts w:cs="Calibri"/>
          <w:color w:val="212529"/>
          <w:sz w:val="24"/>
          <w:szCs w:val="24"/>
        </w:rPr>
        <w:t>Numer budynku</w:t>
      </w:r>
    </w:p>
    <w:p w14:paraId="66371440" w14:textId="77777777" w:rsidR="00D65080" w:rsidRDefault="006776D8">
      <w:pPr>
        <w:pStyle w:val="Akapitzlist"/>
        <w:numPr>
          <w:ilvl w:val="1"/>
          <w:numId w:val="20"/>
        </w:numPr>
        <w:spacing w:after="0" w:line="240" w:lineRule="auto"/>
        <w:textAlignment w:val="auto"/>
        <w:rPr>
          <w:rFonts w:cs="Calibri"/>
          <w:color w:val="212529"/>
          <w:sz w:val="24"/>
          <w:szCs w:val="24"/>
        </w:rPr>
      </w:pPr>
      <w:r>
        <w:rPr>
          <w:rFonts w:cs="Calibri"/>
          <w:color w:val="212529"/>
          <w:sz w:val="24"/>
          <w:szCs w:val="24"/>
        </w:rPr>
        <w:t>Kod pocztowy</w:t>
      </w:r>
    </w:p>
    <w:p w14:paraId="6A10B9A8" w14:textId="77777777" w:rsidR="00D65080" w:rsidRDefault="006776D8">
      <w:pPr>
        <w:pStyle w:val="Akapitzlist"/>
        <w:numPr>
          <w:ilvl w:val="0"/>
          <w:numId w:val="20"/>
        </w:numPr>
        <w:spacing w:after="0" w:line="240" w:lineRule="auto"/>
        <w:textAlignment w:val="auto"/>
        <w:rPr>
          <w:rFonts w:cs="Calibri"/>
          <w:color w:val="212529"/>
          <w:sz w:val="24"/>
          <w:szCs w:val="24"/>
        </w:rPr>
      </w:pPr>
      <w:r>
        <w:rPr>
          <w:rFonts w:cs="Calibri"/>
          <w:color w:val="212529"/>
          <w:sz w:val="24"/>
          <w:szCs w:val="24"/>
        </w:rPr>
        <w:t>Adres e-mail</w:t>
      </w:r>
    </w:p>
    <w:p w14:paraId="1EAF5D24" w14:textId="77777777" w:rsidR="00D65080" w:rsidRDefault="006776D8">
      <w:pPr>
        <w:pStyle w:val="Akapitzlist"/>
        <w:numPr>
          <w:ilvl w:val="0"/>
          <w:numId w:val="20"/>
        </w:numPr>
        <w:spacing w:after="0" w:line="240" w:lineRule="auto"/>
        <w:textAlignment w:val="auto"/>
        <w:rPr>
          <w:rFonts w:cs="Calibri"/>
          <w:color w:val="212529"/>
          <w:sz w:val="24"/>
          <w:szCs w:val="24"/>
        </w:rPr>
      </w:pPr>
      <w:r>
        <w:rPr>
          <w:rFonts w:cs="Calibri"/>
          <w:color w:val="212529"/>
          <w:sz w:val="24"/>
          <w:szCs w:val="24"/>
        </w:rPr>
        <w:t>REGON</w:t>
      </w:r>
    </w:p>
    <w:p w14:paraId="4894F243" w14:textId="77777777" w:rsidR="00D65080" w:rsidRDefault="006776D8">
      <w:pPr>
        <w:pStyle w:val="Akapitzlist"/>
        <w:numPr>
          <w:ilvl w:val="0"/>
          <w:numId w:val="20"/>
        </w:numPr>
        <w:spacing w:after="0" w:line="240" w:lineRule="auto"/>
        <w:textAlignment w:val="auto"/>
        <w:rPr>
          <w:rFonts w:cs="Calibri"/>
          <w:color w:val="212529"/>
          <w:sz w:val="24"/>
          <w:szCs w:val="24"/>
        </w:rPr>
      </w:pPr>
      <w:r>
        <w:rPr>
          <w:rFonts w:cs="Calibri"/>
          <w:color w:val="212529"/>
          <w:sz w:val="24"/>
          <w:szCs w:val="24"/>
        </w:rPr>
        <w:t>NIP</w:t>
      </w:r>
    </w:p>
    <w:p w14:paraId="151ED96C" w14:textId="77777777" w:rsidR="00D65080" w:rsidRDefault="006776D8">
      <w:pPr>
        <w:pStyle w:val="Akapitzlist"/>
        <w:numPr>
          <w:ilvl w:val="0"/>
          <w:numId w:val="20"/>
        </w:numPr>
        <w:spacing w:after="0" w:line="240" w:lineRule="auto"/>
        <w:textAlignment w:val="auto"/>
        <w:rPr>
          <w:rFonts w:cs="Calibri"/>
          <w:color w:val="212529"/>
          <w:sz w:val="24"/>
          <w:szCs w:val="24"/>
        </w:rPr>
      </w:pPr>
      <w:r>
        <w:rPr>
          <w:rFonts w:cs="Calibri"/>
          <w:color w:val="212529"/>
          <w:sz w:val="24"/>
          <w:szCs w:val="24"/>
        </w:rPr>
        <w:t>Formę prawną</w:t>
      </w:r>
    </w:p>
    <w:p w14:paraId="5B87B8FC" w14:textId="77777777" w:rsidR="00D65080" w:rsidRDefault="006776D8">
      <w:pPr>
        <w:pStyle w:val="Akapitzlist"/>
        <w:numPr>
          <w:ilvl w:val="0"/>
          <w:numId w:val="20"/>
        </w:numPr>
        <w:spacing w:after="100" w:line="240" w:lineRule="auto"/>
        <w:textAlignment w:val="auto"/>
        <w:rPr>
          <w:rFonts w:cs="Calibri"/>
          <w:color w:val="212529"/>
          <w:sz w:val="24"/>
          <w:szCs w:val="24"/>
        </w:rPr>
      </w:pPr>
      <w:r>
        <w:rPr>
          <w:rFonts w:cs="Calibri"/>
          <w:color w:val="212529"/>
          <w:sz w:val="24"/>
          <w:szCs w:val="24"/>
        </w:rPr>
        <w:t>oraz załączyć dokument potwierdzający upoważnienie do reprezentowania firmy.</w:t>
      </w:r>
    </w:p>
    <w:p w14:paraId="00D07098" w14:textId="77777777" w:rsidR="00D65080" w:rsidRDefault="006776D8">
      <w:pPr>
        <w:spacing w:before="100" w:after="100" w:line="240" w:lineRule="auto"/>
        <w:rPr>
          <w:rFonts w:cs="Calibri"/>
          <w:color w:val="212529"/>
          <w:sz w:val="24"/>
          <w:szCs w:val="24"/>
        </w:rPr>
      </w:pPr>
      <w:r>
        <w:rPr>
          <w:rFonts w:cs="Calibri"/>
          <w:color w:val="212529"/>
          <w:sz w:val="24"/>
          <w:szCs w:val="24"/>
        </w:rPr>
        <w:t>Na podany adres e-mail otrzymasz dalsze instrukcje.</w:t>
      </w:r>
    </w:p>
    <w:p w14:paraId="577C30EA" w14:textId="77777777" w:rsidR="00D65080" w:rsidRDefault="006776D8">
      <w:pPr>
        <w:pStyle w:val="Nagwek1"/>
      </w:pPr>
      <w:bookmarkStart w:id="18" w:name="_Toc14875635"/>
      <w:r>
        <w:t>Jakie dane należy przesłać, żeby zgłosić plan inwestycyjny?</w:t>
      </w:r>
      <w:bookmarkEnd w:id="18"/>
    </w:p>
    <w:p w14:paraId="526D559A" w14:textId="77777777" w:rsidR="00D65080" w:rsidRDefault="006776D8">
      <w:pPr>
        <w:spacing w:before="100" w:after="100" w:line="240" w:lineRule="auto"/>
        <w:rPr>
          <w:rFonts w:cs="Calibri"/>
          <w:color w:val="212529"/>
          <w:sz w:val="24"/>
          <w:szCs w:val="24"/>
        </w:rPr>
      </w:pPr>
      <w:r>
        <w:rPr>
          <w:rFonts w:cs="Calibri"/>
          <w:color w:val="212529"/>
          <w:sz w:val="24"/>
          <w:szCs w:val="24"/>
        </w:rPr>
        <w:t>W SIIS stworzyliśmy specjalny formularz do zbierania planów inwestycyjnych. Można również zgłosić plan inwestycyjny przesyłając do SIIS plik uzupełniony o dane wymagane w formularzu (w formacie CSV lub XML).</w:t>
      </w:r>
    </w:p>
    <w:p w14:paraId="4779DD05" w14:textId="77777777" w:rsidR="00D65080" w:rsidRDefault="006776D8">
      <w:pPr>
        <w:spacing w:before="100" w:after="100" w:line="240" w:lineRule="auto"/>
      </w:pPr>
      <w:r>
        <w:rPr>
          <w:rFonts w:cs="Calibri"/>
          <w:color w:val="212529"/>
          <w:sz w:val="24"/>
          <w:szCs w:val="24"/>
        </w:rPr>
        <w:t xml:space="preserve">Dane te mają pokazać, że dana inwestycja jest realnym planem, dzięki któremu potencjalni użytkownicy końcowi uzyskają, dzięki sieci NGA, dostęp do Internetu z przepustowością co najmniej 30 </w:t>
      </w:r>
      <w:proofErr w:type="spellStart"/>
      <w:r>
        <w:rPr>
          <w:rFonts w:cs="Calibri"/>
          <w:color w:val="212529"/>
          <w:sz w:val="24"/>
          <w:szCs w:val="24"/>
        </w:rPr>
        <w:t>Mb</w:t>
      </w:r>
      <w:proofErr w:type="spellEnd"/>
      <w:r>
        <w:rPr>
          <w:rFonts w:cs="Calibri"/>
          <w:color w:val="212529"/>
          <w:sz w:val="24"/>
          <w:szCs w:val="24"/>
        </w:rPr>
        <w:t xml:space="preserve">/s. W formularzu należy podać m.in. dokładne adresy budynków planowanych do objęcia zasięgiem planowanej infrastruktury, wartość inwestycji, planowaną technologię dostępową oraz harmonogram inwestycji, oraz </w:t>
      </w:r>
      <w:r>
        <w:rPr>
          <w:rFonts w:cs="Calibri"/>
          <w:b/>
          <w:bCs/>
          <w:color w:val="212529"/>
          <w:sz w:val="24"/>
          <w:szCs w:val="24"/>
        </w:rPr>
        <w:t>załączyć do zgłoszenia co najmniej 2 dokumenty potwierdzające - każdy odrębnie - faktyczne planowanie inwestycji oraz dysponowanie możliwościami finansowymi na realizację tej inwestycji</w:t>
      </w:r>
      <w:r>
        <w:rPr>
          <w:rFonts w:cs="Calibri"/>
          <w:color w:val="212529"/>
          <w:sz w:val="24"/>
          <w:szCs w:val="24"/>
        </w:rPr>
        <w:t>.</w:t>
      </w:r>
    </w:p>
    <w:p w14:paraId="2920EE1F" w14:textId="77777777" w:rsidR="00D65080" w:rsidRDefault="006776D8">
      <w:pPr>
        <w:spacing w:before="100" w:after="100" w:line="240" w:lineRule="auto"/>
      </w:pPr>
      <w:r>
        <w:rPr>
          <w:rFonts w:cs="Calibri"/>
          <w:b/>
          <w:bCs/>
          <w:color w:val="212529"/>
          <w:sz w:val="24"/>
          <w:szCs w:val="24"/>
        </w:rPr>
        <w:lastRenderedPageBreak/>
        <w:t>Odpowiedzialność za skuteczne przekazanie prawidłowych dokumentów spoczywa na użytkowniku. Użytkownicy, którzy przekażą nieprawidłowe dokumenty nie będą wzywani do uzupełnień.  Nieprzekazanie dokumentów lub przekazanie nieprawidłowych dokumentów (np. niepodpisanych) skutkuje odrzuceniem planu.</w:t>
      </w:r>
    </w:p>
    <w:p w14:paraId="6F5BE4EA" w14:textId="77777777" w:rsidR="00D65080" w:rsidRDefault="006776D8">
      <w:pPr>
        <w:pStyle w:val="Nagwek1"/>
      </w:pPr>
      <w:bookmarkStart w:id="19" w:name="_Toc14875636"/>
      <w:r>
        <w:t>Rejestracja i logowanie w systemie SIIS</w:t>
      </w:r>
      <w:bookmarkEnd w:id="16"/>
      <w:bookmarkEnd w:id="17"/>
      <w:bookmarkEnd w:id="19"/>
    </w:p>
    <w:p w14:paraId="3369D40D" w14:textId="77777777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Logowanie do systemu oraz rejestracja podmiotu w systemie SIIS następuje na stronie </w:t>
      </w:r>
      <w:hyperlink r:id="rId10" w:history="1">
        <w:r>
          <w:rPr>
            <w:rStyle w:val="Hipercze"/>
            <w:rFonts w:ascii="Arial" w:hAnsi="Arial" w:cs="Arial"/>
            <w:sz w:val="24"/>
            <w:szCs w:val="24"/>
          </w:rPr>
          <w:t>form.teleinfrastruktura.gov.pl/</w:t>
        </w:r>
      </w:hyperlink>
      <w:r>
        <w:rPr>
          <w:rFonts w:cs="Arial"/>
          <w:sz w:val="24"/>
          <w:szCs w:val="24"/>
        </w:rPr>
        <w:t>.</w:t>
      </w:r>
    </w:p>
    <w:p w14:paraId="7DF8D80D" w14:textId="77777777" w:rsidR="00D65080" w:rsidRDefault="006776D8">
      <w:pPr>
        <w:keepNext/>
        <w:spacing w:before="100" w:after="100"/>
        <w:jc w:val="center"/>
      </w:pPr>
      <w:r>
        <w:rPr>
          <w:noProof/>
        </w:rPr>
        <w:drawing>
          <wp:inline distT="0" distB="0" distL="0" distR="0" wp14:anchorId="16779ADF" wp14:editId="057D19B5">
            <wp:extent cx="5972805" cy="4262100"/>
            <wp:effectExtent l="0" t="0" r="8895" b="5100"/>
            <wp:docPr id="1" name="Obraz 22" descr="obraz przedstawia stronę startową systemu informacyjnego o infrastrukturze szerokopasmowej" title="rysun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72805" cy="42621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E85690D" w14:textId="77777777" w:rsidR="00D65080" w:rsidRDefault="006776D8">
      <w:pPr>
        <w:pStyle w:val="Legenda"/>
        <w:jc w:val="center"/>
      </w:pPr>
      <w:r>
        <w:t>Rys. 1. Strona startowa SIIS</w:t>
      </w:r>
    </w:p>
    <w:p w14:paraId="6F1BFB26" w14:textId="77777777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W przypadku, gdy użytkownik pierwszy raz połączył się z portalem powinien się zarejestrować. W tym celu należy nacisnąć przycisk </w:t>
      </w:r>
      <w:r>
        <w:rPr>
          <w:rFonts w:cs="Arial"/>
          <w:b/>
          <w:sz w:val="24"/>
          <w:szCs w:val="24"/>
        </w:rPr>
        <w:t>Rejestracja podmiotu</w:t>
      </w:r>
      <w:r>
        <w:rPr>
          <w:rFonts w:cs="Arial"/>
          <w:sz w:val="24"/>
          <w:szCs w:val="24"/>
        </w:rPr>
        <w:t xml:space="preserve"> znajdujący się w prawym górnym rogu ekranu</w:t>
      </w:r>
      <w:r>
        <w:rPr>
          <w:rFonts w:cs="Arial"/>
          <w:b/>
          <w:sz w:val="24"/>
          <w:szCs w:val="24"/>
        </w:rPr>
        <w:t>.</w:t>
      </w:r>
      <w:r>
        <w:rPr>
          <w:rFonts w:cs="Arial"/>
          <w:sz w:val="24"/>
          <w:szCs w:val="24"/>
        </w:rPr>
        <w:t xml:space="preserve"> Uzyskuje się wówczas okno przedstawione na </w:t>
      </w:r>
      <w:fldSimple w:instr=" REF _Ref517766682 ">
        <w:r>
          <w:t>Rys. 2</w:t>
        </w:r>
      </w:fldSimple>
      <w:r>
        <w:rPr>
          <w:rFonts w:cs="Arial"/>
          <w:sz w:val="24"/>
          <w:szCs w:val="24"/>
        </w:rPr>
        <w:t xml:space="preserve">. Okno rejestracji podmiotu ukazuje się również po naciśnięciu przycisku </w:t>
      </w:r>
      <w:r>
        <w:rPr>
          <w:rFonts w:cs="Arial"/>
          <w:b/>
          <w:sz w:val="24"/>
          <w:szCs w:val="24"/>
        </w:rPr>
        <w:t>Zaloguj się</w:t>
      </w:r>
      <w:r>
        <w:rPr>
          <w:rFonts w:cs="Arial"/>
          <w:sz w:val="24"/>
          <w:szCs w:val="24"/>
        </w:rPr>
        <w:t xml:space="preserve"> i kliknięciu na przycisk</w:t>
      </w:r>
      <w:r>
        <w:t xml:space="preserve"> </w:t>
      </w:r>
      <w:r>
        <w:rPr>
          <w:noProof/>
        </w:rPr>
        <w:drawing>
          <wp:inline distT="0" distB="0" distL="0" distR="0" wp14:anchorId="2B4FED2D" wp14:editId="344AA892">
            <wp:extent cx="2301873" cy="222619"/>
            <wp:effectExtent l="0" t="0" r="3177" b="5981"/>
            <wp:docPr id="2" name="Obraz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01873" cy="22261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t xml:space="preserve">. </w:t>
      </w:r>
      <w:r>
        <w:rPr>
          <w:rFonts w:cs="Arial"/>
          <w:sz w:val="24"/>
          <w:szCs w:val="24"/>
        </w:rPr>
        <w:t xml:space="preserve">Jeżeli nie są znane </w:t>
      </w:r>
      <w:r>
        <w:rPr>
          <w:rFonts w:cs="Arial"/>
          <w:b/>
          <w:bCs/>
          <w:sz w:val="24"/>
          <w:szCs w:val="24"/>
        </w:rPr>
        <w:t>Nazwa użytkownika</w:t>
      </w:r>
      <w:r>
        <w:rPr>
          <w:rFonts w:cs="Arial"/>
          <w:sz w:val="24"/>
          <w:szCs w:val="24"/>
        </w:rPr>
        <w:t xml:space="preserve"> i </w:t>
      </w:r>
      <w:r>
        <w:rPr>
          <w:rFonts w:cs="Arial"/>
          <w:b/>
          <w:bCs/>
          <w:sz w:val="24"/>
          <w:szCs w:val="24"/>
        </w:rPr>
        <w:t>Hasło</w:t>
      </w:r>
      <w:r>
        <w:rPr>
          <w:rFonts w:cs="Arial"/>
          <w:sz w:val="24"/>
          <w:szCs w:val="24"/>
        </w:rPr>
        <w:t xml:space="preserve"> konieczna jest ponowna rejestracja podmiotu w systemie i ustanowienie nowej </w:t>
      </w:r>
      <w:r>
        <w:rPr>
          <w:rFonts w:cs="Arial"/>
          <w:b/>
          <w:bCs/>
          <w:sz w:val="24"/>
          <w:szCs w:val="24"/>
        </w:rPr>
        <w:t>Nazwy użytkownika</w:t>
      </w:r>
      <w:r>
        <w:rPr>
          <w:rFonts w:cs="Arial"/>
          <w:sz w:val="24"/>
          <w:szCs w:val="24"/>
        </w:rPr>
        <w:t xml:space="preserve"> i </w:t>
      </w:r>
      <w:r>
        <w:rPr>
          <w:rFonts w:cs="Arial"/>
          <w:b/>
          <w:bCs/>
          <w:sz w:val="24"/>
          <w:szCs w:val="24"/>
        </w:rPr>
        <w:t>Hasła</w:t>
      </w:r>
      <w:r>
        <w:rPr>
          <w:rFonts w:cs="Arial"/>
          <w:sz w:val="24"/>
          <w:szCs w:val="24"/>
        </w:rPr>
        <w:t xml:space="preserve"> z użyciem hasła jednorazowego z listy haseł.</w:t>
      </w:r>
    </w:p>
    <w:p w14:paraId="1F7EE26F" w14:textId="77777777" w:rsidR="00D65080" w:rsidRDefault="006776D8">
      <w:pPr>
        <w:keepNext/>
        <w:spacing w:before="100" w:after="100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F31BEFC" wp14:editId="22788A23">
                <wp:simplePos x="0" y="0"/>
                <wp:positionH relativeFrom="column">
                  <wp:posOffset>5237482</wp:posOffset>
                </wp:positionH>
                <wp:positionV relativeFrom="paragraph">
                  <wp:posOffset>796927</wp:posOffset>
                </wp:positionV>
                <wp:extent cx="514350" cy="163833"/>
                <wp:effectExtent l="0" t="0" r="19050" b="26667"/>
                <wp:wrapNone/>
                <wp:docPr id="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1638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2" cap="flat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4B1E71E1" id="Prostokąt 2" o:spid="_x0000_s1026" style="position:absolute;margin-left:412.4pt;margin-top:62.75pt;width:40.5pt;height:12.9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" strokecolor="white" strokeweight=".70561mm">
                <v:textbox inset="0,0,0,0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5582A39" wp14:editId="22588774">
            <wp:extent cx="5325035" cy="6915881"/>
            <wp:effectExtent l="0" t="0" r="8965" b="0"/>
            <wp:docPr id="4" name="Obraz 9" descr="obraz przedstawia rejestrację podmiotu" title="rysun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5035" cy="691588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1C17917" w14:textId="77777777" w:rsidR="00D65080" w:rsidRDefault="006776D8">
      <w:pPr>
        <w:pStyle w:val="Legenda"/>
        <w:jc w:val="center"/>
      </w:pPr>
      <w:bookmarkStart w:id="20" w:name="_Ref517766682"/>
      <w:r>
        <w:t>Rys. 2</w:t>
      </w:r>
      <w:bookmarkEnd w:id="20"/>
      <w:r>
        <w:t>. Rejestracja podmiotu</w:t>
      </w:r>
    </w:p>
    <w:p w14:paraId="564F4D1B" w14:textId="77777777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Powyższy ekran zawiera trzy grupy informacji: </w:t>
      </w:r>
      <w:r>
        <w:rPr>
          <w:rFonts w:cs="Arial"/>
          <w:b/>
          <w:sz w:val="24"/>
          <w:szCs w:val="24"/>
        </w:rPr>
        <w:t xml:space="preserve">Dane podmiotu, Dane administratora </w:t>
      </w:r>
      <w:r>
        <w:rPr>
          <w:rFonts w:cs="Arial"/>
          <w:sz w:val="24"/>
          <w:szCs w:val="24"/>
        </w:rPr>
        <w:t>i</w:t>
      </w:r>
      <w:r>
        <w:rPr>
          <w:rFonts w:cs="Arial"/>
          <w:b/>
          <w:sz w:val="24"/>
          <w:szCs w:val="24"/>
        </w:rPr>
        <w:t xml:space="preserve"> Hasło jednorazowe</w:t>
      </w:r>
      <w:r>
        <w:rPr>
          <w:rFonts w:cs="Arial"/>
          <w:sz w:val="24"/>
          <w:szCs w:val="24"/>
        </w:rPr>
        <w:t>.</w:t>
      </w:r>
    </w:p>
    <w:p w14:paraId="3B4DF846" w14:textId="77777777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Pola wymagane, oznaczone kolorem pomarańczowym, należy obowiązkowo wypełnić. Jeżeli użytkownik nie wypełni wszystkich pól wymaganych (po naciśnięciu przycisku Zapisz) zostaną one oznaczone kolorem czerwonym i opatrzone komunikatem: </w:t>
      </w:r>
      <w:r>
        <w:rPr>
          <w:rFonts w:cs="Arial"/>
          <w:b/>
          <w:sz w:val="24"/>
          <w:szCs w:val="24"/>
        </w:rPr>
        <w:t>To pole jest wymagane</w:t>
      </w:r>
      <w:r>
        <w:rPr>
          <w:rFonts w:cs="Arial"/>
          <w:sz w:val="24"/>
          <w:szCs w:val="24"/>
        </w:rPr>
        <w:t>.</w:t>
      </w:r>
    </w:p>
    <w:p w14:paraId="393A6BBF" w14:textId="77777777" w:rsidR="00D65080" w:rsidRDefault="006776D8">
      <w:pPr>
        <w:spacing w:before="100" w:after="100"/>
      </w:pPr>
      <w:r>
        <w:rPr>
          <w:rFonts w:cs="Arial"/>
          <w:sz w:val="24"/>
          <w:szCs w:val="24"/>
        </w:rPr>
        <w:lastRenderedPageBreak/>
        <w:t xml:space="preserve">Podczas rejestracji w pole </w:t>
      </w:r>
      <w:r>
        <w:rPr>
          <w:rFonts w:cs="Arial"/>
          <w:b/>
          <w:sz w:val="24"/>
          <w:szCs w:val="24"/>
        </w:rPr>
        <w:t>Podaj hasło jednorazowe nr … z listy nr ….</w:t>
      </w:r>
      <w:r>
        <w:rPr>
          <w:rFonts w:cs="Arial"/>
          <w:sz w:val="24"/>
          <w:szCs w:val="24"/>
        </w:rPr>
        <w:t xml:space="preserve"> należy wpisać unikalny kod jednorazowy z listy haseł jednorazowych przekazanych przez MC.</w:t>
      </w:r>
    </w:p>
    <w:p w14:paraId="114461D2" w14:textId="77777777" w:rsidR="00D65080" w:rsidRDefault="006776D8">
      <w:pPr>
        <w:spacing w:before="100" w:after="10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Każde hasło jednorazowe ma swój numer na liście (1-20). Numer listy haseł jednorazowych i numer hasła pojawią się po uzupełnieniu NIP/REGON/RPT/KRS/RJST. Podczas rejestracji i przy zmianie hasła użytkownik SIIS jest proszony o podanie hasła o numerze X z listy Y. Po pięciu próbach wpisania hasła jednorazowego zostaje ono unieważnione i trzeba podać następne hasło. Każde hasło jednorazowe można wykorzystać tylko raz.</w:t>
      </w:r>
    </w:p>
    <w:p w14:paraId="07696A31" w14:textId="77777777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Po wypełnieniu pól należy nacisnąć przycisk </w:t>
      </w:r>
      <w:r>
        <w:rPr>
          <w:rFonts w:cs="Arial"/>
          <w:b/>
          <w:sz w:val="24"/>
          <w:szCs w:val="24"/>
        </w:rPr>
        <w:t>Zapisz</w:t>
      </w:r>
      <w:r>
        <w:rPr>
          <w:rFonts w:cs="Arial"/>
          <w:sz w:val="24"/>
          <w:szCs w:val="24"/>
        </w:rPr>
        <w:t xml:space="preserve">. Wprowadzone pola </w:t>
      </w:r>
      <w:r>
        <w:rPr>
          <w:rFonts w:cs="Arial"/>
          <w:b/>
          <w:sz w:val="24"/>
          <w:szCs w:val="24"/>
        </w:rPr>
        <w:t>Nazwa użytkownika</w:t>
      </w:r>
      <w:r>
        <w:rPr>
          <w:rFonts w:cs="Arial"/>
          <w:sz w:val="24"/>
          <w:szCs w:val="24"/>
        </w:rPr>
        <w:t xml:space="preserve"> i </w:t>
      </w:r>
      <w:r>
        <w:rPr>
          <w:rFonts w:cs="Arial"/>
          <w:b/>
          <w:sz w:val="24"/>
          <w:szCs w:val="24"/>
        </w:rPr>
        <w:t xml:space="preserve">Hasło </w:t>
      </w:r>
      <w:r>
        <w:rPr>
          <w:rFonts w:cs="Arial"/>
          <w:sz w:val="24"/>
          <w:szCs w:val="24"/>
        </w:rPr>
        <w:t>(dla administratora podmiotu)</w:t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pozwolą zalogować się administratorowi podmiotu w systemie po wyborze przycisku </w:t>
      </w:r>
      <w:r>
        <w:rPr>
          <w:rFonts w:cs="Arial"/>
          <w:b/>
          <w:sz w:val="24"/>
          <w:szCs w:val="24"/>
        </w:rPr>
        <w:t>Zaloguj się</w:t>
      </w:r>
      <w:r>
        <w:rPr>
          <w:rFonts w:cs="Arial"/>
          <w:sz w:val="24"/>
          <w:szCs w:val="24"/>
        </w:rPr>
        <w:t>, który znajduje się po prawej stronie ekranu. Po jego wybraniu użytkownik przechodzi do okna logowania.</w:t>
      </w:r>
    </w:p>
    <w:p w14:paraId="721B966A" w14:textId="77777777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W przypadku, gdy użytkownik zapomniał hasła po naciśnięciu na link </w:t>
      </w:r>
      <w:r>
        <w:rPr>
          <w:noProof/>
        </w:rPr>
        <w:drawing>
          <wp:inline distT="0" distB="0" distL="0" distR="0" wp14:anchorId="39513034" wp14:editId="7AB3042B">
            <wp:extent cx="1098551" cy="171450"/>
            <wp:effectExtent l="0" t="0" r="6349" b="0"/>
            <wp:docPr id="5" name="Obraz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98551" cy="1714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24"/>
          <w:szCs w:val="24"/>
        </w:rPr>
        <w:t xml:space="preserve">w oknie logowania uzyskuje dostęp do okna </w:t>
      </w:r>
      <w:r>
        <w:rPr>
          <w:rFonts w:cs="Arial"/>
          <w:b/>
          <w:sz w:val="24"/>
          <w:szCs w:val="24"/>
        </w:rPr>
        <w:t>Nie pamiętam hasła</w:t>
      </w:r>
      <w:r>
        <w:rPr>
          <w:rFonts w:cs="Arial"/>
          <w:sz w:val="24"/>
          <w:szCs w:val="24"/>
        </w:rPr>
        <w:t xml:space="preserve">, gdzie może wprowadzić nowe hasło. Należy wpisać </w:t>
      </w:r>
      <w:r>
        <w:rPr>
          <w:rFonts w:cs="Arial"/>
          <w:b/>
          <w:sz w:val="24"/>
          <w:szCs w:val="24"/>
        </w:rPr>
        <w:t>Nazwę użytkownika</w:t>
      </w:r>
      <w:r>
        <w:rPr>
          <w:rFonts w:cs="Arial"/>
          <w:sz w:val="24"/>
          <w:szCs w:val="24"/>
        </w:rPr>
        <w:t>,</w:t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potem nacisnąć przycisk </w:t>
      </w:r>
      <w:r>
        <w:rPr>
          <w:noProof/>
        </w:rPr>
        <w:drawing>
          <wp:inline distT="0" distB="0" distL="0" distR="0" wp14:anchorId="40B3D830" wp14:editId="4E7978F0">
            <wp:extent cx="609603" cy="247500"/>
            <wp:effectExtent l="0" t="0" r="0" b="150"/>
            <wp:docPr id="6" name="Obraz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3" cy="2475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24"/>
          <w:szCs w:val="24"/>
        </w:rPr>
        <w:t>, a następnie wprowadzić nowe hasło oraz odpowiednie hasło jednorazowe (</w:t>
      </w:r>
      <w:fldSimple w:instr=" REF _Ref517766866 ">
        <w:r>
          <w:t>Rys. 3</w:t>
        </w:r>
      </w:fldSimple>
      <w:r>
        <w:rPr>
          <w:rFonts w:cs="Arial"/>
          <w:sz w:val="24"/>
          <w:szCs w:val="24"/>
        </w:rPr>
        <w:t xml:space="preserve">) oraz nacisnąć przycisk </w:t>
      </w:r>
      <w:r>
        <w:rPr>
          <w:rFonts w:cs="Arial"/>
          <w:b/>
          <w:sz w:val="24"/>
          <w:szCs w:val="24"/>
        </w:rPr>
        <w:t>Zmień hasło</w:t>
      </w:r>
      <w:r>
        <w:rPr>
          <w:rFonts w:cs="Arial"/>
          <w:sz w:val="24"/>
          <w:szCs w:val="24"/>
        </w:rPr>
        <w:t>.</w:t>
      </w:r>
    </w:p>
    <w:p w14:paraId="27665EB0" w14:textId="77777777" w:rsidR="00D65080" w:rsidRDefault="006776D8">
      <w:pPr>
        <w:spacing w:before="100" w:after="100"/>
      </w:pPr>
      <w:r>
        <w:rPr>
          <w:rFonts w:cs="Arial"/>
          <w:b/>
          <w:bCs/>
          <w:sz w:val="24"/>
          <w:szCs w:val="24"/>
        </w:rPr>
        <w:t>Jeśli po podaniu Nazwy użytkownika pojawia się prośba o podanie hasła jednorazowego z innej listy haseł niż posiadana może to oznaczać, że podana została błędna nazwa użytkownika (np. należąca do innej osoby). W takim przypadku należy bądź to wpisać poprawną nazwę, bądź przejść do rejestracji podmiotu.</w:t>
      </w:r>
    </w:p>
    <w:p w14:paraId="1D4B5B49" w14:textId="77777777" w:rsidR="00D65080" w:rsidRDefault="006776D8">
      <w:pPr>
        <w:keepNext/>
        <w:spacing w:before="100" w:after="100"/>
        <w:jc w:val="center"/>
      </w:pPr>
      <w:r>
        <w:rPr>
          <w:noProof/>
        </w:rPr>
        <w:drawing>
          <wp:inline distT="0" distB="0" distL="0" distR="0" wp14:anchorId="25215E50" wp14:editId="0C2BF5B6">
            <wp:extent cx="4801642" cy="2872724"/>
            <wp:effectExtent l="0" t="0" r="0" b="3826"/>
            <wp:docPr id="7" name="Obraz 11" descr="obraz przedstawia Formularz Nie pamiętam hasła" title="rysune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1642" cy="287272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EF9AEB9" w14:textId="77777777" w:rsidR="00D65080" w:rsidRDefault="006776D8">
      <w:pPr>
        <w:pStyle w:val="Legenda"/>
        <w:jc w:val="center"/>
      </w:pPr>
      <w:bookmarkStart w:id="21" w:name="_Ref517766866"/>
      <w:r>
        <w:t>Rys. 3</w:t>
      </w:r>
      <w:bookmarkEnd w:id="21"/>
      <w:r>
        <w:t>. Formularz Nie pamiętam hasła</w:t>
      </w:r>
    </w:p>
    <w:p w14:paraId="7BB0D9AD" w14:textId="77777777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W przypadku problemów z logowaniem należy skontaktować się z pomocą techniczną, dostępną pod adresem podanym w zakładce </w:t>
      </w:r>
      <w:r>
        <w:rPr>
          <w:rFonts w:cs="Arial"/>
          <w:b/>
          <w:sz w:val="24"/>
          <w:szCs w:val="24"/>
        </w:rPr>
        <w:t xml:space="preserve">Kontakt </w:t>
      </w:r>
      <w:r>
        <w:rPr>
          <w:rFonts w:cs="Arial"/>
          <w:sz w:val="24"/>
          <w:szCs w:val="24"/>
        </w:rPr>
        <w:t>lub</w:t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skorzystać z informacji zawartych w zakładce </w:t>
      </w:r>
      <w:r>
        <w:rPr>
          <w:rFonts w:cs="Arial"/>
          <w:b/>
          <w:sz w:val="24"/>
          <w:szCs w:val="24"/>
        </w:rPr>
        <w:t>Pomoc</w:t>
      </w:r>
      <w:r>
        <w:rPr>
          <w:rFonts w:cs="Arial"/>
          <w:sz w:val="24"/>
          <w:szCs w:val="24"/>
        </w:rPr>
        <w:t>.</w:t>
      </w:r>
    </w:p>
    <w:p w14:paraId="4A9BC665" w14:textId="77777777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Po wybraniu przycisku </w:t>
      </w:r>
      <w:r>
        <w:rPr>
          <w:rFonts w:cs="Arial"/>
          <w:b/>
          <w:sz w:val="24"/>
          <w:szCs w:val="24"/>
        </w:rPr>
        <w:t>Zaloguj się</w:t>
      </w:r>
      <w:r>
        <w:rPr>
          <w:rFonts w:cs="Arial"/>
          <w:sz w:val="24"/>
          <w:szCs w:val="24"/>
        </w:rPr>
        <w:t xml:space="preserve"> użytkownik przechodzi do okna logowania (</w:t>
      </w:r>
      <w:fldSimple w:instr=" REF _Ref517766952 ">
        <w:r>
          <w:t>Rys. 4</w:t>
        </w:r>
      </w:fldSimple>
      <w:r>
        <w:rPr>
          <w:rFonts w:cs="Arial"/>
          <w:sz w:val="24"/>
          <w:szCs w:val="24"/>
        </w:rPr>
        <w:t>).</w:t>
      </w:r>
    </w:p>
    <w:p w14:paraId="5516F6F8" w14:textId="77777777" w:rsidR="00D65080" w:rsidRDefault="006776D8">
      <w:pPr>
        <w:keepNext/>
        <w:spacing w:before="100" w:after="100"/>
        <w:jc w:val="center"/>
      </w:pPr>
      <w:r>
        <w:rPr>
          <w:noProof/>
        </w:rPr>
        <w:lastRenderedPageBreak/>
        <w:drawing>
          <wp:inline distT="0" distB="0" distL="0" distR="0" wp14:anchorId="0D7E0802" wp14:editId="3705F3BE">
            <wp:extent cx="5522418" cy="3255968"/>
            <wp:effectExtent l="0" t="0" r="2082" b="1582"/>
            <wp:docPr id="8" name="Obraz 14" descr="obraz przedstawia Okno logowania do systemu" title="rysunek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2418" cy="325596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D0D5F9C" w14:textId="77777777" w:rsidR="00D65080" w:rsidRDefault="006776D8">
      <w:pPr>
        <w:pStyle w:val="Legenda"/>
        <w:jc w:val="center"/>
      </w:pPr>
      <w:bookmarkStart w:id="22" w:name="_Ref517766952"/>
      <w:r>
        <w:t>Rys. 4</w:t>
      </w:r>
      <w:bookmarkEnd w:id="22"/>
      <w:r>
        <w:t>. Okno logowania do systemu</w:t>
      </w:r>
    </w:p>
    <w:p w14:paraId="3519C382" w14:textId="77777777" w:rsidR="00D65080" w:rsidRDefault="006776D8">
      <w:pPr>
        <w:spacing w:before="100" w:after="100"/>
      </w:pPr>
      <w:r>
        <w:rPr>
          <w:rFonts w:cs="Arial"/>
          <w:b/>
          <w:sz w:val="24"/>
          <w:szCs w:val="24"/>
        </w:rPr>
        <w:t>Logowanie</w:t>
      </w:r>
      <w:r>
        <w:rPr>
          <w:rFonts w:cs="Arial"/>
          <w:sz w:val="24"/>
          <w:szCs w:val="24"/>
        </w:rPr>
        <w:t xml:space="preserve"> umożliwia zarejestrowanemu użytkownikowi dostęp do systemu SIIS w celu przekazania danych o planach inwestycyjnych.</w:t>
      </w:r>
    </w:p>
    <w:p w14:paraId="386E11FE" w14:textId="77777777" w:rsidR="00D65080" w:rsidRDefault="006776D8">
      <w:pPr>
        <w:spacing w:before="100" w:after="100"/>
      </w:pPr>
      <w:r>
        <w:rPr>
          <w:rFonts w:cs="Arial"/>
          <w:sz w:val="24"/>
          <w:szCs w:val="24"/>
        </w:rPr>
        <w:t>Jeżeli użytkownik nie pamięta hasła lub Nazwy użytkownika (login) musi ustanowić nowe hasło (</w:t>
      </w:r>
      <w:r>
        <w:rPr>
          <w:rFonts w:cs="Arial"/>
          <w:b/>
          <w:sz w:val="24"/>
          <w:szCs w:val="24"/>
        </w:rPr>
        <w:t>Nie pamiętam hasła</w:t>
      </w:r>
      <w:r>
        <w:rPr>
          <w:rFonts w:cs="Arial"/>
          <w:sz w:val="24"/>
          <w:szCs w:val="24"/>
        </w:rPr>
        <w:t>) lub ponownie się zarejestrować (</w:t>
      </w:r>
      <w:r>
        <w:rPr>
          <w:rFonts w:cs="Arial"/>
          <w:b/>
          <w:sz w:val="24"/>
          <w:szCs w:val="24"/>
        </w:rPr>
        <w:t>Rejestracja podmiotu</w:t>
      </w:r>
      <w:r>
        <w:rPr>
          <w:rFonts w:cs="Arial"/>
          <w:sz w:val="24"/>
          <w:szCs w:val="24"/>
        </w:rPr>
        <w:t>).</w:t>
      </w:r>
    </w:p>
    <w:p w14:paraId="71B506DA" w14:textId="77777777" w:rsidR="00D65080" w:rsidRDefault="006776D8">
      <w:pPr>
        <w:pStyle w:val="Nagwek1"/>
      </w:pPr>
      <w:bookmarkStart w:id="23" w:name="_Toc451149444"/>
      <w:bookmarkStart w:id="24" w:name="_Toc14875637"/>
      <w:bookmarkStart w:id="25" w:name="_Toc413097119"/>
      <w:r>
        <w:t>Użytkownik Konsultacji</w:t>
      </w:r>
      <w:bookmarkEnd w:id="23"/>
      <w:bookmarkEnd w:id="24"/>
    </w:p>
    <w:p w14:paraId="48D4C145" w14:textId="77777777" w:rsidR="00D65080" w:rsidRDefault="006776D8">
      <w:pPr>
        <w:spacing w:before="100" w:after="100"/>
      </w:pPr>
      <w:r>
        <w:rPr>
          <w:rFonts w:cs="Arial"/>
          <w:b/>
          <w:sz w:val="24"/>
          <w:szCs w:val="24"/>
        </w:rPr>
        <w:t>Formularze, zakres informacji i funkcjonalności są dynamicznie dostosowane do rodzaju użytkownika konsultacji (konto administratora i konto użytkownika).</w:t>
      </w:r>
    </w:p>
    <w:p w14:paraId="25075972" w14:textId="77777777" w:rsidR="00D65080" w:rsidRDefault="006776D8">
      <w:pPr>
        <w:spacing w:before="10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Menu udostępniane administratorowi zawiera:</w:t>
      </w:r>
    </w:p>
    <w:p w14:paraId="25FF3B0A" w14:textId="77777777" w:rsidR="00D65080" w:rsidRDefault="006776D8">
      <w:pPr>
        <w:widowControl w:val="0"/>
        <w:numPr>
          <w:ilvl w:val="0"/>
          <w:numId w:val="21"/>
        </w:numPr>
        <w:autoSpaceDE w:val="0"/>
        <w:spacing w:before="60" w:after="6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Formularze (Podmiot przekazujący informacje);</w:t>
      </w:r>
    </w:p>
    <w:p w14:paraId="4B88B331" w14:textId="77777777" w:rsidR="00D65080" w:rsidRDefault="006776D8">
      <w:pPr>
        <w:widowControl w:val="0"/>
        <w:numPr>
          <w:ilvl w:val="0"/>
          <w:numId w:val="21"/>
        </w:numPr>
        <w:autoSpaceDE w:val="0"/>
        <w:spacing w:before="60" w:after="6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Konsultacje (Formularz - Planowane Inwestycje, Import, Eksport, Oświadczenia);</w:t>
      </w:r>
    </w:p>
    <w:p w14:paraId="564F405B" w14:textId="77777777" w:rsidR="00D65080" w:rsidRDefault="006776D8">
      <w:pPr>
        <w:widowControl w:val="0"/>
        <w:numPr>
          <w:ilvl w:val="0"/>
          <w:numId w:val="21"/>
        </w:numPr>
        <w:autoSpaceDE w:val="0"/>
        <w:spacing w:before="60" w:after="6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Dokumenty;</w:t>
      </w:r>
    </w:p>
    <w:p w14:paraId="3964CFEE" w14:textId="77777777" w:rsidR="00D65080" w:rsidRDefault="006776D8">
      <w:pPr>
        <w:widowControl w:val="0"/>
        <w:numPr>
          <w:ilvl w:val="0"/>
          <w:numId w:val="21"/>
        </w:numPr>
        <w:autoSpaceDE w:val="0"/>
        <w:spacing w:before="60" w:after="6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Użytkownicy;</w:t>
      </w:r>
    </w:p>
    <w:p w14:paraId="6B89B460" w14:textId="77777777" w:rsidR="00D65080" w:rsidRDefault="006776D8">
      <w:pPr>
        <w:widowControl w:val="0"/>
        <w:numPr>
          <w:ilvl w:val="0"/>
          <w:numId w:val="21"/>
        </w:numPr>
        <w:autoSpaceDE w:val="0"/>
        <w:spacing w:before="60" w:after="6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Pomoc;</w:t>
      </w:r>
    </w:p>
    <w:p w14:paraId="1CD9BBB1" w14:textId="77777777" w:rsidR="00D65080" w:rsidRDefault="006776D8">
      <w:pPr>
        <w:widowControl w:val="0"/>
        <w:numPr>
          <w:ilvl w:val="0"/>
          <w:numId w:val="21"/>
        </w:numPr>
        <w:autoSpaceDE w:val="0"/>
        <w:spacing w:before="60" w:after="6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Kontakt.</w:t>
      </w:r>
    </w:p>
    <w:p w14:paraId="68022FAB" w14:textId="77777777" w:rsidR="00D65080" w:rsidRDefault="006776D8">
      <w:pPr>
        <w:spacing w:before="10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Menu użytkownika zawiera:</w:t>
      </w:r>
    </w:p>
    <w:p w14:paraId="36EBA011" w14:textId="77777777" w:rsidR="00D65080" w:rsidRDefault="006776D8">
      <w:pPr>
        <w:widowControl w:val="0"/>
        <w:numPr>
          <w:ilvl w:val="0"/>
          <w:numId w:val="21"/>
        </w:numPr>
        <w:autoSpaceDE w:val="0"/>
        <w:spacing w:before="60" w:after="6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Konsultacje (Formularz - Planowane Inwestycje);</w:t>
      </w:r>
    </w:p>
    <w:p w14:paraId="08688A11" w14:textId="77777777" w:rsidR="00D65080" w:rsidRDefault="006776D8">
      <w:pPr>
        <w:widowControl w:val="0"/>
        <w:numPr>
          <w:ilvl w:val="0"/>
          <w:numId w:val="21"/>
        </w:numPr>
        <w:autoSpaceDE w:val="0"/>
        <w:spacing w:before="60" w:after="6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Dokumenty;</w:t>
      </w:r>
    </w:p>
    <w:p w14:paraId="2D855225" w14:textId="77777777" w:rsidR="00D65080" w:rsidRDefault="006776D8">
      <w:pPr>
        <w:widowControl w:val="0"/>
        <w:numPr>
          <w:ilvl w:val="0"/>
          <w:numId w:val="21"/>
        </w:numPr>
        <w:autoSpaceDE w:val="0"/>
        <w:spacing w:before="60" w:after="6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Pomoc;</w:t>
      </w:r>
    </w:p>
    <w:p w14:paraId="6EAD101C" w14:textId="77777777" w:rsidR="00D65080" w:rsidRDefault="006776D8">
      <w:pPr>
        <w:widowControl w:val="0"/>
        <w:numPr>
          <w:ilvl w:val="0"/>
          <w:numId w:val="21"/>
        </w:numPr>
        <w:autoSpaceDE w:val="0"/>
        <w:spacing w:before="60" w:after="6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Kontakt.</w:t>
      </w:r>
    </w:p>
    <w:p w14:paraId="004FE4A2" w14:textId="77777777" w:rsidR="00D65080" w:rsidRDefault="006776D8">
      <w:pPr>
        <w:widowControl w:val="0"/>
        <w:autoSpaceDE w:val="0"/>
        <w:spacing w:before="100" w:after="10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Użytkownik nie posiada uprawnień do składania Oświadczeń oraz Importu i Eksportu danych.</w:t>
      </w:r>
    </w:p>
    <w:p w14:paraId="1402C20B" w14:textId="77777777" w:rsidR="00D65080" w:rsidRDefault="006776D8">
      <w:pPr>
        <w:pStyle w:val="Nagwek1"/>
      </w:pPr>
      <w:bookmarkStart w:id="26" w:name="_Toc451149445"/>
      <w:bookmarkStart w:id="27" w:name="_Toc14875638"/>
      <w:r>
        <w:lastRenderedPageBreak/>
        <w:t>Podsumowanie</w:t>
      </w:r>
      <w:bookmarkEnd w:id="26"/>
      <w:bookmarkEnd w:id="27"/>
    </w:p>
    <w:p w14:paraId="48DAD366" w14:textId="77777777" w:rsidR="00D65080" w:rsidRDefault="006776D8">
      <w:pPr>
        <w:spacing w:before="100" w:after="100"/>
        <w:jc w:val="both"/>
      </w:pPr>
      <w:r>
        <w:rPr>
          <w:sz w:val="24"/>
          <w:szCs w:val="24"/>
        </w:rPr>
        <w:t>Po zalogowaniu się do systemu automatycznie otwiera się okno podsumowania przekazywanych danych (</w:t>
      </w:r>
      <w:fldSimple w:instr=" REF _Ref517767168 ">
        <w:r>
          <w:t>Rys. 5</w:t>
        </w:r>
      </w:fldSimple>
      <w:r>
        <w:rPr>
          <w:sz w:val="24"/>
          <w:szCs w:val="24"/>
        </w:rPr>
        <w:t xml:space="preserve">). </w:t>
      </w:r>
      <w:r>
        <w:rPr>
          <w:rFonts w:cs="Arial"/>
          <w:sz w:val="24"/>
          <w:szCs w:val="24"/>
        </w:rPr>
        <w:t>Strona podsumowania systemu SIIS zawiera graficzne zobrazowanie stanu przekazywania danych oraz zestawienie formularzy z liczbą przekazanych obiektów.</w:t>
      </w:r>
    </w:p>
    <w:p w14:paraId="0DECC921" w14:textId="77777777" w:rsidR="00D65080" w:rsidRDefault="006776D8">
      <w:pPr>
        <w:keepNext/>
        <w:jc w:val="center"/>
      </w:pPr>
      <w:r>
        <w:rPr>
          <w:noProof/>
        </w:rPr>
        <w:drawing>
          <wp:inline distT="0" distB="0" distL="0" distR="0" wp14:anchorId="7A6490A5" wp14:editId="7F0DF4DC">
            <wp:extent cx="4778087" cy="2529998"/>
            <wp:effectExtent l="0" t="0" r="3463" b="3652"/>
            <wp:docPr id="9" name="Obraz 9" descr="obraz przedstawia Widok podsumowania. Strona podsumowania systemu informacyjnego o infrastrukturze szerokopasmowej zawiera graficzne zobrazowanie stanu przekazywania danych oraz zestawienie formularzy z liczbą przekazanych obiektów" title="rysunek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78087" cy="252999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FECB135" w14:textId="77777777" w:rsidR="00D65080" w:rsidRDefault="006776D8">
      <w:pPr>
        <w:pStyle w:val="Legenda"/>
        <w:jc w:val="center"/>
      </w:pPr>
      <w:bookmarkStart w:id="28" w:name="_Ref517767168"/>
      <w:r>
        <w:t>Rys. 5</w:t>
      </w:r>
      <w:bookmarkEnd w:id="28"/>
      <w:r>
        <w:t>. Widok podsumowania</w:t>
      </w:r>
    </w:p>
    <w:p w14:paraId="46571D43" w14:textId="77777777" w:rsidR="00D65080" w:rsidRDefault="006776D8">
      <w:pPr>
        <w:spacing w:after="0"/>
      </w:pPr>
      <w:r>
        <w:rPr>
          <w:rFonts w:cs="Arial"/>
          <w:sz w:val="24"/>
          <w:szCs w:val="24"/>
        </w:rPr>
        <w:t xml:space="preserve">W oknie podsumowania </w:t>
      </w:r>
      <w:r>
        <w:rPr>
          <w:rFonts w:cs="Arial"/>
          <w:b/>
          <w:sz w:val="24"/>
          <w:szCs w:val="24"/>
        </w:rPr>
        <w:t>administrator</w:t>
      </w:r>
      <w:r>
        <w:rPr>
          <w:rFonts w:cs="Arial"/>
          <w:sz w:val="24"/>
          <w:szCs w:val="24"/>
        </w:rPr>
        <w:t xml:space="preserve"> i </w:t>
      </w:r>
      <w:r>
        <w:rPr>
          <w:rFonts w:cs="Arial"/>
          <w:b/>
          <w:sz w:val="24"/>
          <w:szCs w:val="24"/>
        </w:rPr>
        <w:t xml:space="preserve">użytkownik </w:t>
      </w:r>
      <w:r>
        <w:rPr>
          <w:rFonts w:cs="Arial"/>
          <w:sz w:val="24"/>
          <w:szCs w:val="24"/>
        </w:rPr>
        <w:t>konsultacji</w:t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mają dostęp do następujących informacji:</w:t>
      </w:r>
    </w:p>
    <w:p w14:paraId="170A7978" w14:textId="77777777" w:rsidR="00D65080" w:rsidRDefault="006776D8">
      <w:pPr>
        <w:numPr>
          <w:ilvl w:val="0"/>
          <w:numId w:val="22"/>
        </w:numPr>
        <w:spacing w:before="60" w:after="6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liczba rekordów (liczba wszystkich rekordów oraz wskaźnik zmiany wyrażający procentowy wzrost lub spadek tej liczby rekordów),</w:t>
      </w:r>
    </w:p>
    <w:p w14:paraId="07E2BA2D" w14:textId="77777777" w:rsidR="00D65080" w:rsidRDefault="006776D8">
      <w:pPr>
        <w:numPr>
          <w:ilvl w:val="0"/>
          <w:numId w:val="22"/>
        </w:numPr>
        <w:spacing w:before="60" w:after="6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poprawność formalna (wynik w procentach i formie graficznej),</w:t>
      </w:r>
    </w:p>
    <w:p w14:paraId="200D1210" w14:textId="77777777" w:rsidR="00D65080" w:rsidRDefault="006776D8">
      <w:pPr>
        <w:numPr>
          <w:ilvl w:val="0"/>
          <w:numId w:val="22"/>
        </w:numPr>
        <w:spacing w:before="60" w:after="6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poprawność logiczna: ostrzeżenia (wartość liczbowa).</w:t>
      </w:r>
    </w:p>
    <w:p w14:paraId="307AAEC1" w14:textId="77777777" w:rsidR="00D65080" w:rsidRDefault="006776D8">
      <w:pPr>
        <w:spacing w:before="100" w:after="100"/>
      </w:pPr>
      <w:r>
        <w:rPr>
          <w:rFonts w:cs="Arial"/>
          <w:b/>
          <w:sz w:val="24"/>
          <w:szCs w:val="24"/>
        </w:rPr>
        <w:t xml:space="preserve">Liczba rekordów </w:t>
      </w:r>
      <w:r>
        <w:rPr>
          <w:rFonts w:cs="Arial"/>
          <w:sz w:val="24"/>
          <w:szCs w:val="24"/>
        </w:rPr>
        <w:t>to liczba rekordów wprowadzonych do systemu. W sposób procentowy podawany jest też przyrost danych. Kolor zielony liczby procentowej oznacza wzrost danych (strzałka w górę), kolor czerwony spadek (strzałka w dół). Wskaźnik procentowy wyświetlany jest tylko jeśli dane zostały przekazane również w roku poprzednim.</w:t>
      </w:r>
    </w:p>
    <w:p w14:paraId="6D8EEBC4" w14:textId="77777777" w:rsidR="00D65080" w:rsidRDefault="006776D8">
      <w:pPr>
        <w:spacing w:before="100" w:after="100"/>
      </w:pPr>
      <w:r>
        <w:rPr>
          <w:rFonts w:cs="Arial"/>
          <w:b/>
          <w:sz w:val="24"/>
          <w:szCs w:val="24"/>
        </w:rPr>
        <w:t xml:space="preserve">Poprawność formalna </w:t>
      </w:r>
      <w:r>
        <w:rPr>
          <w:rFonts w:cs="Arial"/>
          <w:sz w:val="24"/>
          <w:szCs w:val="24"/>
        </w:rPr>
        <w:t>to procentowy wskaźnik zgodności wprowadzonych danych z regułami walidacji systemu. Gdy poprawność wynosi do 90% wycinek koła jest czerwony, pomarańczowy - poniżej 100%, a zielony, gdy 100%.</w:t>
      </w:r>
    </w:p>
    <w:p w14:paraId="1EF7AD40" w14:textId="77777777" w:rsidR="00D65080" w:rsidRDefault="006776D8">
      <w:pPr>
        <w:spacing w:before="100" w:after="100"/>
      </w:pPr>
      <w:r>
        <w:rPr>
          <w:rFonts w:cs="Arial"/>
          <w:b/>
          <w:sz w:val="24"/>
          <w:szCs w:val="24"/>
        </w:rPr>
        <w:t>Poprawność logiczna</w:t>
      </w:r>
      <w:r>
        <w:rPr>
          <w:rFonts w:cs="Arial"/>
          <w:sz w:val="24"/>
          <w:szCs w:val="24"/>
        </w:rPr>
        <w:t xml:space="preserve"> obejmuje </w:t>
      </w:r>
      <w:r>
        <w:rPr>
          <w:rFonts w:cs="Arial"/>
          <w:b/>
          <w:sz w:val="24"/>
          <w:szCs w:val="24"/>
        </w:rPr>
        <w:t>Ostrzeżenia</w:t>
      </w:r>
      <w:r>
        <w:rPr>
          <w:rFonts w:cs="Arial"/>
          <w:sz w:val="24"/>
          <w:szCs w:val="24"/>
        </w:rPr>
        <w:t xml:space="preserve"> będące wynikiem sprawdzania zgodności wprowadzonych danych z regułami poprawności danych. Liczba ostrzeżeń różna od zera przedstawiona jest kolorem czerwonym. Raport poprawności danych dostępny jest w zakładce: </w:t>
      </w:r>
      <w:r>
        <w:rPr>
          <w:b/>
          <w:sz w:val="24"/>
        </w:rPr>
        <w:t>Konsultacje\Poprawność danych</w:t>
      </w:r>
      <w:r>
        <w:rPr>
          <w:rFonts w:cs="Arial"/>
          <w:sz w:val="24"/>
          <w:szCs w:val="24"/>
        </w:rPr>
        <w:t>.</w:t>
      </w:r>
    </w:p>
    <w:p w14:paraId="1EBE2B39" w14:textId="77777777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Administrator konsultacji może pobrać w formacie PDF </w:t>
      </w:r>
      <w:r>
        <w:rPr>
          <w:rFonts w:cs="Arial"/>
          <w:b/>
          <w:sz w:val="24"/>
          <w:szCs w:val="24"/>
        </w:rPr>
        <w:t>Podsumowanie</w:t>
      </w:r>
      <w:r>
        <w:rPr>
          <w:rFonts w:cs="Arial"/>
          <w:sz w:val="24"/>
          <w:szCs w:val="24"/>
        </w:rPr>
        <w:t xml:space="preserve"> przekazywanych danych lub </w:t>
      </w:r>
      <w:r>
        <w:rPr>
          <w:rFonts w:cs="Arial"/>
          <w:b/>
          <w:sz w:val="24"/>
          <w:szCs w:val="24"/>
        </w:rPr>
        <w:t>Potwierdzenie przekazania danych</w:t>
      </w:r>
      <w:r>
        <w:rPr>
          <w:rFonts w:cs="Arial"/>
          <w:sz w:val="24"/>
          <w:szCs w:val="24"/>
        </w:rPr>
        <w:t>.</w:t>
      </w:r>
    </w:p>
    <w:p w14:paraId="008CDB50" w14:textId="77777777" w:rsidR="00D65080" w:rsidRDefault="006776D8">
      <w:pPr>
        <w:spacing w:before="100" w:after="100"/>
      </w:pPr>
      <w:r>
        <w:rPr>
          <w:rFonts w:cs="Arial"/>
          <w:b/>
          <w:sz w:val="24"/>
          <w:szCs w:val="24"/>
        </w:rPr>
        <w:t>Potwierdzenie przekazania danych będzie dostępne po zakończeniu przekazywania danych i wypełnieniu oświadczenia</w:t>
      </w:r>
      <w:r>
        <w:rPr>
          <w:rFonts w:cs="Arial"/>
          <w:sz w:val="24"/>
          <w:szCs w:val="24"/>
        </w:rPr>
        <w:t>.</w:t>
      </w:r>
    </w:p>
    <w:p w14:paraId="36C648FB" w14:textId="77777777" w:rsidR="00D65080" w:rsidRDefault="006776D8">
      <w:pPr>
        <w:pStyle w:val="Nagwek1"/>
      </w:pPr>
      <w:bookmarkStart w:id="29" w:name="_Toc451149446"/>
      <w:bookmarkStart w:id="30" w:name="_Toc14875639"/>
      <w:r>
        <w:lastRenderedPageBreak/>
        <w:t>Formularz Planowane inwestycje - zakładka Konsultacje</w:t>
      </w:r>
      <w:bookmarkEnd w:id="25"/>
      <w:bookmarkEnd w:id="29"/>
      <w:bookmarkEnd w:id="30"/>
    </w:p>
    <w:p w14:paraId="6FEA9282" w14:textId="77777777" w:rsidR="00D65080" w:rsidRDefault="006776D8">
      <w:pPr>
        <w:spacing w:before="100" w:after="100"/>
      </w:pPr>
      <w:r>
        <w:rPr>
          <w:sz w:val="24"/>
          <w:szCs w:val="24"/>
        </w:rPr>
        <w:t xml:space="preserve">Okno listy formularza </w:t>
      </w:r>
      <w:r>
        <w:rPr>
          <w:b/>
          <w:sz w:val="24"/>
          <w:szCs w:val="24"/>
        </w:rPr>
        <w:t>Planowane inwestycje</w:t>
      </w:r>
      <w:r>
        <w:rPr>
          <w:sz w:val="24"/>
          <w:szCs w:val="24"/>
        </w:rPr>
        <w:t xml:space="preserve"> przedstawiono na </w:t>
      </w:r>
      <w:fldSimple w:instr=" REF _Ref517767430 ">
        <w:r>
          <w:t>Rys. 6</w:t>
        </w:r>
      </w:fldSimple>
      <w:r>
        <w:rPr>
          <w:rFonts w:cs="Arial"/>
          <w:sz w:val="24"/>
          <w:szCs w:val="24"/>
        </w:rPr>
        <w:t>.</w:t>
      </w:r>
      <w:r>
        <w:rPr>
          <w:sz w:val="24"/>
          <w:szCs w:val="24"/>
        </w:rPr>
        <w:t xml:space="preserve"> Zawiera ono zestawienie planowanych inwestycji wprowadzonych do systemu.</w:t>
      </w:r>
    </w:p>
    <w:p w14:paraId="15037BEA" w14:textId="77777777" w:rsidR="00D65080" w:rsidRDefault="006776D8">
      <w:pPr>
        <w:pStyle w:val="Legenda"/>
        <w:keepNext/>
        <w:keepLines/>
        <w:spacing w:before="100" w:after="100"/>
        <w:jc w:val="center"/>
      </w:pPr>
      <w:bookmarkStart w:id="31" w:name="_Ref307822081"/>
      <w:r>
        <w:rPr>
          <w:noProof/>
        </w:rPr>
        <w:drawing>
          <wp:inline distT="0" distB="0" distL="0" distR="0" wp14:anchorId="5577A3EA" wp14:editId="69D83BEB">
            <wp:extent cx="5174223" cy="2719571"/>
            <wp:effectExtent l="0" t="0" r="7377" b="4579"/>
            <wp:docPr id="10" name="Obraz 5" descr="obraz przedstawia Plany inwestycyjne - lista" title="rysunek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4223" cy="27195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1B58F0F" w14:textId="77777777" w:rsidR="00D65080" w:rsidRDefault="006776D8">
      <w:pPr>
        <w:pStyle w:val="Legenda"/>
        <w:jc w:val="center"/>
      </w:pPr>
      <w:bookmarkStart w:id="32" w:name="_Ref517767430"/>
      <w:r>
        <w:t>Rys. 6</w:t>
      </w:r>
      <w:bookmarkEnd w:id="32"/>
      <w:r>
        <w:t>. Plany inwestycyjne - lista</w:t>
      </w:r>
    </w:p>
    <w:bookmarkEnd w:id="31"/>
    <w:p w14:paraId="6D3DFE20" w14:textId="77777777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Naciśniecie przycisku </w:t>
      </w:r>
      <w:r>
        <w:rPr>
          <w:rFonts w:cs="Arial"/>
          <w:b/>
          <w:sz w:val="24"/>
          <w:szCs w:val="24"/>
        </w:rPr>
        <w:t>Dodaj nowy obiekt</w:t>
      </w:r>
      <w:r>
        <w:rPr>
          <w:rFonts w:cs="Arial"/>
          <w:sz w:val="24"/>
          <w:szCs w:val="24"/>
        </w:rPr>
        <w:t xml:space="preserve"> powoduje przejście do formularza</w:t>
      </w:r>
      <w:r>
        <w:rPr>
          <w:rFonts w:cs="Arial"/>
          <w:b/>
          <w:sz w:val="24"/>
          <w:szCs w:val="24"/>
        </w:rPr>
        <w:t xml:space="preserve"> Planowana inwestycja </w:t>
      </w:r>
      <w:r>
        <w:rPr>
          <w:rFonts w:cs="Arial"/>
          <w:sz w:val="24"/>
          <w:szCs w:val="24"/>
        </w:rPr>
        <w:t>(</w:t>
      </w:r>
      <w:fldSimple w:instr=" REF _Ref517767631 ">
        <w:r>
          <w:t>Rys. 7</w:t>
        </w:r>
      </w:fldSimple>
      <w:r>
        <w:rPr>
          <w:sz w:val="24"/>
          <w:szCs w:val="24"/>
        </w:rPr>
        <w:t>)</w:t>
      </w:r>
      <w:r>
        <w:rPr>
          <w:rFonts w:cs="Arial"/>
          <w:sz w:val="24"/>
          <w:szCs w:val="24"/>
        </w:rPr>
        <w:t>.</w:t>
      </w:r>
    </w:p>
    <w:p w14:paraId="7E4AFCFE" w14:textId="17C3BFA9" w:rsidR="00D65080" w:rsidRDefault="007860BA">
      <w:pPr>
        <w:keepNext/>
        <w:spacing w:before="100" w:after="100"/>
        <w:jc w:val="center"/>
      </w:pPr>
      <w:r w:rsidRPr="007860BA">
        <w:rPr>
          <w:noProof/>
        </w:rPr>
        <w:lastRenderedPageBreak/>
        <w:drawing>
          <wp:inline distT="0" distB="0" distL="0" distR="0" wp14:anchorId="44F88C5F" wp14:editId="411A4B6F">
            <wp:extent cx="6300470" cy="6953885"/>
            <wp:effectExtent l="0" t="0" r="0" b="5715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695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8A7B8" w14:textId="77777777" w:rsidR="00D65080" w:rsidRDefault="006776D8">
      <w:pPr>
        <w:pStyle w:val="Legenda"/>
        <w:jc w:val="center"/>
      </w:pPr>
      <w:bookmarkStart w:id="33" w:name="_Ref517767631"/>
      <w:r>
        <w:t>Rys. 7</w:t>
      </w:r>
      <w:bookmarkEnd w:id="33"/>
      <w:r>
        <w:t>. Formularz Planowana inwestycja</w:t>
      </w:r>
    </w:p>
    <w:p w14:paraId="1BA6F2AC" w14:textId="77777777" w:rsidR="00D65080" w:rsidRDefault="006776D8">
      <w:r>
        <w:rPr>
          <w:rFonts w:cs="Arial"/>
          <w:sz w:val="24"/>
          <w:szCs w:val="24"/>
        </w:rPr>
        <w:t xml:space="preserve">Formularz </w:t>
      </w:r>
      <w:r>
        <w:rPr>
          <w:rFonts w:cs="Arial"/>
          <w:b/>
          <w:sz w:val="24"/>
          <w:szCs w:val="24"/>
        </w:rPr>
        <w:t xml:space="preserve">Planowana inwestycja </w:t>
      </w:r>
      <w:r>
        <w:rPr>
          <w:rFonts w:cs="Arial"/>
          <w:sz w:val="24"/>
          <w:szCs w:val="24"/>
        </w:rPr>
        <w:t>służy do przekazywania informacji o planowanych sieciach telekomunikacyjnych (w tym wartości nakładów inwestycyjnych brutto dla planowanych inwestycji) oraz załączenia wymaganych dokumentów.</w:t>
      </w:r>
    </w:p>
    <w:p w14:paraId="6EB86621" w14:textId="77777777" w:rsidR="00D65080" w:rsidRDefault="006776D8">
      <w:r>
        <w:rPr>
          <w:rFonts w:cs="Arial"/>
          <w:sz w:val="24"/>
          <w:szCs w:val="24"/>
        </w:rPr>
        <w:t xml:space="preserve">Pola wymagane oznaczone kolorem pomarańczowym należy obowiązkowo wypełnić. Jeżeli użytkownik nie wypełni wszystkich pól wymaganych (po naciśnięciu przycisku </w:t>
      </w:r>
      <w:r>
        <w:rPr>
          <w:rFonts w:cs="Arial"/>
          <w:b/>
          <w:sz w:val="24"/>
          <w:szCs w:val="24"/>
        </w:rPr>
        <w:t>Zapisz</w:t>
      </w:r>
      <w:r>
        <w:rPr>
          <w:rFonts w:cs="Arial"/>
          <w:sz w:val="24"/>
          <w:szCs w:val="24"/>
        </w:rPr>
        <w:t xml:space="preserve">), zostaną one oznaczone kolorem czerwonym i opisane komunikatem: </w:t>
      </w:r>
      <w:r>
        <w:rPr>
          <w:rFonts w:cs="Arial"/>
          <w:b/>
          <w:sz w:val="24"/>
          <w:szCs w:val="24"/>
        </w:rPr>
        <w:t>To pole jest wymagane</w:t>
      </w:r>
      <w:r>
        <w:rPr>
          <w:rFonts w:cs="Arial"/>
          <w:sz w:val="24"/>
          <w:szCs w:val="24"/>
        </w:rPr>
        <w:t>.</w:t>
      </w:r>
    </w:p>
    <w:p w14:paraId="3333024A" w14:textId="77777777" w:rsidR="00D65080" w:rsidRDefault="006776D8">
      <w:r>
        <w:rPr>
          <w:sz w:val="24"/>
        </w:rPr>
        <w:lastRenderedPageBreak/>
        <w:t xml:space="preserve">Opis poszczególnych pól formularza Planowana sieć dostępowa zawiera </w:t>
      </w:r>
      <w:fldSimple w:instr=" REF _Ref373485816 ">
        <w:r>
          <w:t>Tabl. 1</w:t>
        </w:r>
      </w:fldSimple>
      <w:r>
        <w:rPr>
          <w:sz w:val="24"/>
        </w:rPr>
        <w:t>.</w:t>
      </w:r>
    </w:p>
    <w:p w14:paraId="46EBA5ED" w14:textId="77777777" w:rsidR="00D65080" w:rsidRDefault="006776D8">
      <w:pPr>
        <w:pStyle w:val="Legenda"/>
        <w:keepNext/>
        <w:keepLines/>
        <w:ind w:left="284"/>
      </w:pPr>
      <w:bookmarkStart w:id="34" w:name="_Ref373485816"/>
      <w:r>
        <w:t>Tabl. 1</w:t>
      </w:r>
      <w:bookmarkEnd w:id="34"/>
      <w:r>
        <w:t>. Pola formularza Planowana inwestycja</w:t>
      </w:r>
    </w:p>
    <w:tbl>
      <w:tblPr>
        <w:tblW w:w="9725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6"/>
        <w:gridCol w:w="1695"/>
        <w:gridCol w:w="6"/>
        <w:gridCol w:w="3805"/>
        <w:gridCol w:w="17"/>
        <w:gridCol w:w="1933"/>
      </w:tblGrid>
      <w:tr w:rsidR="00D65080" w14:paraId="00162444" w14:textId="77777777">
        <w:trPr>
          <w:trHeight w:val="313"/>
          <w:tblHeader/>
          <w:jc w:val="right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95528" w14:textId="77777777" w:rsidR="00D65080" w:rsidRDefault="006776D8">
            <w:pPr>
              <w:keepNext/>
              <w:keepLines/>
              <w:spacing w:before="40" w:after="40"/>
              <w:jc w:val="center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Nazwa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4B41F" w14:textId="77777777" w:rsidR="00D65080" w:rsidRDefault="006776D8">
            <w:pPr>
              <w:keepNext/>
              <w:keepLines/>
              <w:spacing w:before="40" w:after="40"/>
              <w:jc w:val="center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Typ/długość pola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F0C3C" w14:textId="77777777" w:rsidR="00D65080" w:rsidRDefault="006776D8">
            <w:pPr>
              <w:keepNext/>
              <w:keepLines/>
              <w:spacing w:before="40" w:after="40"/>
              <w:jc w:val="center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Uwagi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5471E" w14:textId="77777777" w:rsidR="00D65080" w:rsidRDefault="006776D8">
            <w:pPr>
              <w:keepNext/>
              <w:keepLines/>
              <w:spacing w:before="40" w:after="40"/>
              <w:jc w:val="center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Przykład</w:t>
            </w:r>
          </w:p>
        </w:tc>
      </w:tr>
      <w:tr w:rsidR="00D65080" w14:paraId="1E890A82" w14:textId="77777777">
        <w:trPr>
          <w:trHeight w:val="313"/>
          <w:jc w:val="right"/>
        </w:trPr>
        <w:tc>
          <w:tcPr>
            <w:tcW w:w="9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9FA6D" w14:textId="77777777" w:rsidR="00D65080" w:rsidRDefault="006776D8">
            <w:pPr>
              <w:keepNext/>
              <w:keepLines/>
              <w:spacing w:before="40" w:after="4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Planowana inwestycja</w:t>
            </w:r>
          </w:p>
        </w:tc>
      </w:tr>
      <w:tr w:rsidR="00D65080" w14:paraId="795758AF" w14:textId="77777777">
        <w:trPr>
          <w:trHeight w:val="313"/>
          <w:jc w:val="right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4D580" w14:textId="77777777" w:rsidR="00D65080" w:rsidRDefault="006776D8">
            <w:pPr>
              <w:keepNext/>
              <w:keepLines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Identyfikator planowanej inwestycji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F52C9" w14:textId="77777777" w:rsidR="00D65080" w:rsidRDefault="006776D8">
            <w:pPr>
              <w:keepNext/>
              <w:keepLines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Tekst / 100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7C735" w14:textId="77777777" w:rsidR="00D65080" w:rsidRDefault="006776D8">
            <w:pPr>
              <w:keepNext/>
              <w:keepLines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Oznaczenie inwestycji sieci.</w:t>
            </w:r>
          </w:p>
          <w:p w14:paraId="14A1FC19" w14:textId="77777777" w:rsidR="00D65080" w:rsidRDefault="006776D8">
            <w:pPr>
              <w:keepNext/>
              <w:keepLines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Dozwolone tylko polskie litery (małe i duże), cyfry oraz znaki specjalne spośród -_+/#()[],.;:\|@</w:t>
            </w:r>
          </w:p>
          <w:p w14:paraId="2550F545" w14:textId="77777777" w:rsidR="00D65080" w:rsidRDefault="006776D8">
            <w:pPr>
              <w:keepNext/>
              <w:keepLines/>
              <w:spacing w:before="40" w:after="40"/>
            </w:pPr>
            <w:r>
              <w:rPr>
                <w:rFonts w:cs="Arial"/>
                <w:bCs/>
                <w:sz w:val="18"/>
                <w:szCs w:val="18"/>
              </w:rPr>
              <w:t>Identyfikator musi być unikalny i nie może zawierać spacji.</w:t>
            </w:r>
          </w:p>
          <w:p w14:paraId="2DDE15A9" w14:textId="77777777" w:rsidR="00D65080" w:rsidRDefault="006776D8">
            <w:pPr>
              <w:keepNext/>
              <w:keepLines/>
              <w:spacing w:before="40" w:after="4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Musi być unikalny w zakresie danych planów inwestycyjnych pojedynczego podmiotu.</w:t>
            </w:r>
          </w:p>
          <w:p w14:paraId="3BF1B3B6" w14:textId="77777777" w:rsidR="00D65080" w:rsidRDefault="006776D8">
            <w:pPr>
              <w:keepNext/>
              <w:keepLines/>
              <w:spacing w:before="40" w:after="40"/>
            </w:pPr>
            <w:r>
              <w:rPr>
                <w:rFonts w:cs="Arial"/>
                <w:bCs/>
                <w:sz w:val="18"/>
                <w:szCs w:val="18"/>
              </w:rPr>
              <w:t>Pole wymagane.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81340" w14:textId="77777777" w:rsidR="00D65080" w:rsidRDefault="006776D8">
            <w:pPr>
              <w:keepNext/>
              <w:keepLines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INWESTYCJA_S01</w:t>
            </w:r>
          </w:p>
        </w:tc>
      </w:tr>
      <w:tr w:rsidR="00D65080" w14:paraId="58561DF4" w14:textId="77777777">
        <w:trPr>
          <w:trHeight w:val="313"/>
          <w:jc w:val="right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23AFF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Rok zakończenia inwestycji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E0135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Liczba całkowita nieujemna / 4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12D6A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Wybór z listy rozwijanej jednej z wartości: </w:t>
            </w:r>
            <w:r>
              <w:rPr>
                <w:rFonts w:cs="Arial"/>
                <w:sz w:val="18"/>
                <w:szCs w:val="18"/>
              </w:rPr>
              <w:br/>
              <w:t>2019, 2020, 2021, 2022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80936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2020</w:t>
            </w:r>
          </w:p>
        </w:tc>
      </w:tr>
      <w:tr w:rsidR="00D65080" w14:paraId="66136D7D" w14:textId="77777777">
        <w:trPr>
          <w:trHeight w:val="313"/>
          <w:jc w:val="right"/>
        </w:trPr>
        <w:tc>
          <w:tcPr>
            <w:tcW w:w="9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80276" w14:textId="77777777" w:rsidR="00D65080" w:rsidRDefault="006776D8">
            <w:pPr>
              <w:spacing w:before="40" w:after="4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Ogólne informacje o inwestycji</w:t>
            </w:r>
          </w:p>
        </w:tc>
      </w:tr>
      <w:tr w:rsidR="00D65080" w14:paraId="6FBF9C2A" w14:textId="77777777">
        <w:trPr>
          <w:trHeight w:val="313"/>
          <w:jc w:val="right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C41BC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Planowana technologia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27D4B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Tekst / 100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DA8B3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Wybór z listy rozwijanej jednej z wartości: </w:t>
            </w:r>
          </w:p>
          <w:p w14:paraId="2E5D97A5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-100 Mb/s Ethernet</w:t>
            </w:r>
          </w:p>
          <w:p w14:paraId="578F6CC2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-1 Gigabit Ethernet</w:t>
            </w:r>
          </w:p>
          <w:p w14:paraId="344C23D2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-10 Gigabit Ethernet</w:t>
            </w:r>
          </w:p>
          <w:p w14:paraId="680704DB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-40 Gigabit Ethernet</w:t>
            </w:r>
          </w:p>
          <w:p w14:paraId="70523007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-100 Gigabit Ethernet</w:t>
            </w:r>
          </w:p>
          <w:p w14:paraId="1C098105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-GPON</w:t>
            </w:r>
          </w:p>
          <w:p w14:paraId="33A755B0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-EPON</w:t>
            </w:r>
          </w:p>
          <w:p w14:paraId="358F159C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-DWDM</w:t>
            </w:r>
          </w:p>
          <w:p w14:paraId="4D3CBEE3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-CWDM</w:t>
            </w:r>
          </w:p>
          <w:p w14:paraId="2E73F3AA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-SDH</w:t>
            </w:r>
          </w:p>
          <w:p w14:paraId="31579B7F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-FTTB</w:t>
            </w:r>
          </w:p>
          <w:p w14:paraId="08F52FB5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-FTTC</w:t>
            </w:r>
          </w:p>
          <w:p w14:paraId="4133DAB1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-FTTH</w:t>
            </w:r>
          </w:p>
          <w:p w14:paraId="7D598B05" w14:textId="77777777" w:rsidR="00D65080" w:rsidRPr="0053234D" w:rsidRDefault="006776D8">
            <w:pPr>
              <w:spacing w:before="40" w:after="40"/>
              <w:rPr>
                <w:rFonts w:cs="Arial"/>
                <w:sz w:val="18"/>
                <w:szCs w:val="18"/>
                <w:lang w:val="en-US"/>
              </w:rPr>
            </w:pPr>
            <w:r w:rsidRPr="0053234D">
              <w:rPr>
                <w:rFonts w:cs="Arial"/>
                <w:sz w:val="18"/>
                <w:szCs w:val="18"/>
                <w:lang w:val="en-US"/>
              </w:rPr>
              <w:t>-(EURO)DOCSIS 3.1</w:t>
            </w:r>
          </w:p>
          <w:p w14:paraId="6F372D09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-VDSL2</w:t>
            </w:r>
          </w:p>
          <w:p w14:paraId="32C7939A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-VDSL</w:t>
            </w:r>
          </w:p>
          <w:p w14:paraId="2D7652FD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-HFC</w:t>
            </w:r>
          </w:p>
          <w:p w14:paraId="2F5A77CC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-LTE</w:t>
            </w:r>
          </w:p>
          <w:p w14:paraId="3CB29651" w14:textId="77777777" w:rsidR="00D65080" w:rsidRPr="0053234D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53234D">
              <w:rPr>
                <w:rFonts w:cs="Arial"/>
                <w:sz w:val="18"/>
                <w:szCs w:val="18"/>
              </w:rPr>
              <w:t>-(EURO)DOCSIS 3.0</w:t>
            </w:r>
          </w:p>
          <w:p w14:paraId="2A3D66A9" w14:textId="77777777" w:rsidR="00D65080" w:rsidRDefault="006776D8">
            <w:pPr>
              <w:spacing w:before="40" w:after="40"/>
            </w:pPr>
            <w:r>
              <w:rPr>
                <w:rFonts w:cs="Arial"/>
                <w:sz w:val="18"/>
                <w:szCs w:val="18"/>
              </w:rPr>
              <w:t>Możliwość wskazania technologii nie wymienionych w powyższych słownikach poprzez wybranie wartości: inna.</w:t>
            </w:r>
          </w:p>
          <w:p w14:paraId="109834F1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Pole wymagane.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3C955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100 </w:t>
            </w:r>
            <w:proofErr w:type="spellStart"/>
            <w:r>
              <w:rPr>
                <w:rFonts w:cs="Arial"/>
                <w:sz w:val="18"/>
                <w:szCs w:val="18"/>
              </w:rPr>
              <w:t>Mb</w:t>
            </w:r>
            <w:proofErr w:type="spellEnd"/>
            <w:r>
              <w:rPr>
                <w:rFonts w:cs="Arial"/>
                <w:sz w:val="18"/>
                <w:szCs w:val="18"/>
              </w:rPr>
              <w:t>/s Ethernet</w:t>
            </w:r>
          </w:p>
        </w:tc>
      </w:tr>
      <w:tr w:rsidR="00D65080" w14:paraId="2D233E24" w14:textId="77777777">
        <w:trPr>
          <w:trHeight w:val="313"/>
          <w:jc w:val="right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6F2BE" w14:textId="77777777" w:rsidR="00D65080" w:rsidRDefault="006776D8">
            <w:pPr>
              <w:spacing w:before="40" w:after="40"/>
            </w:pPr>
            <w:r>
              <w:rPr>
                <w:rStyle w:val="apple-style-span"/>
                <w:rFonts w:cs="Arial"/>
                <w:sz w:val="18"/>
                <w:szCs w:val="18"/>
              </w:rPr>
              <w:t>Wartość nakładów inwestycyjnych brutto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B23AF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Liczba całkowita dodatnia / 9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4E769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Wartość nakładów inwestycyjnych w zł brutto.</w:t>
            </w:r>
          </w:p>
          <w:p w14:paraId="2E2E8422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Pole wymagane.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FCFC9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10000000</w:t>
            </w:r>
          </w:p>
        </w:tc>
      </w:tr>
      <w:tr w:rsidR="00D65080" w14:paraId="1D523B6F" w14:textId="77777777">
        <w:trPr>
          <w:trHeight w:val="313"/>
          <w:jc w:val="right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3C90A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Dokument potwierdzający planowaną inwestycję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455EE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Plik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1685F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Należy załączyć stosowny plik. Nazwa pliku nie może być dłuższa niż 60 znaków i w nazwie nie może być polskich liter.</w:t>
            </w:r>
          </w:p>
          <w:p w14:paraId="7B7DE757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Dozwolone formaty pliku: pdf, </w:t>
            </w:r>
            <w:proofErr w:type="spellStart"/>
            <w:r>
              <w:rPr>
                <w:rFonts w:cs="Arial"/>
                <w:sz w:val="18"/>
                <w:szCs w:val="18"/>
              </w:rPr>
              <w:t>doc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  <w:szCs w:val="18"/>
              </w:rPr>
              <w:t>docx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, xls, </w:t>
            </w:r>
            <w:proofErr w:type="spellStart"/>
            <w:r>
              <w:rPr>
                <w:rFonts w:cs="Arial"/>
                <w:sz w:val="18"/>
                <w:szCs w:val="18"/>
              </w:rPr>
              <w:t>xlsx</w:t>
            </w:r>
            <w:proofErr w:type="spellEnd"/>
          </w:p>
          <w:p w14:paraId="2820E4DA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Pole wymagane.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83692" w14:textId="77777777" w:rsidR="00D65080" w:rsidRDefault="00D65080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D65080" w14:paraId="461B43DD" w14:textId="77777777">
        <w:trPr>
          <w:trHeight w:val="313"/>
          <w:jc w:val="right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ED43B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Źródła finansowania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0E382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Plik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4A04E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Należy załączyć stosowny plik. Nazwa pliku nie może być dłuższa niż 60 znaków i w nazwie nie może być polskich liter.</w:t>
            </w:r>
          </w:p>
          <w:p w14:paraId="2A06C560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Dozwolone formaty: pdf, </w:t>
            </w:r>
            <w:proofErr w:type="spellStart"/>
            <w:r>
              <w:rPr>
                <w:rFonts w:cs="Arial"/>
                <w:sz w:val="18"/>
                <w:szCs w:val="18"/>
              </w:rPr>
              <w:t>doc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  <w:szCs w:val="18"/>
              </w:rPr>
              <w:t>docx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, xls, </w:t>
            </w:r>
            <w:proofErr w:type="spellStart"/>
            <w:r>
              <w:rPr>
                <w:rFonts w:cs="Arial"/>
                <w:sz w:val="18"/>
                <w:szCs w:val="18"/>
              </w:rPr>
              <w:t>xlsx</w:t>
            </w:r>
            <w:proofErr w:type="spellEnd"/>
          </w:p>
          <w:p w14:paraId="60CEC339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Pole wymagane.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44941" w14:textId="77777777" w:rsidR="00D65080" w:rsidRDefault="00D65080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D65080" w14:paraId="6CCE16B8" w14:textId="77777777">
        <w:trPr>
          <w:trHeight w:val="313"/>
          <w:jc w:val="right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75BDD" w14:textId="77777777" w:rsidR="00D65080" w:rsidRDefault="006776D8">
            <w:pPr>
              <w:spacing w:before="40" w:after="40"/>
            </w:pPr>
            <w:r>
              <w:rPr>
                <w:rFonts w:cs="Arial"/>
                <w:bCs/>
                <w:sz w:val="18"/>
                <w:szCs w:val="18"/>
              </w:rPr>
              <w:t>inny załącznik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BFA4F" w14:textId="77777777" w:rsidR="00D65080" w:rsidRDefault="006776D8">
            <w:pPr>
              <w:spacing w:before="40" w:after="40"/>
            </w:pPr>
            <w:r>
              <w:rPr>
                <w:rFonts w:cs="Arial"/>
                <w:bCs/>
                <w:sz w:val="18"/>
                <w:szCs w:val="18"/>
              </w:rPr>
              <w:t>Plik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E9E69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Należy załączyć stosowny plik. Nazwa pliku nie może być dłuższa niż 60 znaków i w nazwie nie może być polskich liter.</w:t>
            </w:r>
          </w:p>
          <w:p w14:paraId="0F3009C6" w14:textId="77777777" w:rsidR="00D65080" w:rsidRDefault="006776D8">
            <w:pPr>
              <w:spacing w:before="40" w:after="4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Dozwolony format: pdf, </w:t>
            </w:r>
            <w:proofErr w:type="spellStart"/>
            <w:r>
              <w:rPr>
                <w:rFonts w:cs="Arial"/>
                <w:bCs/>
                <w:sz w:val="18"/>
                <w:szCs w:val="18"/>
              </w:rPr>
              <w:t>doc</w:t>
            </w:r>
            <w:proofErr w:type="spellEnd"/>
            <w:r>
              <w:rPr>
                <w:rFonts w:cs="Arial"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="Arial"/>
                <w:bCs/>
                <w:sz w:val="18"/>
                <w:szCs w:val="18"/>
              </w:rPr>
              <w:t>docx</w:t>
            </w:r>
            <w:proofErr w:type="spellEnd"/>
            <w:r>
              <w:rPr>
                <w:rFonts w:cs="Arial"/>
                <w:bCs/>
                <w:sz w:val="18"/>
                <w:szCs w:val="18"/>
              </w:rPr>
              <w:t xml:space="preserve">, xls, </w:t>
            </w:r>
            <w:proofErr w:type="spellStart"/>
            <w:r>
              <w:rPr>
                <w:rFonts w:cs="Arial"/>
                <w:bCs/>
                <w:sz w:val="18"/>
                <w:szCs w:val="18"/>
              </w:rPr>
              <w:t>xlsx</w:t>
            </w:r>
            <w:proofErr w:type="spellEnd"/>
            <w:r>
              <w:rPr>
                <w:rFonts w:cs="Arial"/>
                <w:bCs/>
                <w:sz w:val="18"/>
                <w:szCs w:val="18"/>
              </w:rPr>
              <w:t>.</w:t>
            </w:r>
          </w:p>
          <w:p w14:paraId="40F3AC7F" w14:textId="77777777" w:rsidR="00D65080" w:rsidRDefault="006776D8">
            <w:pPr>
              <w:spacing w:before="40" w:after="40"/>
            </w:pPr>
            <w:r>
              <w:rPr>
                <w:rFonts w:cs="Arial"/>
                <w:bCs/>
                <w:sz w:val="18"/>
                <w:szCs w:val="18"/>
              </w:rPr>
              <w:t>Pole niewymagane.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D6D7C" w14:textId="77777777" w:rsidR="00D65080" w:rsidRDefault="00D65080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D65080" w14:paraId="7B3E3B74" w14:textId="77777777">
        <w:trPr>
          <w:trHeight w:val="313"/>
          <w:jc w:val="right"/>
        </w:trPr>
        <w:tc>
          <w:tcPr>
            <w:tcW w:w="9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A8788" w14:textId="77777777" w:rsidR="00D65080" w:rsidRDefault="006776D8">
            <w:pPr>
              <w:spacing w:before="40" w:after="4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Harmonogram inwestycji</w:t>
            </w:r>
          </w:p>
        </w:tc>
      </w:tr>
      <w:tr w:rsidR="00D65080" w14:paraId="7AAD5ED2" w14:textId="77777777">
        <w:trPr>
          <w:trHeight w:val="313"/>
          <w:jc w:val="right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BC32F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Planowanie inwestycji - rozpoczęcie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BA73C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Data</w:t>
            </w:r>
          </w:p>
          <w:p w14:paraId="644B755F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 dla zestawu dat, zakończenie nie może być przed rozpoczęciem,</w:t>
            </w:r>
          </w:p>
          <w:p w14:paraId="3DE2AFC7" w14:textId="77777777" w:rsidR="00D65080" w:rsidRDefault="006776D8">
            <w:pPr>
              <w:spacing w:before="40" w:after="40"/>
            </w:pPr>
            <w:r>
              <w:rPr>
                <w:rFonts w:cs="Arial"/>
                <w:sz w:val="18"/>
                <w:szCs w:val="18"/>
              </w:rPr>
              <w:t>- rozpoczęcie prac budowlanych nie może być przed rozpoczęciem planowania inwestycji,</w:t>
            </w:r>
          </w:p>
          <w:p w14:paraId="3C7E3F35" w14:textId="77777777" w:rsidR="00D65080" w:rsidRDefault="006776D8">
            <w:pPr>
              <w:spacing w:before="40" w:after="40"/>
            </w:pPr>
            <w:r>
              <w:rPr>
                <w:rFonts w:cs="Arial"/>
                <w:sz w:val="18"/>
                <w:szCs w:val="18"/>
              </w:rPr>
              <w:t>- rozpoczęcie użytkowania nie może być przed rozpoczęciem prac budowlanych.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BACE5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Pole wymagane.</w:t>
            </w:r>
          </w:p>
          <w:p w14:paraId="3C34A276" w14:textId="77777777" w:rsidR="00D65080" w:rsidRDefault="006776D8">
            <w:pPr>
              <w:spacing w:before="40" w:after="40"/>
            </w:pPr>
            <w:r>
              <w:rPr>
                <w:rFonts w:cs="Arial"/>
                <w:sz w:val="18"/>
                <w:szCs w:val="18"/>
              </w:rPr>
              <w:t>Wybierana z kalendarza. Format RRRR-MM (gdzie RRRR to cyfry roku, a MM to cyfry miesiąca z przedziału 01-12).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95777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2020-01</w:t>
            </w:r>
          </w:p>
        </w:tc>
      </w:tr>
      <w:tr w:rsidR="00D65080" w14:paraId="7A5CA627" w14:textId="77777777">
        <w:trPr>
          <w:trHeight w:val="313"/>
          <w:jc w:val="right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BA263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Planowanie inwestycji – zakończenie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192CD" w14:textId="77777777" w:rsidR="00D65080" w:rsidRDefault="00D65080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965FE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Pole wymagane.</w:t>
            </w:r>
          </w:p>
          <w:p w14:paraId="162A7880" w14:textId="77777777" w:rsidR="00D65080" w:rsidRDefault="006776D8">
            <w:pPr>
              <w:spacing w:before="40" w:after="40"/>
            </w:pPr>
            <w:r>
              <w:rPr>
                <w:rFonts w:cs="Arial"/>
                <w:sz w:val="18"/>
                <w:szCs w:val="18"/>
              </w:rPr>
              <w:t>Wybierana z kalendarza. Format RRRR-MM (gdzie RRRR to cyfry roku, a MM to cyfry miesiąca z przedziału 01-12).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D74F4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2020-12</w:t>
            </w:r>
          </w:p>
        </w:tc>
      </w:tr>
      <w:tr w:rsidR="00D65080" w14:paraId="192C2D58" w14:textId="77777777">
        <w:trPr>
          <w:trHeight w:val="313"/>
          <w:jc w:val="right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F2D90" w14:textId="77777777" w:rsidR="00D65080" w:rsidRDefault="006776D8">
            <w:pPr>
              <w:spacing w:before="40" w:after="40"/>
            </w:pPr>
            <w:r>
              <w:rPr>
                <w:rFonts w:cs="Arial"/>
                <w:sz w:val="18"/>
                <w:szCs w:val="18"/>
              </w:rPr>
              <w:t>Prace budowlane – rozpoczęcie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3CFD9" w14:textId="77777777" w:rsidR="00D65080" w:rsidRDefault="00D65080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965D7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Pole wymagane.</w:t>
            </w:r>
          </w:p>
          <w:p w14:paraId="7834B0CF" w14:textId="77777777" w:rsidR="00D65080" w:rsidRDefault="006776D8">
            <w:pPr>
              <w:spacing w:before="40" w:after="40"/>
            </w:pPr>
            <w:r>
              <w:rPr>
                <w:rFonts w:cs="Arial"/>
                <w:sz w:val="18"/>
                <w:szCs w:val="18"/>
              </w:rPr>
              <w:t>Wybierana z kalendarza. Format RRRR-MM (gdzie RRRR to cyfry roku, a MM to cyfry miesiąca z przedziału 01-12).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FEEE3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2020-04</w:t>
            </w:r>
          </w:p>
        </w:tc>
      </w:tr>
      <w:tr w:rsidR="00D65080" w14:paraId="1806538C" w14:textId="77777777">
        <w:trPr>
          <w:trHeight w:val="313"/>
          <w:jc w:val="right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44942" w14:textId="77777777" w:rsidR="00D65080" w:rsidRDefault="006776D8">
            <w:pPr>
              <w:spacing w:before="40" w:after="40"/>
            </w:pPr>
            <w:r>
              <w:rPr>
                <w:rFonts w:cs="Arial"/>
                <w:sz w:val="18"/>
                <w:szCs w:val="18"/>
              </w:rPr>
              <w:t>Prace budowlane – zakończenie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B3CF9" w14:textId="77777777" w:rsidR="00D65080" w:rsidRDefault="00D65080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EE7AF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Pole wymagane.</w:t>
            </w:r>
          </w:p>
          <w:p w14:paraId="0D7B0C81" w14:textId="77777777" w:rsidR="00D65080" w:rsidRDefault="006776D8">
            <w:pPr>
              <w:spacing w:before="40" w:after="40"/>
            </w:pPr>
            <w:r>
              <w:rPr>
                <w:rFonts w:cs="Arial"/>
                <w:sz w:val="18"/>
                <w:szCs w:val="18"/>
              </w:rPr>
              <w:t>Wybierana z kalendarza. Format RRRR-MM (gdzie RRRR to cyfry roku, a MM to cyfry miesiąca z przedziału 01-12).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B61DE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2020-10</w:t>
            </w:r>
          </w:p>
        </w:tc>
      </w:tr>
      <w:tr w:rsidR="00D65080" w14:paraId="38ADCB03" w14:textId="77777777">
        <w:trPr>
          <w:trHeight w:val="313"/>
          <w:jc w:val="right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FE9CA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Użytkowanie inwestycji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8D29B" w14:textId="77777777" w:rsidR="00D65080" w:rsidRDefault="00D65080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4778D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Pole wymagane.</w:t>
            </w:r>
          </w:p>
          <w:p w14:paraId="73DB1DC8" w14:textId="77777777" w:rsidR="00D65080" w:rsidRDefault="006776D8">
            <w:pPr>
              <w:spacing w:before="40" w:after="40"/>
            </w:pPr>
            <w:r>
              <w:rPr>
                <w:rFonts w:cs="Arial"/>
                <w:sz w:val="18"/>
                <w:szCs w:val="18"/>
              </w:rPr>
              <w:t>Wybierana z kalendarza. Format RRRR-MM (gdzie RRRR to cyfry roku, a MM to cyfry miesiąca z przedziału 01-12).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27F63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2020-01</w:t>
            </w:r>
          </w:p>
        </w:tc>
      </w:tr>
      <w:tr w:rsidR="00D65080" w14:paraId="2C0821FD" w14:textId="77777777">
        <w:trPr>
          <w:trHeight w:val="313"/>
          <w:jc w:val="right"/>
        </w:trPr>
        <w:tc>
          <w:tcPr>
            <w:tcW w:w="9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207F4" w14:textId="77777777" w:rsidR="00D65080" w:rsidRDefault="006776D8">
            <w:pPr>
              <w:spacing w:before="40" w:after="4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Punkty adresowe</w:t>
            </w:r>
          </w:p>
        </w:tc>
      </w:tr>
      <w:tr w:rsidR="00D65080" w14:paraId="5B810FE9" w14:textId="77777777">
        <w:trPr>
          <w:trHeight w:val="313"/>
          <w:jc w:val="right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CB49C" w14:textId="77777777" w:rsidR="00D65080" w:rsidRDefault="00D65080">
            <w:pPr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9AC60" w14:textId="77777777" w:rsidR="00D65080" w:rsidRDefault="00D65080">
            <w:pPr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6A157" w14:textId="77777777" w:rsidR="00D65080" w:rsidRDefault="006776D8">
            <w:pPr>
              <w:spacing w:before="40" w:after="4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Zawiera informacje o punktach adresowych.</w:t>
            </w:r>
          </w:p>
          <w:p w14:paraId="1FF83E81" w14:textId="77777777" w:rsidR="00D65080" w:rsidRDefault="006776D8">
            <w:pPr>
              <w:spacing w:before="40" w:after="4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Istnieje możliwość dodania nowego punktu adresowego.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2A1AC" w14:textId="77777777" w:rsidR="00D65080" w:rsidRDefault="00D65080">
            <w:pPr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014C41FA" w14:textId="77777777" w:rsidR="00D65080" w:rsidRDefault="00D65080">
      <w:pPr>
        <w:jc w:val="both"/>
        <w:rPr>
          <w:rFonts w:cs="Arial"/>
          <w:b/>
          <w:sz w:val="24"/>
          <w:szCs w:val="24"/>
        </w:rPr>
      </w:pPr>
    </w:p>
    <w:p w14:paraId="658BCF9C" w14:textId="77777777" w:rsidR="00D65080" w:rsidRDefault="006776D8">
      <w:r>
        <w:rPr>
          <w:rFonts w:cs="Arial"/>
          <w:b/>
          <w:sz w:val="24"/>
          <w:szCs w:val="24"/>
        </w:rPr>
        <w:t>W ramach jednego planu inwestycyjnego można wybrać tylko jedną technologię (oznacza to, że jeżeli w ramach tej samej inwestycji będą stosowane różne technologie, dla każdej z nich należy zgłosić odrębny plan inwestycyjny).</w:t>
      </w:r>
    </w:p>
    <w:p w14:paraId="3FA891ED" w14:textId="77777777" w:rsidR="00D65080" w:rsidRDefault="006776D8">
      <w:pPr>
        <w:spacing w:before="100" w:after="100"/>
      </w:pPr>
      <w:r>
        <w:rPr>
          <w:rFonts w:cs="Arial"/>
          <w:sz w:val="24"/>
          <w:szCs w:val="24"/>
        </w:rPr>
        <w:t>Należy pamiętać o przekazaniu wymaganych dokumentów w formularzu</w:t>
      </w:r>
      <w:r>
        <w:t xml:space="preserve"> </w:t>
      </w:r>
      <w:r>
        <w:rPr>
          <w:rFonts w:cs="Arial"/>
          <w:b/>
          <w:sz w:val="24"/>
          <w:szCs w:val="24"/>
        </w:rPr>
        <w:t>Planowane inwestycje.</w:t>
      </w:r>
      <w:r>
        <w:rPr>
          <w:rFonts w:cs="Arial"/>
          <w:sz w:val="24"/>
          <w:szCs w:val="24"/>
        </w:rPr>
        <w:t xml:space="preserve"> Bez załadowania tych dokumentów nie będzie można zakończyć przekazywania danych.</w:t>
      </w:r>
    </w:p>
    <w:p w14:paraId="40F318E0" w14:textId="77777777" w:rsidR="00D65080" w:rsidRDefault="006776D8">
      <w:pPr>
        <w:spacing w:before="10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Wymaganymi dokumentami są:</w:t>
      </w:r>
    </w:p>
    <w:p w14:paraId="490E12CE" w14:textId="77777777" w:rsidR="00D65080" w:rsidRDefault="006776D8">
      <w:pPr>
        <w:pStyle w:val="Akapitzlist"/>
        <w:numPr>
          <w:ilvl w:val="0"/>
          <w:numId w:val="23"/>
        </w:numPr>
        <w:spacing w:before="60" w:after="6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Dokument potwierdzający planowaną inwestycję</w:t>
      </w:r>
    </w:p>
    <w:p w14:paraId="3BF442FA" w14:textId="77777777" w:rsidR="00D65080" w:rsidRDefault="006776D8">
      <w:pPr>
        <w:pStyle w:val="Akapitzlist"/>
        <w:numPr>
          <w:ilvl w:val="0"/>
          <w:numId w:val="23"/>
        </w:numPr>
        <w:spacing w:before="60" w:after="6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Źródło finansowania</w:t>
      </w:r>
    </w:p>
    <w:p w14:paraId="24BA3801" w14:textId="77777777" w:rsidR="00D65080" w:rsidRDefault="006776D8">
      <w:pPr>
        <w:spacing w:before="100" w:after="100"/>
      </w:pPr>
      <w:r>
        <w:rPr>
          <w:rFonts w:cs="Arial"/>
          <w:sz w:val="24"/>
          <w:szCs w:val="24"/>
        </w:rPr>
        <w:lastRenderedPageBreak/>
        <w:t xml:space="preserve">Naciśnięcie przycisku </w:t>
      </w:r>
      <w:r>
        <w:rPr>
          <w:noProof/>
        </w:rPr>
        <w:drawing>
          <wp:inline distT="0" distB="0" distL="0" distR="0" wp14:anchorId="4F6F7367" wp14:editId="01AB0446">
            <wp:extent cx="478688" cy="211418"/>
            <wp:effectExtent l="0" t="0" r="0" b="0"/>
            <wp:docPr id="12" name="Obraz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78688" cy="21141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w sekcji Punkty adresowe</w:t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formularza Planowana inwestycja</w:t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powoduje przejście do formularza</w:t>
      </w:r>
      <w:r>
        <w:rPr>
          <w:rFonts w:cs="Arial"/>
          <w:b/>
          <w:sz w:val="24"/>
          <w:szCs w:val="24"/>
        </w:rPr>
        <w:t xml:space="preserve"> Punkt adresowy </w:t>
      </w:r>
      <w:r>
        <w:rPr>
          <w:rFonts w:cs="Arial"/>
          <w:sz w:val="24"/>
          <w:szCs w:val="24"/>
        </w:rPr>
        <w:t>(</w:t>
      </w:r>
      <w:fldSimple w:instr=" REF _Ref517767990 ">
        <w:r>
          <w:t>Rys. 8</w:t>
        </w:r>
      </w:fldSimple>
      <w:r>
        <w:rPr>
          <w:rFonts w:cs="Arial"/>
          <w:sz w:val="24"/>
          <w:szCs w:val="24"/>
        </w:rPr>
        <w:t>).</w:t>
      </w:r>
    </w:p>
    <w:p w14:paraId="17034745" w14:textId="3836B202" w:rsidR="00D65080" w:rsidRDefault="00E230A0">
      <w:pPr>
        <w:pStyle w:val="Legenda"/>
        <w:keepNext/>
        <w:keepLines/>
        <w:spacing w:before="100" w:after="100"/>
        <w:jc w:val="center"/>
      </w:pPr>
      <w:r w:rsidRPr="00E230A0">
        <w:rPr>
          <w:noProof/>
        </w:rPr>
        <w:drawing>
          <wp:inline distT="0" distB="0" distL="0" distR="0" wp14:anchorId="65AD0A3E" wp14:editId="02A75482">
            <wp:extent cx="6300470" cy="3190240"/>
            <wp:effectExtent l="0" t="0" r="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19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1F1CA" w14:textId="77777777" w:rsidR="00D65080" w:rsidRDefault="006776D8">
      <w:pPr>
        <w:pStyle w:val="Legenda"/>
        <w:jc w:val="center"/>
      </w:pPr>
      <w:bookmarkStart w:id="35" w:name="_Ref517767990"/>
      <w:r>
        <w:t>Rys. 8</w:t>
      </w:r>
      <w:bookmarkEnd w:id="35"/>
      <w:r>
        <w:t>. Formularz Punkt adresowy</w:t>
      </w:r>
    </w:p>
    <w:p w14:paraId="5835B669" w14:textId="77777777" w:rsidR="00D65080" w:rsidRDefault="006776D8">
      <w:r>
        <w:rPr>
          <w:rFonts w:cs="Arial"/>
          <w:sz w:val="24"/>
          <w:szCs w:val="24"/>
        </w:rPr>
        <w:t xml:space="preserve">Formularz </w:t>
      </w:r>
      <w:r>
        <w:rPr>
          <w:rFonts w:cs="Arial"/>
          <w:b/>
          <w:sz w:val="24"/>
          <w:szCs w:val="24"/>
        </w:rPr>
        <w:t xml:space="preserve">Punkt adresowy </w:t>
      </w:r>
      <w:r>
        <w:rPr>
          <w:rFonts w:cs="Arial"/>
          <w:sz w:val="24"/>
          <w:szCs w:val="24"/>
        </w:rPr>
        <w:t>służy do wprowadzenia punktów adresowych planowanych inwestycji zaawansowanych sieci telekomunikacyjnych.</w:t>
      </w:r>
    </w:p>
    <w:p w14:paraId="1FA3C6DE" w14:textId="77777777" w:rsidR="00D65080" w:rsidRDefault="006776D8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Uwaga: Należy zgłaszać punkty adresowe zakwalifikowane jako białe obszary NGA. Jeśli wskazany adres nie znajduje się w bazie białych plam, system uniemożliwi jego przyjęcie.</w:t>
      </w:r>
    </w:p>
    <w:p w14:paraId="6910FBA0" w14:textId="77777777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Pola wymagane oznaczone kolorem pomarańczowym należy obowiązkowo wypełnić. Jeżeli użytkownik nie wypełni wszystkich pól wymaganych (po naciśnięciu przycisku </w:t>
      </w:r>
      <w:r>
        <w:rPr>
          <w:rFonts w:cs="Arial"/>
          <w:b/>
          <w:sz w:val="24"/>
          <w:szCs w:val="24"/>
        </w:rPr>
        <w:t>Zapisz</w:t>
      </w:r>
      <w:r>
        <w:rPr>
          <w:rFonts w:cs="Arial"/>
          <w:sz w:val="24"/>
          <w:szCs w:val="24"/>
        </w:rPr>
        <w:t xml:space="preserve">), zostaną one oznaczone kolorem czerwonym i oznaczone komunikatem: </w:t>
      </w:r>
      <w:r>
        <w:rPr>
          <w:rFonts w:cs="Arial"/>
          <w:b/>
          <w:sz w:val="24"/>
          <w:szCs w:val="24"/>
        </w:rPr>
        <w:t>To pole jest wymagane</w:t>
      </w:r>
      <w:r>
        <w:rPr>
          <w:rFonts w:cs="Arial"/>
          <w:sz w:val="24"/>
          <w:szCs w:val="24"/>
        </w:rPr>
        <w:t xml:space="preserve">. </w:t>
      </w:r>
      <w:r>
        <w:rPr>
          <w:sz w:val="24"/>
          <w:szCs w:val="24"/>
        </w:rPr>
        <w:t xml:space="preserve">W przypadku gdy użytkownik przy wprowadzaniu danych pomylił szerokość geograficzną z długością geograficzną to naciśnięcie przycisku </w:t>
      </w:r>
      <w:r>
        <w:rPr>
          <w:noProof/>
          <w:sz w:val="24"/>
          <w:szCs w:val="24"/>
        </w:rPr>
        <w:drawing>
          <wp:inline distT="0" distB="0" distL="0" distR="0" wp14:anchorId="71EC1372" wp14:editId="08B2FFEB">
            <wp:extent cx="174632" cy="182751"/>
            <wp:effectExtent l="0" t="0" r="0" b="7749"/>
            <wp:docPr id="14" name="Obraz 20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4632" cy="18275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spowoduje, że wartości te zostaną automatycznie zamienione miejscami.</w:t>
      </w:r>
    </w:p>
    <w:p w14:paraId="4B92262E" w14:textId="77777777" w:rsidR="00D65080" w:rsidRDefault="006776D8">
      <w:pPr>
        <w:rPr>
          <w:sz w:val="24"/>
        </w:rPr>
      </w:pPr>
      <w:r>
        <w:rPr>
          <w:sz w:val="24"/>
        </w:rPr>
        <w:t>Opis poszczególnych pól formularza Punkt adresowy zawiera Tabl. 2.</w:t>
      </w:r>
    </w:p>
    <w:p w14:paraId="40CF929F" w14:textId="77777777" w:rsidR="00D65080" w:rsidRDefault="006776D8">
      <w:pPr>
        <w:pStyle w:val="Legenda"/>
        <w:keepNext/>
        <w:ind w:left="284"/>
      </w:pPr>
      <w:r>
        <w:t>Tabl. 2. Pola formularza Punkt adresowy</w:t>
      </w:r>
    </w:p>
    <w:tbl>
      <w:tblPr>
        <w:tblW w:w="9725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9"/>
        <w:gridCol w:w="1701"/>
        <w:gridCol w:w="3805"/>
        <w:gridCol w:w="1950"/>
      </w:tblGrid>
      <w:tr w:rsidR="00D65080" w14:paraId="62797E9D" w14:textId="77777777">
        <w:trPr>
          <w:trHeight w:val="313"/>
          <w:tblHeader/>
          <w:jc w:val="righ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8A46B" w14:textId="77777777" w:rsidR="00D65080" w:rsidRDefault="006776D8">
            <w:pPr>
              <w:keepNext/>
              <w:spacing w:before="40" w:after="40" w:line="244" w:lineRule="auto"/>
              <w:jc w:val="center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Nazwa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881B9" w14:textId="77777777" w:rsidR="00D65080" w:rsidRDefault="006776D8">
            <w:pPr>
              <w:keepNext/>
              <w:spacing w:before="40" w:after="40" w:line="244" w:lineRule="auto"/>
              <w:jc w:val="center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Typ/długość pola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582EE" w14:textId="77777777" w:rsidR="00D65080" w:rsidRDefault="006776D8">
            <w:pPr>
              <w:keepNext/>
              <w:spacing w:before="40" w:after="40" w:line="244" w:lineRule="auto"/>
              <w:jc w:val="center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Uwagi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CAD84" w14:textId="77777777" w:rsidR="00D65080" w:rsidRDefault="006776D8">
            <w:pPr>
              <w:keepNext/>
              <w:spacing w:before="40" w:after="40" w:line="244" w:lineRule="auto"/>
              <w:jc w:val="center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Przykład</w:t>
            </w:r>
          </w:p>
        </w:tc>
      </w:tr>
      <w:tr w:rsidR="00D65080" w14:paraId="6359EDAF" w14:textId="77777777">
        <w:trPr>
          <w:trHeight w:val="313"/>
          <w:jc w:val="right"/>
        </w:trPr>
        <w:tc>
          <w:tcPr>
            <w:tcW w:w="97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B28D2" w14:textId="77777777" w:rsidR="00D65080" w:rsidRDefault="006776D8">
            <w:pPr>
              <w:keepNext/>
              <w:spacing w:before="40" w:after="40" w:line="244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Punkt adresowy</w:t>
            </w:r>
          </w:p>
        </w:tc>
      </w:tr>
      <w:tr w:rsidR="00D65080" w14:paraId="1E66DE3F" w14:textId="77777777">
        <w:trPr>
          <w:trHeight w:val="313"/>
          <w:jc w:val="righ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033E9" w14:textId="77777777" w:rsidR="00D65080" w:rsidRDefault="006776D8">
            <w:pPr>
              <w:spacing w:before="40" w:after="40"/>
            </w:pPr>
            <w:r>
              <w:rPr>
                <w:rFonts w:cs="Arial"/>
                <w:sz w:val="18"/>
                <w:szCs w:val="18"/>
              </w:rPr>
              <w:t>Identyfikator punktu adresowego planowanej inwestycji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4233E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Tekst / 100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90B2B" w14:textId="77777777" w:rsidR="00D65080" w:rsidRDefault="006776D8">
            <w:pPr>
              <w:spacing w:before="40" w:after="40"/>
            </w:pPr>
            <w:r>
              <w:rPr>
                <w:rFonts w:cs="Arial"/>
                <w:sz w:val="18"/>
                <w:szCs w:val="18"/>
              </w:rPr>
              <w:t xml:space="preserve">Oznaczenie punktu adresowego. </w:t>
            </w:r>
            <w:r>
              <w:rPr>
                <w:sz w:val="18"/>
                <w:szCs w:val="18"/>
              </w:rPr>
              <w:t xml:space="preserve">W identyfikatorze dozwolone tylko polskie litery (małe i duże), cyfry oraz znaki specjalne spośród -_+/#()[],.;:\|@ </w:t>
            </w:r>
          </w:p>
          <w:p w14:paraId="120E3E06" w14:textId="77777777" w:rsidR="00D65080" w:rsidRDefault="006776D8">
            <w:pPr>
              <w:spacing w:before="40" w:after="40"/>
            </w:pPr>
            <w:r>
              <w:rPr>
                <w:rFonts w:cs="Arial"/>
                <w:bCs/>
                <w:sz w:val="18"/>
                <w:szCs w:val="18"/>
              </w:rPr>
              <w:t>Identyfikator musi być unikalny w zakresie danych punktów adresowych pojedynczego podmiotu, nie może zawierać spacji.</w:t>
            </w:r>
          </w:p>
          <w:p w14:paraId="476E3802" w14:textId="77777777" w:rsidR="00D65080" w:rsidRDefault="006776D8">
            <w:pPr>
              <w:spacing w:before="40" w:after="40"/>
            </w:pPr>
            <w:r>
              <w:rPr>
                <w:rFonts w:cs="Arial"/>
                <w:bCs/>
                <w:sz w:val="18"/>
                <w:szCs w:val="18"/>
              </w:rPr>
              <w:t>Pole wymagane.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777AB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Budynek1</w:t>
            </w:r>
          </w:p>
        </w:tc>
      </w:tr>
      <w:tr w:rsidR="00D65080" w14:paraId="0EEA1DEF" w14:textId="77777777">
        <w:trPr>
          <w:trHeight w:val="313"/>
          <w:jc w:val="righ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8EBC7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Status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A29C7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Tekst / 30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19420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Wybór z listy rozwijanej jednej z wartości: </w:t>
            </w:r>
          </w:p>
          <w:p w14:paraId="32EC91DA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 planowane</w:t>
            </w:r>
          </w:p>
          <w:p w14:paraId="38A42659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 zaplanowane</w:t>
            </w:r>
          </w:p>
          <w:p w14:paraId="0C5FE91F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 realizowane</w:t>
            </w:r>
          </w:p>
          <w:p w14:paraId="567EF3FF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zrealizowane </w:t>
            </w:r>
          </w:p>
          <w:p w14:paraId="5F635E25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Pole wymagane.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F897C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realizowane</w:t>
            </w:r>
          </w:p>
        </w:tc>
      </w:tr>
      <w:tr w:rsidR="00D65080" w14:paraId="62CBC624" w14:textId="77777777">
        <w:trPr>
          <w:trHeight w:val="313"/>
          <w:jc w:val="right"/>
        </w:trPr>
        <w:tc>
          <w:tcPr>
            <w:tcW w:w="97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B2308" w14:textId="77777777" w:rsidR="00D65080" w:rsidRDefault="006776D8">
            <w:pPr>
              <w:spacing w:before="40" w:after="4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Adres i współrzędne geograficzne</w:t>
            </w:r>
          </w:p>
        </w:tc>
      </w:tr>
      <w:tr w:rsidR="00D65080" w14:paraId="22C4E027" w14:textId="77777777">
        <w:trPr>
          <w:trHeight w:val="313"/>
          <w:jc w:val="righ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D43EC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Miejscowość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37D56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Tekst / 100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C4CD2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Wartość zgodna z nazwą miejscowości, częścią miejscowości, dzielnicą lub delegaturą w TERYT. Wybór z listy </w:t>
            </w:r>
            <w:proofErr w:type="spellStart"/>
            <w:r>
              <w:rPr>
                <w:rFonts w:cs="Arial"/>
                <w:sz w:val="18"/>
                <w:szCs w:val="18"/>
              </w:rPr>
              <w:t>autopodpowiedzi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w formacie: miejscowość (typ miejscowości), województwo, powiat, gmina. </w:t>
            </w:r>
          </w:p>
          <w:p w14:paraId="57EBE270" w14:textId="77777777" w:rsidR="00D65080" w:rsidRDefault="006776D8">
            <w:pPr>
              <w:spacing w:before="40" w:after="40"/>
            </w:pPr>
            <w:r>
              <w:rPr>
                <w:rFonts w:cs="Arial"/>
                <w:sz w:val="18"/>
                <w:szCs w:val="18"/>
              </w:rPr>
              <w:t>Wartość musi identyfikować miejscowość, która znajduje się w podanym województwie, powiecie, gminie i zap. zgodność kod. TERC.</w:t>
            </w:r>
          </w:p>
          <w:p w14:paraId="0F5ACDD7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Kody TERC i SIMC dopisywane automatycznie. </w:t>
            </w:r>
          </w:p>
          <w:p w14:paraId="29975AD8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Pole wymagane.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4CA9D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Karczew</w:t>
            </w:r>
          </w:p>
          <w:p w14:paraId="375DC114" w14:textId="77777777" w:rsidR="00D65080" w:rsidRDefault="006776D8">
            <w:pPr>
              <w:spacing w:before="40" w:after="40"/>
            </w:pPr>
            <w:r>
              <w:rPr>
                <w:rStyle w:val="ac-hint"/>
                <w:sz w:val="18"/>
                <w:szCs w:val="18"/>
              </w:rPr>
              <w:t>(miasto, 0920500), woj. mazowieckie, pow. otwocki, gm. Karczew (1417044)</w:t>
            </w:r>
          </w:p>
        </w:tc>
      </w:tr>
      <w:tr w:rsidR="00D65080" w14:paraId="08927D85" w14:textId="77777777">
        <w:trPr>
          <w:trHeight w:val="313"/>
          <w:jc w:val="righ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8015F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Kod pocztowy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9851B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Tekst / 6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456B8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Format: </w:t>
            </w:r>
            <w:proofErr w:type="spellStart"/>
            <w:r>
              <w:rPr>
                <w:rFonts w:cs="Arial"/>
                <w:sz w:val="18"/>
                <w:szCs w:val="18"/>
              </w:rPr>
              <w:t>dd-ddd</w:t>
            </w:r>
            <w:proofErr w:type="spellEnd"/>
          </w:p>
          <w:p w14:paraId="04EF98B4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Nie może przyjmować wartości 00-000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1EC48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01-012</w:t>
            </w:r>
          </w:p>
        </w:tc>
      </w:tr>
      <w:tr w:rsidR="00D65080" w14:paraId="44784F93" w14:textId="77777777">
        <w:trPr>
          <w:trHeight w:val="313"/>
          <w:jc w:val="righ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6186D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Ulica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407E1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Tekst / 250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F2D5C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Format pola: typ nazwa ulicy , gdzie typ, to ul. , pl. . Nazwa ulicy w formacie &lt;typ&gt; &lt;nazwa&gt;.</w:t>
            </w:r>
          </w:p>
          <w:p w14:paraId="22AC0E8C" w14:textId="77777777" w:rsidR="00D65080" w:rsidRDefault="006776D8">
            <w:pPr>
              <w:spacing w:before="40" w:after="40"/>
            </w:pPr>
            <w:r>
              <w:rPr>
                <w:rFonts w:cs="Arial"/>
                <w:sz w:val="18"/>
                <w:szCs w:val="18"/>
              </w:rPr>
              <w:t>Nazwa musi być identyczna z nazwą ulicy znalezionej w bazie aplikacji na podstawie Kod ULIC albo własna wartość zgodna z formatem nazwy ulicy (&lt;typ&gt; &lt;nazwa&gt;).</w:t>
            </w:r>
          </w:p>
          <w:p w14:paraId="3DB6C888" w14:textId="77777777" w:rsidR="00D65080" w:rsidRDefault="006776D8">
            <w:pPr>
              <w:spacing w:before="40" w:after="40"/>
            </w:pPr>
            <w:r>
              <w:rPr>
                <w:rFonts w:cs="Arial"/>
                <w:sz w:val="18"/>
                <w:szCs w:val="18"/>
              </w:rPr>
              <w:t>Jeśli Kod ULIC jest równy 99998 to dozwolone znaki w nazwie to: litery (wraz z polskimi znakami), cyfry, znaki: ÖÁÜËÍÉĂŐŽČŘÄ (małe litery też), spacja, przecinek, ukośnik, kropka, apostrof, cudzysłów, myślnik i średnik.</w:t>
            </w:r>
          </w:p>
          <w:p w14:paraId="2837E1AC" w14:textId="77777777" w:rsidR="00D65080" w:rsidRDefault="006776D8">
            <w:pPr>
              <w:spacing w:before="40" w:after="40"/>
            </w:pPr>
            <w:r>
              <w:rPr>
                <w:rFonts w:cs="Arial"/>
                <w:sz w:val="18"/>
                <w:szCs w:val="18"/>
              </w:rPr>
              <w:t>Jeśli Kod ULIC jest równy 99999 - wartość specjalna BRAK ULICY."</w:t>
            </w:r>
          </w:p>
          <w:p w14:paraId="02D95C47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Pole wymagane.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5CCA2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ul. Przewodowa</w:t>
            </w:r>
          </w:p>
        </w:tc>
      </w:tr>
      <w:tr w:rsidR="00D65080" w14:paraId="1BEAE87A" w14:textId="77777777">
        <w:trPr>
          <w:trHeight w:val="313"/>
          <w:jc w:val="righ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19A62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Numer porządkowy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C9598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Tekst / 50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3A296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Numer budynku.</w:t>
            </w:r>
          </w:p>
          <w:p w14:paraId="68614170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Pole wymagane.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843B8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</w:tr>
      <w:tr w:rsidR="00D65080" w14:paraId="53E21F68" w14:textId="77777777">
        <w:trPr>
          <w:trHeight w:val="313"/>
          <w:jc w:val="righ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542E6" w14:textId="77777777" w:rsidR="00D65080" w:rsidRDefault="006776D8">
            <w:pPr>
              <w:keepNext/>
              <w:spacing w:before="40" w:after="40" w:line="244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Współrzędne geograficzne</w:t>
            </w:r>
          </w:p>
          <w:p w14:paraId="7F443C54" w14:textId="77777777" w:rsidR="00D65080" w:rsidRDefault="006776D8">
            <w:pPr>
              <w:keepNext/>
              <w:spacing w:before="40" w:after="40" w:line="244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Szerokość [°N]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B6D5B" w14:textId="77777777" w:rsidR="00D65080" w:rsidRDefault="006776D8">
            <w:pPr>
              <w:keepNext/>
              <w:spacing w:before="40" w:after="40" w:line="244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Dziesiętny (8,6)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F2C3A" w14:textId="77777777" w:rsidR="00D65080" w:rsidRDefault="006776D8">
            <w:pPr>
              <w:keepNext/>
              <w:spacing w:before="40" w:after="40" w:line="244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Musi należeć do przedziału &lt;49.0020, 54.8357&gt;.</w:t>
            </w:r>
          </w:p>
          <w:p w14:paraId="76C083C2" w14:textId="77777777" w:rsidR="00D65080" w:rsidRDefault="006776D8">
            <w:pPr>
              <w:keepNext/>
              <w:spacing w:before="40" w:after="40" w:line="244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Wymagane podanie co najmniej 4 miejsc po przecinku.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BAFBF" w14:textId="77777777" w:rsidR="00D65080" w:rsidRDefault="006776D8">
            <w:pPr>
              <w:keepNext/>
              <w:spacing w:before="40" w:after="40" w:line="244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52.835721</w:t>
            </w:r>
          </w:p>
        </w:tc>
      </w:tr>
      <w:tr w:rsidR="00D65080" w14:paraId="73EE008D" w14:textId="77777777">
        <w:trPr>
          <w:trHeight w:val="313"/>
          <w:jc w:val="righ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BBDA3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Współrzędne geograficzne</w:t>
            </w:r>
          </w:p>
          <w:p w14:paraId="1D06DC6D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Długość [°E]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2FCA5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Dziesiętny (8,6)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2FE83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Musi należeć do przedziału &lt;14.1224, 24.1458&gt;.</w:t>
            </w:r>
          </w:p>
          <w:p w14:paraId="764AC6BF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Wymagane podanie co najmniej 4 miejsc po przecinku.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78174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22.145822</w:t>
            </w:r>
          </w:p>
        </w:tc>
      </w:tr>
    </w:tbl>
    <w:p w14:paraId="0C981105" w14:textId="77777777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W zakładce </w:t>
      </w:r>
      <w:r>
        <w:rPr>
          <w:rFonts w:cs="Arial"/>
          <w:b/>
          <w:sz w:val="24"/>
          <w:szCs w:val="24"/>
        </w:rPr>
        <w:t>Pomoc</w:t>
      </w:r>
      <w:r>
        <w:rPr>
          <w:rFonts w:cs="Arial"/>
          <w:sz w:val="24"/>
          <w:szCs w:val="24"/>
        </w:rPr>
        <w:t xml:space="preserve"> można pobrać całą </w:t>
      </w:r>
      <w:r>
        <w:rPr>
          <w:rFonts w:cs="Arial"/>
          <w:b/>
          <w:sz w:val="24"/>
          <w:szCs w:val="24"/>
        </w:rPr>
        <w:t>bazę adresów budynków.</w:t>
      </w:r>
      <w:r>
        <w:rPr>
          <w:rFonts w:cs="Arial"/>
          <w:sz w:val="24"/>
          <w:szCs w:val="24"/>
        </w:rPr>
        <w:t xml:space="preserve"> Format bazy jest zgodny z formatem danych wymaganych przy imporcie planów inwestycyjnych i pozwala przygotować własne dane punktów adresowych. Plik taki można wczytać do systemu w zakładce </w:t>
      </w:r>
      <w:r>
        <w:rPr>
          <w:rFonts w:cs="Arial"/>
          <w:b/>
          <w:sz w:val="24"/>
          <w:szCs w:val="24"/>
        </w:rPr>
        <w:t>Konsultacje</w:t>
      </w:r>
      <w:r>
        <w:rPr>
          <w:rFonts w:cs="Arial"/>
          <w:sz w:val="24"/>
          <w:szCs w:val="24"/>
        </w:rPr>
        <w:t xml:space="preserve"> (Import) razem z planowanymi inwestycjami.</w:t>
      </w:r>
    </w:p>
    <w:p w14:paraId="40D1A098" w14:textId="77777777" w:rsidR="00D65080" w:rsidRDefault="006776D8">
      <w:pPr>
        <w:pStyle w:val="Nagwek1"/>
      </w:pPr>
      <w:bookmarkStart w:id="36" w:name="_Toc413097121"/>
      <w:bookmarkStart w:id="37" w:name="_Toc451149447"/>
      <w:bookmarkStart w:id="38" w:name="_Toc14875640"/>
      <w:r>
        <w:lastRenderedPageBreak/>
        <w:t xml:space="preserve">Import planów inwestycyjnych - zakładka </w:t>
      </w:r>
      <w:bookmarkEnd w:id="36"/>
      <w:r>
        <w:t>Konsultacje</w:t>
      </w:r>
      <w:bookmarkEnd w:id="37"/>
      <w:bookmarkEnd w:id="38"/>
    </w:p>
    <w:p w14:paraId="450AAE67" w14:textId="77777777" w:rsidR="00D65080" w:rsidRDefault="006776D8">
      <w:pPr>
        <w:spacing w:before="100" w:after="0"/>
      </w:pPr>
      <w:r>
        <w:rPr>
          <w:sz w:val="24"/>
          <w:szCs w:val="24"/>
        </w:rPr>
        <w:t xml:space="preserve">Zakładka </w:t>
      </w:r>
      <w:r>
        <w:rPr>
          <w:b/>
          <w:sz w:val="24"/>
          <w:szCs w:val="24"/>
        </w:rPr>
        <w:t>Konsultacje</w:t>
      </w:r>
      <w:r>
        <w:rPr>
          <w:sz w:val="24"/>
          <w:szCs w:val="24"/>
        </w:rPr>
        <w:t xml:space="preserve"> zawiera następujące menu:</w:t>
      </w:r>
    </w:p>
    <w:p w14:paraId="45D16E53" w14:textId="77777777" w:rsidR="00D65080" w:rsidRDefault="006776D8">
      <w:pPr>
        <w:widowControl w:val="0"/>
        <w:numPr>
          <w:ilvl w:val="0"/>
          <w:numId w:val="24"/>
        </w:numPr>
        <w:autoSpaceDE w:val="0"/>
        <w:spacing w:before="60" w:after="60" w:line="240" w:lineRule="auto"/>
        <w:rPr>
          <w:sz w:val="24"/>
          <w:szCs w:val="24"/>
        </w:rPr>
      </w:pPr>
      <w:r>
        <w:rPr>
          <w:sz w:val="24"/>
          <w:szCs w:val="24"/>
        </w:rPr>
        <w:t>Import;</w:t>
      </w:r>
    </w:p>
    <w:p w14:paraId="0E8235E1" w14:textId="77777777" w:rsidR="00D65080" w:rsidRDefault="006776D8">
      <w:pPr>
        <w:widowControl w:val="0"/>
        <w:numPr>
          <w:ilvl w:val="0"/>
          <w:numId w:val="24"/>
        </w:numPr>
        <w:autoSpaceDE w:val="0"/>
        <w:spacing w:before="60" w:after="60" w:line="240" w:lineRule="auto"/>
        <w:rPr>
          <w:sz w:val="24"/>
          <w:szCs w:val="24"/>
        </w:rPr>
      </w:pPr>
      <w:r>
        <w:rPr>
          <w:sz w:val="24"/>
          <w:szCs w:val="24"/>
        </w:rPr>
        <w:t>Eksport;</w:t>
      </w:r>
    </w:p>
    <w:p w14:paraId="3459B668" w14:textId="77777777" w:rsidR="00D65080" w:rsidRDefault="006776D8">
      <w:pPr>
        <w:spacing w:before="100" w:after="100"/>
      </w:pPr>
      <w:r>
        <w:rPr>
          <w:b/>
          <w:sz w:val="24"/>
        </w:rPr>
        <w:t>Import</w:t>
      </w:r>
      <w:r>
        <w:rPr>
          <w:sz w:val="24"/>
        </w:rPr>
        <w:t xml:space="preserve"> pozwala przekazać plany inwestycyjne do systemu SIIS w postaci pliku CSV lub XML. Format pliku musi być zgodny ze specyfikacją dostępną na stronie </w:t>
      </w:r>
      <w:r>
        <w:rPr>
          <w:b/>
          <w:sz w:val="24"/>
        </w:rPr>
        <w:t>Pomoc</w:t>
      </w:r>
      <w:r>
        <w:rPr>
          <w:sz w:val="24"/>
        </w:rPr>
        <w:t xml:space="preserve"> systemu SIIS. </w:t>
      </w:r>
    </w:p>
    <w:p w14:paraId="70B77A10" w14:textId="77777777" w:rsidR="00D65080" w:rsidRDefault="006776D8">
      <w:pPr>
        <w:keepNext/>
        <w:spacing w:before="100" w:after="10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6108574" wp14:editId="52DC9DFD">
                <wp:simplePos x="0" y="0"/>
                <wp:positionH relativeFrom="column">
                  <wp:posOffset>5184135</wp:posOffset>
                </wp:positionH>
                <wp:positionV relativeFrom="paragraph">
                  <wp:posOffset>1094737</wp:posOffset>
                </wp:positionV>
                <wp:extent cx="506733" cy="148590"/>
                <wp:effectExtent l="0" t="0" r="26667" b="22860"/>
                <wp:wrapNone/>
                <wp:docPr id="15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733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2" cap="flat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67548D1B" id="Prostokąt 10" o:spid="_x0000_s1026" style="position:absolute;margin-left:408.2pt;margin-top:86.2pt;width:39.9pt;height:11.7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" strokecolor="white" strokeweight=".70561mm">
                <v:textbox inset="0,0,0,0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4A5CD7F" wp14:editId="17C97222">
            <wp:extent cx="4880491" cy="3175336"/>
            <wp:effectExtent l="0" t="0" r="0" b="6014"/>
            <wp:docPr id="16" name="Obraz 29" descr="obraz przedstawia zakładkę import" title="rysunek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0491" cy="317533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9D2A030" w14:textId="77777777" w:rsidR="00D65080" w:rsidRDefault="006776D8">
      <w:pPr>
        <w:pStyle w:val="Legenda"/>
        <w:jc w:val="center"/>
      </w:pPr>
      <w:bookmarkStart w:id="39" w:name="_Ref517773294"/>
      <w:r>
        <w:t>Rys. 9</w:t>
      </w:r>
      <w:bookmarkEnd w:id="39"/>
      <w:r>
        <w:t>. Zakładka Import</w:t>
      </w:r>
    </w:p>
    <w:p w14:paraId="30582C54" w14:textId="77777777" w:rsidR="00D65080" w:rsidRDefault="006776D8">
      <w:pPr>
        <w:spacing w:before="100" w:after="100"/>
      </w:pPr>
      <w:r>
        <w:rPr>
          <w:sz w:val="24"/>
          <w:szCs w:val="24"/>
        </w:rPr>
        <w:t xml:space="preserve">Przykładowe okno zakładki </w:t>
      </w:r>
      <w:r>
        <w:rPr>
          <w:b/>
          <w:sz w:val="24"/>
          <w:szCs w:val="24"/>
        </w:rPr>
        <w:t>Import</w:t>
      </w:r>
      <w:r>
        <w:rPr>
          <w:sz w:val="24"/>
          <w:szCs w:val="24"/>
        </w:rPr>
        <w:t xml:space="preserve"> przedstawia </w:t>
      </w:r>
      <w:fldSimple w:instr=" REF _Ref517773294 ">
        <w:r>
          <w:t>Rys. 9</w:t>
        </w:r>
      </w:fldSimple>
      <w:r>
        <w:rPr>
          <w:sz w:val="24"/>
          <w:szCs w:val="24"/>
        </w:rPr>
        <w:t xml:space="preserve">. </w:t>
      </w:r>
      <w:r>
        <w:rPr>
          <w:rFonts w:cs="Arial"/>
          <w:sz w:val="24"/>
          <w:szCs w:val="24"/>
        </w:rPr>
        <w:t xml:space="preserve">Import danych będzie niedostępny, jeżeli wprowadzono lub zmieniono dane za pomocą formularzy </w:t>
      </w:r>
      <w:r>
        <w:rPr>
          <w:sz w:val="24"/>
          <w:szCs w:val="24"/>
        </w:rPr>
        <w:t>od czasu ostatniego eksportu</w:t>
      </w:r>
      <w:r>
        <w:rPr>
          <w:rFonts w:cs="Arial"/>
          <w:sz w:val="24"/>
          <w:szCs w:val="24"/>
        </w:rPr>
        <w:t xml:space="preserve">. </w:t>
      </w:r>
      <w:r>
        <w:rPr>
          <w:rFonts w:cs="Arial"/>
          <w:b/>
          <w:sz w:val="24"/>
          <w:szCs w:val="24"/>
        </w:rPr>
        <w:t xml:space="preserve">Przed załadowaniem danych, należy wykonać eksport danych </w:t>
      </w:r>
      <w:r>
        <w:rPr>
          <w:rFonts w:cs="Arial"/>
          <w:sz w:val="24"/>
          <w:szCs w:val="24"/>
        </w:rPr>
        <w:t>(</w:t>
      </w:r>
      <w:fldSimple w:instr=" REF _Ref517773370 ">
        <w:r>
          <w:t>Rys. 10</w:t>
        </w:r>
      </w:fldSimple>
      <w:r>
        <w:rPr>
          <w:rFonts w:cs="Arial"/>
          <w:sz w:val="24"/>
          <w:szCs w:val="24"/>
        </w:rPr>
        <w:t>)</w:t>
      </w:r>
      <w:r>
        <w:rPr>
          <w:rFonts w:cs="Arial"/>
          <w:b/>
          <w:sz w:val="24"/>
          <w:szCs w:val="24"/>
        </w:rPr>
        <w:t>, ponieważ wszystkie „stare” dane zostaną w bazie skasowane przed załadowaniem „nowych”</w:t>
      </w:r>
      <w:r>
        <w:rPr>
          <w:rFonts w:cs="Arial"/>
          <w:sz w:val="24"/>
          <w:szCs w:val="24"/>
        </w:rPr>
        <w:t>.</w:t>
      </w:r>
    </w:p>
    <w:p w14:paraId="41A952A8" w14:textId="77777777" w:rsidR="00D65080" w:rsidRDefault="006776D8">
      <w:pPr>
        <w:keepNext/>
        <w:spacing w:before="100" w:after="100"/>
        <w:jc w:val="center"/>
      </w:pPr>
      <w:r>
        <w:rPr>
          <w:noProof/>
        </w:rPr>
        <w:lastRenderedPageBreak/>
        <w:drawing>
          <wp:inline distT="0" distB="0" distL="0" distR="0" wp14:anchorId="262C3288" wp14:editId="089B5D62">
            <wp:extent cx="5274231" cy="3270598"/>
            <wp:effectExtent l="0" t="0" r="2619" b="6002"/>
            <wp:docPr id="17" name="Obraz 47" descr="obraz przedstawia zakładkę eksport " title="rysunek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231" cy="327059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7D4BD18" w14:textId="77777777" w:rsidR="00D65080" w:rsidRDefault="006776D8">
      <w:pPr>
        <w:pStyle w:val="Legenda"/>
        <w:jc w:val="center"/>
      </w:pPr>
      <w:bookmarkStart w:id="40" w:name="_Ref517773370"/>
      <w:r>
        <w:t>Rys. 10</w:t>
      </w:r>
      <w:bookmarkEnd w:id="40"/>
      <w:r>
        <w:t>. Zakładka Eksport</w:t>
      </w:r>
    </w:p>
    <w:p w14:paraId="5766EED3" w14:textId="77777777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Przed załadowaniem danych do systemu należy wgrać pliki do SIIS za pomocą przycisku </w:t>
      </w:r>
      <w:r>
        <w:rPr>
          <w:rFonts w:cs="Arial"/>
          <w:b/>
          <w:sz w:val="24"/>
          <w:szCs w:val="24"/>
        </w:rPr>
        <w:t>Wgraj plik do SIIS</w:t>
      </w:r>
      <w:r>
        <w:rPr>
          <w:rFonts w:cs="Arial"/>
          <w:sz w:val="24"/>
          <w:szCs w:val="24"/>
        </w:rPr>
        <w:t xml:space="preserve">. Można wgrać jednocześnie kilka plików, które będą stanowić całość wprowadzanych danych inwestycyjnych (paczka danych). </w:t>
      </w:r>
      <w:r>
        <w:rPr>
          <w:rFonts w:cs="Arial"/>
          <w:b/>
          <w:sz w:val="24"/>
          <w:szCs w:val="24"/>
        </w:rPr>
        <w:t>Należy również pamiętać, aby oprócz pliku z danymi w formacie CSV lub XML wgrać dokumenty potwierdzające planowaną inwestycję, źródła finansowania i ewentualnie inny załącznik. Dokumenty powinny być spakowane razem i przekazane w postaci pliku ZIP</w:t>
      </w:r>
      <w:r>
        <w:rPr>
          <w:rFonts w:cs="Arial"/>
          <w:sz w:val="24"/>
          <w:szCs w:val="24"/>
        </w:rPr>
        <w:t xml:space="preserve">. </w:t>
      </w:r>
      <w:r>
        <w:rPr>
          <w:rFonts w:cs="Arial"/>
          <w:b/>
          <w:sz w:val="24"/>
          <w:szCs w:val="24"/>
        </w:rPr>
        <w:t>Nie wolno użyć podkatalogu w archiwum ZIP</w:t>
      </w:r>
      <w:r>
        <w:rPr>
          <w:rFonts w:cs="Arial"/>
          <w:sz w:val="24"/>
          <w:szCs w:val="24"/>
        </w:rPr>
        <w:t xml:space="preserve">. Na początku należy określić typ wgrywanego pliku CSV, XML lub ZIP, a następnie po kliknięciu w przycisk </w:t>
      </w:r>
      <w:r>
        <w:rPr>
          <w:rFonts w:cs="Arial"/>
          <w:b/>
          <w:sz w:val="24"/>
          <w:szCs w:val="24"/>
        </w:rPr>
        <w:t>Przeglądaj</w:t>
      </w:r>
      <w:r>
        <w:rPr>
          <w:rFonts w:cs="Arial"/>
          <w:sz w:val="24"/>
          <w:szCs w:val="24"/>
        </w:rPr>
        <w:t xml:space="preserve">, wybrać plik do załadowania. Po wybraniu pliku należy kliknąć w przycisk </w:t>
      </w:r>
      <w:r>
        <w:rPr>
          <w:noProof/>
        </w:rPr>
        <w:drawing>
          <wp:inline distT="0" distB="0" distL="0" distR="0" wp14:anchorId="4B5A2123" wp14:editId="5BB61FD1">
            <wp:extent cx="1053242" cy="270836"/>
            <wp:effectExtent l="0" t="0" r="0" b="0"/>
            <wp:docPr id="18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3242" cy="27083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24"/>
          <w:szCs w:val="24"/>
        </w:rPr>
        <w:t xml:space="preserve">. Plik w tym momencie jest umieszczany w kolejce do przetwarzania, ale nie został jeszcze załadowany do bazy SIIS. </w:t>
      </w:r>
      <w:r>
        <w:rPr>
          <w:rFonts w:cs="Arial"/>
          <w:b/>
          <w:sz w:val="24"/>
          <w:szCs w:val="24"/>
        </w:rPr>
        <w:t>Należy pamiętać, aby z listy usunąć te pliki, których nie powinny być załadowane do bazy</w:t>
      </w:r>
      <w:r>
        <w:rPr>
          <w:rFonts w:cs="Arial"/>
          <w:sz w:val="24"/>
          <w:szCs w:val="24"/>
        </w:rPr>
        <w:t>.</w:t>
      </w:r>
    </w:p>
    <w:p w14:paraId="22E4FBD5" w14:textId="77777777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Po wgraniu do systemu SIIS wszystkich plików z danymi, należy nacisnąć przycisk </w:t>
      </w:r>
      <w:r>
        <w:rPr>
          <w:noProof/>
        </w:rPr>
        <w:drawing>
          <wp:inline distT="0" distB="0" distL="0" distR="0" wp14:anchorId="74EF888A" wp14:editId="2455FA64">
            <wp:extent cx="1167469" cy="259433"/>
            <wp:effectExtent l="0" t="0" r="0" b="7267"/>
            <wp:docPr id="19" name="Obraz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167469" cy="25943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Tylko po naciśnięciu tego przycisku dane zostaną załadowane w bazie SIIS i nastąpi ich sprawdzenie (walidacja).</w:t>
      </w:r>
      <w:r>
        <w:rPr>
          <w:rFonts w:cs="Arial"/>
          <w:sz w:val="24"/>
          <w:szCs w:val="24"/>
        </w:rPr>
        <w:t xml:space="preserve"> Do bazy zostaną wczytane tylko te dane, które są </w:t>
      </w:r>
      <w:r>
        <w:rPr>
          <w:sz w:val="24"/>
        </w:rPr>
        <w:t xml:space="preserve">poprawne. </w:t>
      </w:r>
      <w:r>
        <w:rPr>
          <w:rFonts w:cs="Arial"/>
          <w:sz w:val="24"/>
          <w:szCs w:val="24"/>
        </w:rPr>
        <w:t>Wszystkie dane błędne nie są importowane do bazy.</w:t>
      </w:r>
    </w:p>
    <w:p w14:paraId="459DD26D" w14:textId="77777777" w:rsidR="00D65080" w:rsidRDefault="006776D8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Należy pamiętać, że każdy nowy import kasuje w bazie wszystkie poprzednie dane.</w:t>
      </w:r>
    </w:p>
    <w:p w14:paraId="529E7457" w14:textId="77777777" w:rsidR="00D65080" w:rsidRDefault="006776D8">
      <w:pPr>
        <w:spacing w:before="120" w:after="120"/>
      </w:pPr>
      <w:r>
        <w:rPr>
          <w:b/>
          <w:sz w:val="24"/>
          <w:szCs w:val="24"/>
        </w:rPr>
        <w:t>Status importu</w:t>
      </w:r>
      <w:r>
        <w:rPr>
          <w:sz w:val="24"/>
          <w:szCs w:val="24"/>
        </w:rPr>
        <w:t xml:space="preserve"> informuje o błędach w importowanych plikach z danymi. Raport z importu można pobrać z systemu</w:t>
      </w:r>
      <w:r>
        <w:rPr>
          <w:sz w:val="24"/>
        </w:rPr>
        <w:t>. Należy zauważyć, że inicjowane są reguły poprawności razem z procesem ładowania danych do bazy, jako ostatni etap tego procesu. Wyświetlany jest pasek postępu w trakcie wykonywania reguł. Jeśli reguły poprawności wygenerowały ostrzeżenia, to na górze strony wyświetlany jest komunikat z odnośnikiem do strony raportu poprawności danych.</w:t>
      </w:r>
    </w:p>
    <w:p w14:paraId="23E21828" w14:textId="77777777" w:rsidR="00D65080" w:rsidRDefault="006776D8">
      <w:pPr>
        <w:spacing w:before="120" w:after="120"/>
        <w:jc w:val="center"/>
      </w:pPr>
      <w:r>
        <w:rPr>
          <w:noProof/>
        </w:rPr>
        <w:drawing>
          <wp:inline distT="0" distB="0" distL="0" distR="0" wp14:anchorId="1173834E" wp14:editId="17810AED">
            <wp:extent cx="5972805" cy="302895"/>
            <wp:effectExtent l="0" t="0" r="8895" b="1905"/>
            <wp:docPr id="20" name="Obraz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72805" cy="30289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3C5753F" w14:textId="77777777" w:rsidR="00D65080" w:rsidRDefault="006776D8">
      <w:pPr>
        <w:keepNext/>
        <w:keepLines/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4C8CD36E" wp14:editId="5197F8AE">
            <wp:extent cx="5972805" cy="1761491"/>
            <wp:effectExtent l="0" t="0" r="8895" b="0"/>
            <wp:docPr id="21" name="Obraz 12" descr="obraz przedstawia Status importu - przykładowa tabela" title="rysunek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72805" cy="176149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92FCD00" w14:textId="77777777" w:rsidR="00D65080" w:rsidRDefault="006776D8">
      <w:pPr>
        <w:pStyle w:val="Legenda"/>
        <w:jc w:val="center"/>
      </w:pPr>
      <w:r>
        <w:t>Rys. 11. Status importu - przykładowa tabela</w:t>
      </w:r>
    </w:p>
    <w:p w14:paraId="79D84E0A" w14:textId="77777777" w:rsidR="00D65080" w:rsidRDefault="006776D8">
      <w:pPr>
        <w:spacing w:before="120" w:after="120"/>
      </w:pPr>
      <w:r>
        <w:rPr>
          <w:sz w:val="24"/>
          <w:szCs w:val="24"/>
        </w:rPr>
        <w:t xml:space="preserve">Efekt importu można zaobserwować po odświeżeniu ekranu komputera (przycisk F5) w tabeli </w:t>
      </w:r>
      <w:r>
        <w:rPr>
          <w:b/>
          <w:sz w:val="24"/>
          <w:szCs w:val="24"/>
        </w:rPr>
        <w:t>Status importu</w:t>
      </w:r>
      <w:r>
        <w:rPr>
          <w:sz w:val="24"/>
          <w:szCs w:val="24"/>
        </w:rPr>
        <w:t xml:space="preserve">. W przypadku pomyślnego zakończenia importu w tabeli, przy importowanym pliku w kolumnie </w:t>
      </w:r>
      <w:r>
        <w:rPr>
          <w:b/>
          <w:sz w:val="24"/>
          <w:szCs w:val="24"/>
        </w:rPr>
        <w:t>Raport</w:t>
      </w:r>
      <w:r>
        <w:rPr>
          <w:sz w:val="24"/>
          <w:szCs w:val="24"/>
        </w:rPr>
        <w:t xml:space="preserve"> pojawi się komunikat:</w:t>
      </w:r>
    </w:p>
    <w:p w14:paraId="7A36DC0D" w14:textId="77777777" w:rsidR="00D65080" w:rsidRDefault="006776D8">
      <w:pPr>
        <w:spacing w:before="120" w:after="120"/>
        <w:jc w:val="center"/>
      </w:pPr>
      <w:r>
        <w:rPr>
          <w:noProof/>
        </w:rPr>
        <w:drawing>
          <wp:inline distT="0" distB="0" distL="0" distR="0" wp14:anchorId="4E2BFD42" wp14:editId="089FA2D9">
            <wp:extent cx="190423" cy="248853"/>
            <wp:effectExtent l="0" t="0" r="77" b="0"/>
            <wp:docPr id="22" name="Obraz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90423" cy="2488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i/>
          <w:szCs w:val="24"/>
        </w:rPr>
        <w:t>Import danych zakończony pomyślnie</w:t>
      </w:r>
      <w:r>
        <w:rPr>
          <w:szCs w:val="24"/>
        </w:rPr>
        <w:t>.</w:t>
      </w:r>
    </w:p>
    <w:p w14:paraId="25A4D9D5" w14:textId="77777777" w:rsidR="00D65080" w:rsidRDefault="006776D8">
      <w:pPr>
        <w:spacing w:before="120" w:after="120"/>
      </w:pPr>
      <w:r>
        <w:rPr>
          <w:sz w:val="24"/>
          <w:szCs w:val="24"/>
        </w:rPr>
        <w:t xml:space="preserve">W przypadku wykrycia pliku CSV błędu formalnego, pojawia się stosowny komunikat w kolumnie </w:t>
      </w:r>
      <w:r>
        <w:rPr>
          <w:b/>
          <w:sz w:val="24"/>
          <w:szCs w:val="24"/>
        </w:rPr>
        <w:t>Status</w:t>
      </w:r>
      <w:r>
        <w:rPr>
          <w:sz w:val="24"/>
          <w:szCs w:val="24"/>
        </w:rPr>
        <w:t xml:space="preserve"> np. </w:t>
      </w:r>
      <w:r>
        <w:rPr>
          <w:i/>
          <w:sz w:val="24"/>
          <w:szCs w:val="24"/>
        </w:rPr>
        <w:t>Zakończono przetwarzanie. Wykryto błędy.</w:t>
      </w:r>
      <w:r>
        <w:rPr>
          <w:sz w:val="24"/>
          <w:szCs w:val="24"/>
        </w:rPr>
        <w:t xml:space="preserve"> Aby uzyskać szczegółowe informacje o błędach (</w:t>
      </w:r>
      <w:fldSimple w:instr=" REF _Ref517774989 ">
        <w:r>
          <w:t>Rys. 12</w:t>
        </w:r>
      </w:fldSimple>
      <w:r>
        <w:rPr>
          <w:sz w:val="24"/>
          <w:szCs w:val="24"/>
        </w:rPr>
        <w:t xml:space="preserve">), należy nacisnąć na przycisk </w:t>
      </w:r>
      <w:r>
        <w:rPr>
          <w:b/>
          <w:sz w:val="24"/>
          <w:szCs w:val="24"/>
        </w:rPr>
        <w:t>Pokaż raport</w:t>
      </w:r>
      <w:r>
        <w:rPr>
          <w:sz w:val="24"/>
          <w:szCs w:val="24"/>
        </w:rPr>
        <w:t>.</w:t>
      </w:r>
    </w:p>
    <w:p w14:paraId="404584A4" w14:textId="77777777" w:rsidR="00D65080" w:rsidRDefault="006776D8">
      <w:pPr>
        <w:keepNext/>
        <w:spacing w:before="120" w:after="120"/>
        <w:jc w:val="center"/>
      </w:pPr>
      <w:r>
        <w:rPr>
          <w:noProof/>
        </w:rPr>
        <w:drawing>
          <wp:inline distT="0" distB="0" distL="0" distR="0" wp14:anchorId="6F371873" wp14:editId="2FB1E7C5">
            <wp:extent cx="5972805" cy="1351282"/>
            <wp:effectExtent l="0" t="0" r="8895" b="1268"/>
            <wp:docPr id="23" name="Obraz 13" descr="obraz przedstawia Szczegółowy raport błędów - przykład" title="rysunek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72805" cy="135128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5FE4D43" w14:textId="77777777" w:rsidR="00D65080" w:rsidRDefault="006776D8">
      <w:pPr>
        <w:pStyle w:val="Legenda"/>
        <w:jc w:val="center"/>
      </w:pPr>
      <w:bookmarkStart w:id="41" w:name="_Ref517774989"/>
      <w:r>
        <w:t>Rys. 12</w:t>
      </w:r>
      <w:bookmarkEnd w:id="41"/>
      <w:r>
        <w:t>. Szczegółowy raport błędów - przykład</w:t>
      </w:r>
    </w:p>
    <w:p w14:paraId="47E6DA55" w14:textId="77777777" w:rsidR="00D65080" w:rsidRDefault="006776D8">
      <w:pPr>
        <w:spacing w:before="100" w:after="100"/>
      </w:pPr>
      <w:r>
        <w:rPr>
          <w:sz w:val="24"/>
          <w:szCs w:val="24"/>
        </w:rPr>
        <w:t xml:space="preserve">Aby zapisać raport, należy nacisnąć na przycisk </w:t>
      </w:r>
      <w:r>
        <w:rPr>
          <w:b/>
          <w:sz w:val="24"/>
          <w:szCs w:val="24"/>
        </w:rPr>
        <w:t>Pobierz raport</w:t>
      </w:r>
      <w:r>
        <w:rPr>
          <w:sz w:val="24"/>
          <w:szCs w:val="24"/>
        </w:rPr>
        <w:t>. Błędne dane nie są importowane do systemu.</w:t>
      </w:r>
    </w:p>
    <w:p w14:paraId="7E52C44B" w14:textId="77777777" w:rsidR="00D65080" w:rsidRDefault="006776D8">
      <w:pPr>
        <w:pStyle w:val="Nagwek1"/>
      </w:pPr>
      <w:bookmarkStart w:id="42" w:name="_Toc451149448"/>
      <w:bookmarkStart w:id="43" w:name="_Toc14875641"/>
      <w:bookmarkStart w:id="44" w:name="_Toc411973352"/>
      <w:bookmarkStart w:id="45" w:name="_Toc413097122"/>
      <w:r>
        <w:t>Oświadczenia</w:t>
      </w:r>
      <w:bookmarkEnd w:id="42"/>
      <w:bookmarkEnd w:id="43"/>
      <w:r>
        <w:t xml:space="preserve"> </w:t>
      </w:r>
    </w:p>
    <w:p w14:paraId="48417425" w14:textId="77777777" w:rsidR="00D65080" w:rsidRDefault="006776D8">
      <w:pPr>
        <w:spacing w:before="100" w:after="100"/>
      </w:pPr>
      <w:r>
        <w:rPr>
          <w:sz w:val="24"/>
        </w:rPr>
        <w:t xml:space="preserve">Po wybraniu zakładki </w:t>
      </w:r>
      <w:r>
        <w:rPr>
          <w:b/>
          <w:sz w:val="24"/>
        </w:rPr>
        <w:t xml:space="preserve">Oświadczenia </w:t>
      </w:r>
      <w:r>
        <w:rPr>
          <w:sz w:val="24"/>
        </w:rPr>
        <w:t xml:space="preserve">uzyskać można dostęp do formularza, gdzie należy zadeklarować zakończenie przekazywania danych </w:t>
      </w:r>
      <w:r>
        <w:rPr>
          <w:sz w:val="24"/>
          <w:szCs w:val="24"/>
        </w:rPr>
        <w:t>(</w:t>
      </w:r>
      <w:fldSimple w:instr=" REF _Ref517779251 ">
        <w:r>
          <w:t>Rys. 13</w:t>
        </w:r>
      </w:fldSimple>
      <w:r>
        <w:rPr>
          <w:sz w:val="24"/>
          <w:szCs w:val="24"/>
        </w:rPr>
        <w:t>).</w:t>
      </w:r>
    </w:p>
    <w:p w14:paraId="121195DF" w14:textId="012229A6" w:rsidR="00D65080" w:rsidRDefault="00F77A68">
      <w:pPr>
        <w:keepNext/>
        <w:spacing w:before="100" w:after="100"/>
        <w:jc w:val="center"/>
      </w:pPr>
      <w:r w:rsidRPr="00F77A68">
        <w:rPr>
          <w:noProof/>
        </w:rPr>
        <w:drawing>
          <wp:inline distT="0" distB="0" distL="0" distR="0" wp14:anchorId="3F03793E" wp14:editId="3F5F95C7">
            <wp:extent cx="6300470" cy="1157605"/>
            <wp:effectExtent l="0" t="0" r="0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115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F4B1A" w14:textId="77777777" w:rsidR="00D65080" w:rsidRDefault="006776D8">
      <w:pPr>
        <w:pStyle w:val="Legenda"/>
        <w:jc w:val="center"/>
      </w:pPr>
      <w:bookmarkStart w:id="46" w:name="_Ref517779251"/>
      <w:r>
        <w:t>Rys. 13</w:t>
      </w:r>
      <w:bookmarkEnd w:id="46"/>
      <w:r>
        <w:t>. Formularz Oświadczenia</w:t>
      </w:r>
    </w:p>
    <w:p w14:paraId="2AE0FC0A" w14:textId="77777777" w:rsidR="00D65080" w:rsidRDefault="006776D8">
      <w:pPr>
        <w:widowControl w:val="0"/>
        <w:autoSpaceDE w:val="0"/>
        <w:spacing w:before="100" w:after="100" w:line="240" w:lineRule="auto"/>
      </w:pPr>
      <w:r>
        <w:rPr>
          <w:rFonts w:cs="Arial"/>
          <w:color w:val="000000"/>
          <w:sz w:val="24"/>
          <w:szCs w:val="24"/>
          <w:shd w:val="clear" w:color="auto" w:fill="FFFFFF"/>
        </w:rPr>
        <w:lastRenderedPageBreak/>
        <w:t xml:space="preserve">Po naciśnięciu przycisku </w:t>
      </w:r>
      <w:r>
        <w:rPr>
          <w:rFonts w:cs="Arial"/>
          <w:b/>
          <w:color w:val="000000"/>
          <w:sz w:val="24"/>
          <w:szCs w:val="24"/>
          <w:shd w:val="clear" w:color="auto" w:fill="FFFFFF"/>
        </w:rPr>
        <w:t>Zapisz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pojawia się komunikat: </w:t>
      </w:r>
      <w:r>
        <w:rPr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0D8D0674" wp14:editId="763D5A77">
            <wp:extent cx="1403384" cy="316135"/>
            <wp:effectExtent l="0" t="0" r="6316" b="7715"/>
            <wp:docPr id="25" name="Obraz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403384" cy="31613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. </w:t>
      </w:r>
    </w:p>
    <w:p w14:paraId="1431CC13" w14:textId="77777777" w:rsidR="00D65080" w:rsidRDefault="006776D8">
      <w:pPr>
        <w:pStyle w:val="Nagwek1"/>
      </w:pPr>
      <w:bookmarkStart w:id="47" w:name="_Toc517776742"/>
      <w:bookmarkStart w:id="48" w:name="_Toc517777020"/>
      <w:bookmarkStart w:id="49" w:name="_Toc517779355"/>
      <w:bookmarkStart w:id="50" w:name="_Toc517779875"/>
      <w:bookmarkStart w:id="51" w:name="_Toc451149449"/>
      <w:bookmarkStart w:id="52" w:name="_Toc14875642"/>
      <w:bookmarkEnd w:id="47"/>
      <w:bookmarkEnd w:id="48"/>
      <w:bookmarkEnd w:id="49"/>
      <w:bookmarkEnd w:id="50"/>
      <w:r>
        <w:t>Użytkownicy</w:t>
      </w:r>
      <w:bookmarkEnd w:id="51"/>
      <w:bookmarkEnd w:id="52"/>
    </w:p>
    <w:p w14:paraId="556EB078" w14:textId="77777777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Okno główne zakładki </w:t>
      </w:r>
      <w:r>
        <w:rPr>
          <w:rFonts w:cs="Arial"/>
          <w:b/>
          <w:sz w:val="24"/>
          <w:szCs w:val="24"/>
        </w:rPr>
        <w:t>Użytkownicy</w:t>
      </w:r>
      <w:r>
        <w:rPr>
          <w:rFonts w:cs="Arial"/>
          <w:sz w:val="24"/>
          <w:szCs w:val="24"/>
        </w:rPr>
        <w:t xml:space="preserve"> przedstawia </w:t>
      </w:r>
      <w:fldSimple w:instr=" REF _Ref517776140 ">
        <w:r>
          <w:t>Rys. 14</w:t>
        </w:r>
      </w:fldSimple>
      <w:r>
        <w:rPr>
          <w:rFonts w:cs="Arial"/>
          <w:sz w:val="24"/>
          <w:szCs w:val="24"/>
        </w:rPr>
        <w:t xml:space="preserve">. Menu </w:t>
      </w:r>
      <w:r>
        <w:rPr>
          <w:rFonts w:cs="Arial"/>
          <w:b/>
          <w:sz w:val="24"/>
          <w:szCs w:val="24"/>
        </w:rPr>
        <w:t xml:space="preserve">Użytkownicy </w:t>
      </w:r>
      <w:r>
        <w:rPr>
          <w:rFonts w:cs="Arial"/>
          <w:sz w:val="24"/>
          <w:szCs w:val="24"/>
        </w:rPr>
        <w:t xml:space="preserve">umożliwia administratorowi konsultacji zarządzanie użytkownikami podmiotu, którzy mogą wprowadzać dane przez formularze. Administrator może zablokować lub odblokować konta użytkownikom, edytować dane użytkownika, zmienić status konta użytkownika na: Aktywne, Zablokowane, Administracyjne. W ramach konsultacji może istnieć tylko jedno konto administracyjne. </w:t>
      </w:r>
      <w:r>
        <w:rPr>
          <w:rFonts w:cs="Arial"/>
          <w:b/>
          <w:sz w:val="24"/>
          <w:szCs w:val="24"/>
        </w:rPr>
        <w:t>W przypadku, gdy administrator nada uprawnienia administracyjne innemu użytkownikowi to natychmiast przestaje on pełnić rolę administratora.</w:t>
      </w:r>
    </w:p>
    <w:p w14:paraId="1274D4F2" w14:textId="77777777" w:rsidR="00D65080" w:rsidRDefault="006776D8">
      <w:pPr>
        <w:keepNext/>
        <w:jc w:val="center"/>
      </w:pPr>
      <w:r>
        <w:rPr>
          <w:noProof/>
        </w:rPr>
        <w:drawing>
          <wp:inline distT="0" distB="0" distL="0" distR="0" wp14:anchorId="2AC48EA1" wp14:editId="51A072A8">
            <wp:extent cx="4240091" cy="2325255"/>
            <wp:effectExtent l="0" t="0" r="8059" b="0"/>
            <wp:docPr id="26" name="Obraz 31" descr="obraz przedstawia Użytkownicy – lista" title="rysunek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40091" cy="232525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1A0A3A" w14:textId="77777777" w:rsidR="00D65080" w:rsidRDefault="006776D8">
      <w:pPr>
        <w:pStyle w:val="Legenda"/>
        <w:jc w:val="center"/>
      </w:pPr>
      <w:bookmarkStart w:id="53" w:name="_Ref517776140"/>
      <w:r>
        <w:t>Rys. 14</w:t>
      </w:r>
      <w:bookmarkEnd w:id="53"/>
      <w:r>
        <w:t>. Użytkownicy – lista</w:t>
      </w:r>
    </w:p>
    <w:p w14:paraId="2D072365" w14:textId="77777777" w:rsidR="00D65080" w:rsidRDefault="006776D8">
      <w:pPr>
        <w:spacing w:before="100" w:after="100"/>
      </w:pPr>
      <w:r>
        <w:t xml:space="preserve">Po </w:t>
      </w:r>
      <w:r>
        <w:rPr>
          <w:rFonts w:cs="Arial"/>
          <w:sz w:val="24"/>
          <w:szCs w:val="24"/>
        </w:rPr>
        <w:t xml:space="preserve">naciśnięciu na przycisk </w:t>
      </w:r>
      <w:r>
        <w:rPr>
          <w:rFonts w:cs="Arial"/>
          <w:b/>
          <w:sz w:val="24"/>
          <w:szCs w:val="24"/>
        </w:rPr>
        <w:t>Dodaj nowego użytkownika</w:t>
      </w:r>
      <w:r>
        <w:rPr>
          <w:rFonts w:cs="Arial"/>
          <w:sz w:val="24"/>
          <w:szCs w:val="24"/>
        </w:rPr>
        <w:t xml:space="preserve"> nastąpi przejście do formularza dodawania nowego użytkownika</w:t>
      </w:r>
      <w:r>
        <w:rPr>
          <w:rFonts w:cs="Arial"/>
          <w:i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(</w:t>
      </w:r>
      <w:fldSimple w:instr=" REF _Ref517776546 ">
        <w:r>
          <w:t>Rys. 15</w:t>
        </w:r>
      </w:fldSimple>
      <w:r>
        <w:rPr>
          <w:rFonts w:cs="Arial"/>
          <w:sz w:val="24"/>
          <w:szCs w:val="24"/>
        </w:rPr>
        <w:t>).</w:t>
      </w:r>
    </w:p>
    <w:p w14:paraId="05E5A8BF" w14:textId="77777777" w:rsidR="00D65080" w:rsidRDefault="006776D8">
      <w:pPr>
        <w:keepNext/>
        <w:spacing w:before="100" w:after="100"/>
        <w:jc w:val="center"/>
      </w:pPr>
      <w:r>
        <w:rPr>
          <w:noProof/>
        </w:rPr>
        <w:lastRenderedPageBreak/>
        <w:drawing>
          <wp:inline distT="0" distB="0" distL="0" distR="0" wp14:anchorId="135B6B67" wp14:editId="35341620">
            <wp:extent cx="5036487" cy="3473860"/>
            <wp:effectExtent l="0" t="0" r="0" b="0"/>
            <wp:docPr id="27" name="Obraz 36" descr="obraz przedstawia Formularz dodawania nowego użytkownika" title="rysunek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6487" cy="34738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6874CB3" w14:textId="77777777" w:rsidR="00D65080" w:rsidRDefault="006776D8">
      <w:pPr>
        <w:pStyle w:val="Legenda"/>
        <w:jc w:val="center"/>
      </w:pPr>
      <w:bookmarkStart w:id="54" w:name="_Ref517776546"/>
      <w:r>
        <w:t>Rys. 15</w:t>
      </w:r>
      <w:bookmarkEnd w:id="54"/>
      <w:r>
        <w:t>. Formularz dodawania nowego użytkownika</w:t>
      </w:r>
    </w:p>
    <w:p w14:paraId="1F965A67" w14:textId="77777777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Naciskając przycisk </w:t>
      </w:r>
      <w:r>
        <w:rPr>
          <w:rFonts w:cs="Arial"/>
          <w:b/>
          <w:sz w:val="24"/>
          <w:szCs w:val="24"/>
        </w:rPr>
        <w:t>Edytuj</w:t>
      </w:r>
      <w:r>
        <w:rPr>
          <w:rFonts w:cs="Arial"/>
          <w:sz w:val="24"/>
          <w:szCs w:val="24"/>
        </w:rPr>
        <w:t xml:space="preserve"> przy danym użytkowniku na liście </w:t>
      </w:r>
      <w:r>
        <w:rPr>
          <w:rFonts w:cs="Arial"/>
          <w:b/>
          <w:sz w:val="24"/>
          <w:szCs w:val="24"/>
        </w:rPr>
        <w:t>Użytkownicy</w:t>
      </w:r>
      <w:r>
        <w:rPr>
          <w:rFonts w:cs="Arial"/>
          <w:sz w:val="24"/>
          <w:szCs w:val="24"/>
        </w:rPr>
        <w:t xml:space="preserve"> administrator otrzymuje możliwość edycji danych użytkownika (</w:t>
      </w:r>
      <w:fldSimple w:instr=" REF _Ref517776645 ">
        <w:r>
          <w:t>Rys. 16</w:t>
        </w:r>
      </w:fldSimple>
      <w:r>
        <w:rPr>
          <w:rFonts w:cs="Arial"/>
          <w:sz w:val="24"/>
          <w:szCs w:val="24"/>
        </w:rPr>
        <w:t>). Status Konta może przyjmować wartości: Aktywne, Zablokowane, Administracyjne.</w:t>
      </w:r>
    </w:p>
    <w:p w14:paraId="6616E00E" w14:textId="77777777" w:rsidR="00D65080" w:rsidRDefault="006776D8">
      <w:pPr>
        <w:keepNext/>
        <w:jc w:val="center"/>
      </w:pPr>
      <w:r>
        <w:rPr>
          <w:noProof/>
        </w:rPr>
        <w:drawing>
          <wp:inline distT="0" distB="0" distL="0" distR="0" wp14:anchorId="2A419CF2" wp14:editId="322EC928">
            <wp:extent cx="4816867" cy="3099459"/>
            <wp:effectExtent l="0" t="0" r="2783" b="5691"/>
            <wp:docPr id="28" name="Obraz 37" descr="obraz przedstawia Formularz Użytkownik - edycja" title="rysunek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6867" cy="30994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69E7399" w14:textId="77777777" w:rsidR="00D65080" w:rsidRDefault="006776D8">
      <w:pPr>
        <w:pStyle w:val="Legenda"/>
        <w:jc w:val="center"/>
      </w:pPr>
      <w:bookmarkStart w:id="55" w:name="_Ref517776645"/>
      <w:r>
        <w:t>Rys. 16</w:t>
      </w:r>
      <w:bookmarkEnd w:id="55"/>
      <w:r>
        <w:t>. Formularz Użytkownik - edycja</w:t>
      </w:r>
    </w:p>
    <w:p w14:paraId="57C56762" w14:textId="77777777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Przycisk </w:t>
      </w:r>
      <w:r>
        <w:rPr>
          <w:rFonts w:cs="Arial"/>
          <w:b/>
          <w:sz w:val="24"/>
          <w:szCs w:val="24"/>
        </w:rPr>
        <w:t>Zmień hasło</w:t>
      </w:r>
      <w:r>
        <w:rPr>
          <w:rFonts w:cs="Arial"/>
          <w:sz w:val="24"/>
          <w:szCs w:val="24"/>
        </w:rPr>
        <w:t xml:space="preserve"> umieszczony w prawym górnym rogu ekranu umożliwia zmianę hasła wybranemu użytkownikowi (</w:t>
      </w:r>
      <w:fldSimple w:instr=" REF _Ref517776700 ">
        <w:r>
          <w:t>Rys. 17</w:t>
        </w:r>
      </w:fldSimple>
      <w:r>
        <w:rPr>
          <w:rFonts w:cs="Arial"/>
          <w:sz w:val="24"/>
          <w:szCs w:val="24"/>
        </w:rPr>
        <w:t>).</w:t>
      </w:r>
    </w:p>
    <w:p w14:paraId="4B1BFA49" w14:textId="77777777" w:rsidR="00D65080" w:rsidRDefault="006776D8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47E7C3D2" wp14:editId="21502349">
            <wp:extent cx="4164415" cy="2300154"/>
            <wp:effectExtent l="0" t="0" r="7535" b="4896"/>
            <wp:docPr id="29" name="Obraz 38" descr="obraz przedstawia formularz zmiany hasła użytkownika" title="Rysunek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64415" cy="230015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B5D9AA4" w14:textId="77777777" w:rsidR="00D65080" w:rsidRDefault="006776D8">
      <w:pPr>
        <w:pStyle w:val="Legenda"/>
        <w:jc w:val="center"/>
      </w:pPr>
      <w:bookmarkStart w:id="56" w:name="_Ref517776700"/>
      <w:r>
        <w:t>Rys. 17</w:t>
      </w:r>
      <w:bookmarkEnd w:id="56"/>
      <w:r>
        <w:t>. Formularz zmiany hasła użytkownika</w:t>
      </w:r>
    </w:p>
    <w:p w14:paraId="21022A12" w14:textId="77777777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Aby wszystkie zmiany zostały zapamiętane, należy nacisnąć przycisk </w:t>
      </w:r>
      <w:r>
        <w:rPr>
          <w:rFonts w:cs="Arial"/>
          <w:b/>
          <w:sz w:val="24"/>
          <w:szCs w:val="24"/>
        </w:rPr>
        <w:t>Zmień hasło</w:t>
      </w:r>
      <w:r>
        <w:rPr>
          <w:rFonts w:cs="Arial"/>
          <w:sz w:val="24"/>
          <w:szCs w:val="24"/>
        </w:rPr>
        <w:t>.</w:t>
      </w:r>
    </w:p>
    <w:p w14:paraId="6B14B99F" w14:textId="77777777" w:rsidR="00D65080" w:rsidRDefault="006776D8">
      <w:pPr>
        <w:pStyle w:val="Nagwek1"/>
      </w:pPr>
      <w:bookmarkStart w:id="57" w:name="_Toc451149450"/>
      <w:bookmarkStart w:id="58" w:name="_Toc14875643"/>
      <w:r>
        <w:t>Pomoc</w:t>
      </w:r>
      <w:bookmarkEnd w:id="44"/>
      <w:bookmarkEnd w:id="45"/>
      <w:bookmarkEnd w:id="57"/>
      <w:bookmarkEnd w:id="58"/>
    </w:p>
    <w:p w14:paraId="1521F4BD" w14:textId="77777777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Wybierając zakładkę </w:t>
      </w:r>
      <w:r>
        <w:rPr>
          <w:rFonts w:cs="Arial"/>
          <w:b/>
          <w:sz w:val="24"/>
          <w:szCs w:val="24"/>
        </w:rPr>
        <w:t>Pomoc</w:t>
      </w:r>
      <w:r>
        <w:rPr>
          <w:rFonts w:cs="Arial"/>
          <w:sz w:val="24"/>
          <w:szCs w:val="24"/>
        </w:rPr>
        <w:t xml:space="preserve"> użytkownik uzyskuje dostęp do instrukcji użytkownika, dokumentacji systemu, narzędzi pomocniczych: Narzędzie dla Dużych Operatorów (NDDO) oraz aplikacji </w:t>
      </w:r>
      <w:proofErr w:type="spellStart"/>
      <w:r>
        <w:rPr>
          <w:rFonts w:cs="Arial"/>
          <w:sz w:val="24"/>
          <w:szCs w:val="24"/>
        </w:rPr>
        <w:t>miniSIIS</w:t>
      </w:r>
      <w:proofErr w:type="spellEnd"/>
      <w:r>
        <w:rPr>
          <w:rFonts w:cs="Arial"/>
          <w:sz w:val="24"/>
          <w:szCs w:val="24"/>
        </w:rPr>
        <w:t>.</w:t>
      </w:r>
    </w:p>
    <w:p w14:paraId="52B6A065" w14:textId="77777777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Aplikacja </w:t>
      </w:r>
      <w:proofErr w:type="spellStart"/>
      <w:r>
        <w:rPr>
          <w:rFonts w:cs="Arial"/>
          <w:b/>
          <w:sz w:val="24"/>
          <w:szCs w:val="24"/>
        </w:rPr>
        <w:t>miniSIIS</w:t>
      </w:r>
      <w:proofErr w:type="spellEnd"/>
      <w:r>
        <w:rPr>
          <w:rFonts w:cs="Arial"/>
          <w:sz w:val="24"/>
          <w:szCs w:val="24"/>
        </w:rPr>
        <w:t xml:space="preserve"> pozwala przygotować dane planów inwestycyjnych w postaci pliku </w:t>
      </w:r>
      <w:proofErr w:type="spellStart"/>
      <w:r>
        <w:rPr>
          <w:rFonts w:cs="Arial"/>
          <w:sz w:val="24"/>
          <w:szCs w:val="24"/>
        </w:rPr>
        <w:t>csv</w:t>
      </w:r>
      <w:proofErr w:type="spellEnd"/>
      <w:r>
        <w:rPr>
          <w:rFonts w:cs="Arial"/>
          <w:sz w:val="24"/>
          <w:szCs w:val="24"/>
        </w:rPr>
        <w:t xml:space="preserve"> lub </w:t>
      </w:r>
      <w:proofErr w:type="spellStart"/>
      <w:r>
        <w:rPr>
          <w:rFonts w:cs="Arial"/>
          <w:sz w:val="24"/>
          <w:szCs w:val="24"/>
        </w:rPr>
        <w:t>xml</w:t>
      </w:r>
      <w:proofErr w:type="spellEnd"/>
      <w:r>
        <w:rPr>
          <w:rFonts w:cs="Arial"/>
          <w:sz w:val="24"/>
          <w:szCs w:val="24"/>
        </w:rPr>
        <w:t xml:space="preserve"> gotowego do importu w systemie SIIS (zalecane jest stosowanie plików </w:t>
      </w:r>
      <w:proofErr w:type="spellStart"/>
      <w:r>
        <w:rPr>
          <w:rFonts w:cs="Arial"/>
          <w:sz w:val="24"/>
          <w:szCs w:val="24"/>
        </w:rPr>
        <w:t>csv</w:t>
      </w:r>
      <w:proofErr w:type="spellEnd"/>
      <w:r>
        <w:rPr>
          <w:rFonts w:cs="Arial"/>
          <w:sz w:val="24"/>
          <w:szCs w:val="24"/>
        </w:rPr>
        <w:t>).</w:t>
      </w:r>
    </w:p>
    <w:p w14:paraId="43342333" w14:textId="77777777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W zakładce </w:t>
      </w:r>
      <w:r>
        <w:rPr>
          <w:rFonts w:cs="Arial"/>
          <w:b/>
          <w:sz w:val="24"/>
          <w:szCs w:val="24"/>
        </w:rPr>
        <w:t>Pomoc</w:t>
      </w:r>
      <w:r>
        <w:rPr>
          <w:rFonts w:cs="Arial"/>
          <w:sz w:val="24"/>
          <w:szCs w:val="24"/>
        </w:rPr>
        <w:t xml:space="preserve"> można pobrać </w:t>
      </w:r>
      <w:r>
        <w:rPr>
          <w:rFonts w:cs="Arial"/>
          <w:b/>
          <w:sz w:val="24"/>
          <w:szCs w:val="24"/>
        </w:rPr>
        <w:t>bazę adresów budynków</w:t>
      </w:r>
      <w:r>
        <w:rPr>
          <w:rFonts w:cs="Arial"/>
          <w:sz w:val="24"/>
          <w:szCs w:val="24"/>
        </w:rPr>
        <w:t xml:space="preserve"> w formacie zgodnym z formatem danych wymaganych przy imporcie planów inwestycyjnych.</w:t>
      </w:r>
    </w:p>
    <w:p w14:paraId="42373391" w14:textId="77777777" w:rsidR="00D65080" w:rsidRDefault="006776D8">
      <w:pPr>
        <w:pStyle w:val="Nagwek1"/>
      </w:pPr>
      <w:bookmarkStart w:id="59" w:name="_Toc411973353"/>
      <w:bookmarkStart w:id="60" w:name="_Toc413097123"/>
      <w:bookmarkStart w:id="61" w:name="_Toc451149451"/>
      <w:bookmarkStart w:id="62" w:name="_Toc14875644"/>
      <w:r>
        <w:t>Kontakt</w:t>
      </w:r>
      <w:bookmarkEnd w:id="59"/>
      <w:bookmarkEnd w:id="60"/>
      <w:bookmarkEnd w:id="61"/>
      <w:bookmarkEnd w:id="62"/>
    </w:p>
    <w:p w14:paraId="5AC22BEC" w14:textId="77777777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Zakładka </w:t>
      </w:r>
      <w:r>
        <w:rPr>
          <w:rFonts w:cs="Arial"/>
          <w:b/>
          <w:sz w:val="24"/>
          <w:szCs w:val="24"/>
        </w:rPr>
        <w:t>Kontakt</w:t>
      </w:r>
      <w:r>
        <w:rPr>
          <w:rFonts w:cs="Arial"/>
          <w:sz w:val="24"/>
          <w:szCs w:val="24"/>
        </w:rPr>
        <w:t xml:space="preserve"> (</w:t>
      </w:r>
      <w:fldSimple w:instr=" REF _Ref517776975 ">
        <w:r>
          <w:t>Rys. 18</w:t>
        </w:r>
      </w:fldSimple>
      <w:r>
        <w:rPr>
          <w:rFonts w:cs="Arial"/>
          <w:sz w:val="24"/>
          <w:szCs w:val="24"/>
        </w:rPr>
        <w:t xml:space="preserve">) umożliwia wysłanie do obsługi </w:t>
      </w:r>
      <w:proofErr w:type="spellStart"/>
      <w:r>
        <w:rPr>
          <w:rFonts w:cs="Arial"/>
          <w:sz w:val="24"/>
          <w:szCs w:val="24"/>
        </w:rPr>
        <w:t>help-desku</w:t>
      </w:r>
      <w:proofErr w:type="spellEnd"/>
      <w:r>
        <w:rPr>
          <w:rFonts w:cs="Arial"/>
          <w:sz w:val="24"/>
          <w:szCs w:val="24"/>
        </w:rPr>
        <w:t xml:space="preserve"> informacji o zauważonym błędzie w systemie, pytania lub sugestii przez </w:t>
      </w:r>
      <w:r>
        <w:rPr>
          <w:rFonts w:cs="Arial"/>
          <w:b/>
          <w:sz w:val="24"/>
          <w:szCs w:val="24"/>
        </w:rPr>
        <w:t>zalogowanego</w:t>
      </w:r>
      <w:r>
        <w:rPr>
          <w:rFonts w:cs="Arial"/>
          <w:sz w:val="24"/>
          <w:szCs w:val="24"/>
        </w:rPr>
        <w:t xml:space="preserve"> do systemu użytkownika.</w:t>
      </w:r>
    </w:p>
    <w:p w14:paraId="661BEC4D" w14:textId="77777777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Po wybraniu typu zgłoszenia </w:t>
      </w:r>
      <w:r>
        <w:rPr>
          <w:rFonts w:cs="Arial"/>
          <w:b/>
          <w:sz w:val="24"/>
          <w:szCs w:val="24"/>
        </w:rPr>
        <w:t>Konsultacje</w:t>
      </w:r>
      <w:r>
        <w:rPr>
          <w:rFonts w:cs="Arial"/>
          <w:sz w:val="24"/>
          <w:szCs w:val="24"/>
        </w:rPr>
        <w:t xml:space="preserve"> należy wypełnić pole </w:t>
      </w:r>
      <w:r>
        <w:rPr>
          <w:rFonts w:cs="Arial"/>
          <w:b/>
          <w:sz w:val="24"/>
          <w:szCs w:val="24"/>
        </w:rPr>
        <w:t>Treść zgłoszenia</w:t>
      </w:r>
      <w:r>
        <w:rPr>
          <w:rFonts w:cs="Arial"/>
          <w:sz w:val="24"/>
          <w:szCs w:val="24"/>
        </w:rPr>
        <w:t xml:space="preserve">. Przycisk </w:t>
      </w:r>
      <w:r>
        <w:rPr>
          <w:rFonts w:cs="Arial"/>
          <w:b/>
          <w:sz w:val="24"/>
          <w:szCs w:val="24"/>
        </w:rPr>
        <w:t xml:space="preserve">Przeglądaj </w:t>
      </w:r>
      <w:r>
        <w:rPr>
          <w:rFonts w:cs="Arial"/>
          <w:sz w:val="24"/>
          <w:szCs w:val="24"/>
        </w:rPr>
        <w:t xml:space="preserve">służy do wyboru pliku, który użytkownik chciały dołączyć (np. zrzut ekranu) do zgłoszenia. Zgłoszenie zostanie wysłane po naciśnięciu przycisku </w:t>
      </w:r>
      <w:r>
        <w:rPr>
          <w:rFonts w:cs="Arial"/>
          <w:b/>
          <w:sz w:val="24"/>
          <w:szCs w:val="24"/>
        </w:rPr>
        <w:t>Wyślij</w:t>
      </w:r>
      <w:r>
        <w:rPr>
          <w:rFonts w:cs="Arial"/>
          <w:sz w:val="24"/>
          <w:szCs w:val="24"/>
        </w:rPr>
        <w:t>.</w:t>
      </w:r>
    </w:p>
    <w:p w14:paraId="58453192" w14:textId="77777777" w:rsidR="00D65080" w:rsidRDefault="006776D8">
      <w:pPr>
        <w:keepNext/>
        <w:spacing w:before="100" w:after="100"/>
        <w:jc w:val="center"/>
      </w:pPr>
      <w:r>
        <w:rPr>
          <w:noProof/>
        </w:rPr>
        <w:lastRenderedPageBreak/>
        <w:drawing>
          <wp:inline distT="0" distB="0" distL="0" distR="0" wp14:anchorId="1A6672C0" wp14:editId="674CF14F">
            <wp:extent cx="4756717" cy="2930048"/>
            <wp:effectExtent l="0" t="0" r="5783" b="3652"/>
            <wp:docPr id="30" name="Obraz 39" descr="obraz przedstawia formularz kontaktowy" title="Rysunek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56717" cy="29300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18B8195" w14:textId="77777777" w:rsidR="00D65080" w:rsidRDefault="006776D8">
      <w:pPr>
        <w:pStyle w:val="Legenda"/>
        <w:jc w:val="center"/>
      </w:pPr>
      <w:bookmarkStart w:id="63" w:name="_Ref517776975"/>
      <w:r>
        <w:t>Rys. 18</w:t>
      </w:r>
      <w:bookmarkEnd w:id="63"/>
      <w:r>
        <w:t>. Formularz kontaktowy</w:t>
      </w:r>
    </w:p>
    <w:p w14:paraId="0FF71F47" w14:textId="77777777" w:rsidR="00D65080" w:rsidRDefault="006776D8">
      <w:r>
        <w:rPr>
          <w:sz w:val="24"/>
          <w:szCs w:val="24"/>
        </w:rPr>
        <w:t>W celu kontynuacji korespondencji dotyczącej zgłoszonego problemu należy komunikować się w tym samym wątku tj. poprzez odpowiedź na otrzymany już email. Nie jest zalecane generowania nowych zgłoszeń dotyczących tej samej sprawy.</w:t>
      </w:r>
    </w:p>
    <w:sectPr w:rsidR="00D65080">
      <w:headerReference w:type="default" r:id="rId39"/>
      <w:footerReference w:type="default" r:id="rId40"/>
      <w:pgSz w:w="12240" w:h="15840"/>
      <w:pgMar w:top="851" w:right="900" w:bottom="567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6AF0D1" w14:textId="77777777" w:rsidR="00BD00A2" w:rsidRDefault="00BD00A2">
      <w:pPr>
        <w:spacing w:after="0" w:line="240" w:lineRule="auto"/>
      </w:pPr>
      <w:r>
        <w:separator/>
      </w:r>
    </w:p>
  </w:endnote>
  <w:endnote w:type="continuationSeparator" w:id="0">
    <w:p w14:paraId="43594D62" w14:textId="77777777" w:rsidR="00BD00A2" w:rsidRDefault="00BD0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4C1062" w14:textId="77777777" w:rsidR="009E6420" w:rsidRDefault="00BD00A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3BC50F" w14:textId="77777777" w:rsidR="00BD00A2" w:rsidRDefault="00BD00A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894148B" w14:textId="77777777" w:rsidR="00BD00A2" w:rsidRDefault="00BD0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FBE160" w14:textId="77777777" w:rsidR="009E6420" w:rsidRDefault="00BD00A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11EA8"/>
    <w:multiLevelType w:val="multilevel"/>
    <w:tmpl w:val="92449E2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51D4E1D"/>
    <w:multiLevelType w:val="multilevel"/>
    <w:tmpl w:val="E71EEE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A1A5A"/>
    <w:multiLevelType w:val="multilevel"/>
    <w:tmpl w:val="59162DD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A407354"/>
    <w:multiLevelType w:val="multilevel"/>
    <w:tmpl w:val="3CEC95B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C4FB2"/>
    <w:multiLevelType w:val="multilevel"/>
    <w:tmpl w:val="45F2EA92"/>
    <w:styleLink w:val="WWOutlineListStyle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08025D7"/>
    <w:multiLevelType w:val="multilevel"/>
    <w:tmpl w:val="E4FC145E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0066A1"/>
    <w:multiLevelType w:val="multilevel"/>
    <w:tmpl w:val="17428512"/>
    <w:lvl w:ilvl="0">
      <w:numFmt w:val="bullet"/>
      <w:lvlText w:val=""/>
      <w:lvlJc w:val="left"/>
      <w:pPr>
        <w:ind w:left="149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1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3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5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7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9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1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3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54" w:hanging="360"/>
      </w:pPr>
      <w:rPr>
        <w:rFonts w:ascii="Wingdings" w:hAnsi="Wingdings"/>
      </w:rPr>
    </w:lvl>
  </w:abstractNum>
  <w:abstractNum w:abstractNumId="7" w15:restartNumberingAfterBreak="0">
    <w:nsid w:val="1B734F3B"/>
    <w:multiLevelType w:val="multilevel"/>
    <w:tmpl w:val="AB0C5B28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E6327A"/>
    <w:multiLevelType w:val="multilevel"/>
    <w:tmpl w:val="47F4E970"/>
    <w:lvl w:ilvl="0">
      <w:numFmt w:val="bullet"/>
      <w:lvlText w:val=""/>
      <w:lvlJc w:val="left"/>
      <w:pPr>
        <w:ind w:left="1134" w:hanging="360"/>
      </w:pPr>
      <w:rPr>
        <w:rFonts w:ascii="Wingdings" w:eastAsia="Times New Roman" w:hAnsi="Wingdings" w:cs="TimesNewRomanPSMT"/>
      </w:rPr>
    </w:lvl>
    <w:lvl w:ilvl="1">
      <w:numFmt w:val="bullet"/>
      <w:lvlText w:val="o"/>
      <w:lvlJc w:val="left"/>
      <w:pPr>
        <w:ind w:left="185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7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9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1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3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5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7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94" w:hanging="360"/>
      </w:pPr>
      <w:rPr>
        <w:rFonts w:ascii="Wingdings" w:hAnsi="Wingdings"/>
      </w:rPr>
    </w:lvl>
  </w:abstractNum>
  <w:abstractNum w:abstractNumId="9" w15:restartNumberingAfterBreak="0">
    <w:nsid w:val="29851BC0"/>
    <w:multiLevelType w:val="multilevel"/>
    <w:tmpl w:val="B4FE06B0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0" w15:restartNumberingAfterBreak="0">
    <w:nsid w:val="321E5C8A"/>
    <w:multiLevelType w:val="multilevel"/>
    <w:tmpl w:val="EC02C9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C5384F"/>
    <w:multiLevelType w:val="multilevel"/>
    <w:tmpl w:val="F6EA143A"/>
    <w:lvl w:ilvl="0">
      <w:start w:val="1"/>
      <w:numFmt w:val="decimal"/>
      <w:lvlText w:val="%1."/>
      <w:lvlJc w:val="left"/>
      <w:pPr>
        <w:ind w:left="828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548" w:hanging="360"/>
      </w:pPr>
    </w:lvl>
    <w:lvl w:ilvl="2">
      <w:start w:val="1"/>
      <w:numFmt w:val="lowerRoman"/>
      <w:lvlText w:val="%3."/>
      <w:lvlJc w:val="right"/>
      <w:pPr>
        <w:ind w:left="2268" w:hanging="180"/>
      </w:pPr>
    </w:lvl>
    <w:lvl w:ilvl="3">
      <w:start w:val="1"/>
      <w:numFmt w:val="decimal"/>
      <w:lvlText w:val="%4."/>
      <w:lvlJc w:val="left"/>
      <w:pPr>
        <w:ind w:left="2988" w:hanging="360"/>
      </w:pPr>
    </w:lvl>
    <w:lvl w:ilvl="4">
      <w:start w:val="1"/>
      <w:numFmt w:val="lowerLetter"/>
      <w:lvlText w:val="%5."/>
      <w:lvlJc w:val="left"/>
      <w:pPr>
        <w:ind w:left="3708" w:hanging="360"/>
      </w:pPr>
    </w:lvl>
    <w:lvl w:ilvl="5">
      <w:start w:val="1"/>
      <w:numFmt w:val="lowerRoman"/>
      <w:lvlText w:val="%6."/>
      <w:lvlJc w:val="right"/>
      <w:pPr>
        <w:ind w:left="4428" w:hanging="180"/>
      </w:pPr>
    </w:lvl>
    <w:lvl w:ilvl="6">
      <w:start w:val="1"/>
      <w:numFmt w:val="decimal"/>
      <w:lvlText w:val="%7."/>
      <w:lvlJc w:val="left"/>
      <w:pPr>
        <w:ind w:left="5148" w:hanging="360"/>
      </w:pPr>
    </w:lvl>
    <w:lvl w:ilvl="7">
      <w:start w:val="1"/>
      <w:numFmt w:val="lowerLetter"/>
      <w:lvlText w:val="%8."/>
      <w:lvlJc w:val="left"/>
      <w:pPr>
        <w:ind w:left="5868" w:hanging="360"/>
      </w:pPr>
    </w:lvl>
    <w:lvl w:ilvl="8">
      <w:start w:val="1"/>
      <w:numFmt w:val="lowerRoman"/>
      <w:lvlText w:val="%9."/>
      <w:lvlJc w:val="right"/>
      <w:pPr>
        <w:ind w:left="6588" w:hanging="180"/>
      </w:pPr>
    </w:lvl>
  </w:abstractNum>
  <w:abstractNum w:abstractNumId="12" w15:restartNumberingAfterBreak="0">
    <w:nsid w:val="3CA9690B"/>
    <w:multiLevelType w:val="multilevel"/>
    <w:tmpl w:val="1E4E0ED2"/>
    <w:styleLink w:val="WWOutlineListStyle3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3F3B0956"/>
    <w:multiLevelType w:val="multilevel"/>
    <w:tmpl w:val="A3CAE9A4"/>
    <w:styleLink w:val="WWOutlineListStyle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FC17E13"/>
    <w:multiLevelType w:val="multilevel"/>
    <w:tmpl w:val="E488E2E2"/>
    <w:styleLink w:val="WWOutlineListStyle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0901F4E"/>
    <w:multiLevelType w:val="multilevel"/>
    <w:tmpl w:val="797CF0FE"/>
    <w:styleLink w:val="WWOutlineListStyl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616F3079"/>
    <w:multiLevelType w:val="multilevel"/>
    <w:tmpl w:val="A3184B9C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1A536CF"/>
    <w:multiLevelType w:val="multilevel"/>
    <w:tmpl w:val="D556F5BC"/>
    <w:styleLink w:val="LFO1"/>
    <w:lvl w:ilvl="0">
      <w:start w:val="1"/>
      <w:numFmt w:val="decimal"/>
      <w:pStyle w:val="Tematkomentarza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2E0A0D"/>
    <w:multiLevelType w:val="multilevel"/>
    <w:tmpl w:val="847E6FC0"/>
    <w:styleLink w:val="WWOutlineListStyle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71BA4575"/>
    <w:multiLevelType w:val="multilevel"/>
    <w:tmpl w:val="AF6A20A8"/>
    <w:styleLink w:val="LFO7"/>
    <w:lvl w:ilvl="0">
      <w:start w:val="1"/>
      <w:numFmt w:val="decimal"/>
      <w:pStyle w:val="Nagwekspisutreci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773C08BF"/>
    <w:multiLevelType w:val="multilevel"/>
    <w:tmpl w:val="4DC84CE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781637EB"/>
    <w:multiLevelType w:val="multilevel"/>
    <w:tmpl w:val="0072953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790C04C8"/>
    <w:multiLevelType w:val="multilevel"/>
    <w:tmpl w:val="3D5C4896"/>
    <w:styleLink w:val="WWOutlineListStyle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7E9858E2"/>
    <w:multiLevelType w:val="multilevel"/>
    <w:tmpl w:val="3BEEA2D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3"/>
  </w:num>
  <w:num w:numId="2">
    <w:abstractNumId w:val="18"/>
  </w:num>
  <w:num w:numId="3">
    <w:abstractNumId w:val="14"/>
  </w:num>
  <w:num w:numId="4">
    <w:abstractNumId w:val="12"/>
  </w:num>
  <w:num w:numId="5">
    <w:abstractNumId w:val="22"/>
  </w:num>
  <w:num w:numId="6">
    <w:abstractNumId w:val="4"/>
  </w:num>
  <w:num w:numId="7">
    <w:abstractNumId w:val="15"/>
  </w:num>
  <w:num w:numId="8">
    <w:abstractNumId w:val="17"/>
  </w:num>
  <w:num w:numId="9">
    <w:abstractNumId w:val="19"/>
  </w:num>
  <w:num w:numId="10">
    <w:abstractNumId w:val="0"/>
  </w:num>
  <w:num w:numId="11">
    <w:abstractNumId w:val="3"/>
  </w:num>
  <w:num w:numId="12">
    <w:abstractNumId w:val="10"/>
  </w:num>
  <w:num w:numId="13">
    <w:abstractNumId w:val="1"/>
  </w:num>
  <w:num w:numId="14">
    <w:abstractNumId w:val="16"/>
  </w:num>
  <w:num w:numId="15">
    <w:abstractNumId w:val="7"/>
  </w:num>
  <w:num w:numId="16">
    <w:abstractNumId w:val="5"/>
  </w:num>
  <w:num w:numId="17">
    <w:abstractNumId w:val="11"/>
  </w:num>
  <w:num w:numId="18">
    <w:abstractNumId w:val="8"/>
  </w:num>
  <w:num w:numId="19">
    <w:abstractNumId w:val="6"/>
  </w:num>
  <w:num w:numId="20">
    <w:abstractNumId w:val="9"/>
  </w:num>
  <w:num w:numId="21">
    <w:abstractNumId w:val="20"/>
  </w:num>
  <w:num w:numId="22">
    <w:abstractNumId w:val="23"/>
  </w:num>
  <w:num w:numId="23">
    <w:abstractNumId w:val="2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1134"/>
  <w:autoHyphenation/>
  <w:hyphenationZone w:val="425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080"/>
    <w:rsid w:val="000F0A77"/>
    <w:rsid w:val="00241604"/>
    <w:rsid w:val="00373907"/>
    <w:rsid w:val="003D7E86"/>
    <w:rsid w:val="0053234D"/>
    <w:rsid w:val="006776D8"/>
    <w:rsid w:val="007860BA"/>
    <w:rsid w:val="00B12657"/>
    <w:rsid w:val="00BA5640"/>
    <w:rsid w:val="00BD00A2"/>
    <w:rsid w:val="00D65080"/>
    <w:rsid w:val="00E230A0"/>
    <w:rsid w:val="00F77A68"/>
    <w:rsid w:val="00F8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3364E"/>
  <w15:docId w15:val="{18C9AAF8-0588-4BBE-AB29-E3D322687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numPr>
        <w:numId w:val="1"/>
      </w:numPr>
      <w:pBdr>
        <w:bottom w:val="single" w:sz="4" w:space="1" w:color="595959"/>
      </w:pBdr>
      <w:spacing w:before="360"/>
      <w:outlineLvl w:val="0"/>
    </w:pPr>
    <w:rPr>
      <w:b/>
      <w:bCs/>
      <w:color w:val="000000"/>
      <w:sz w:val="36"/>
      <w:szCs w:val="36"/>
    </w:rPr>
  </w:style>
  <w:style w:type="paragraph" w:styleId="Nagwek2">
    <w:name w:val="heading 2"/>
    <w:basedOn w:val="Normalny"/>
    <w:next w:val="Normalny"/>
    <w:pPr>
      <w:keepNext/>
      <w:keepLines/>
      <w:numPr>
        <w:ilvl w:val="1"/>
        <w:numId w:val="1"/>
      </w:numPr>
      <w:spacing w:before="360" w:after="0"/>
      <w:outlineLvl w:val="1"/>
    </w:pPr>
    <w:rPr>
      <w:rFonts w:ascii="Cambria" w:hAnsi="Cambria"/>
      <w:b/>
      <w:bCs/>
      <w:smallCaps/>
      <w:color w:val="000000"/>
      <w:sz w:val="28"/>
      <w:szCs w:val="28"/>
    </w:rPr>
  </w:style>
  <w:style w:type="paragraph" w:styleId="Nagwek3">
    <w:name w:val="heading 3"/>
    <w:basedOn w:val="Normalny"/>
    <w:next w:val="Normalny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hAnsi="Cambria"/>
      <w:b/>
      <w:bCs/>
      <w:color w:val="000000"/>
    </w:rPr>
  </w:style>
  <w:style w:type="paragraph" w:styleId="Nagwek4">
    <w:name w:val="heading 4"/>
    <w:basedOn w:val="Normalny"/>
    <w:next w:val="Normalny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hAnsi="Cambria"/>
      <w:b/>
      <w:bCs/>
      <w:i/>
      <w:iCs/>
      <w:color w:val="000000"/>
    </w:rPr>
  </w:style>
  <w:style w:type="paragraph" w:styleId="Nagwek5">
    <w:name w:val="heading 5"/>
    <w:basedOn w:val="Normalny"/>
    <w:next w:val="Normalny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  <w:color w:val="17365D"/>
    </w:rPr>
  </w:style>
  <w:style w:type="paragraph" w:styleId="Nagwek6">
    <w:name w:val="heading 6"/>
    <w:basedOn w:val="Normalny"/>
    <w:next w:val="Normalny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17365D"/>
    </w:rPr>
  </w:style>
  <w:style w:type="paragraph" w:styleId="Nagwek7">
    <w:name w:val="heading 7"/>
    <w:basedOn w:val="Normalny"/>
    <w:next w:val="Normalny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next w:val="Normalny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6">
    <w:name w:val="WW_OutlineListStyle_6"/>
    <w:basedOn w:val="Bezlisty"/>
    <w:pPr>
      <w:numPr>
        <w:numId w:val="1"/>
      </w:numPr>
    </w:pPr>
  </w:style>
  <w:style w:type="character" w:customStyle="1" w:styleId="Nagwek1Znak">
    <w:name w:val="Nagłówek 1 Znak"/>
    <w:basedOn w:val="Domylnaczcionkaakapitu"/>
    <w:rPr>
      <w:rFonts w:eastAsia="Times New Roman" w:cs="Times New Roman"/>
      <w:b/>
      <w:bCs/>
      <w:color w:val="000000"/>
      <w:sz w:val="36"/>
      <w:szCs w:val="36"/>
    </w:rPr>
  </w:style>
  <w:style w:type="character" w:customStyle="1" w:styleId="Nagwek2Znak">
    <w:name w:val="Nagłówek 2 Znak"/>
    <w:basedOn w:val="Domylnaczcionkaakapitu"/>
    <w:rPr>
      <w:rFonts w:ascii="Cambria" w:eastAsia="Times New Roman" w:hAnsi="Cambria" w:cs="Times New Roman"/>
      <w:b/>
      <w:bCs/>
      <w:smallCaps/>
      <w:color w:val="000000"/>
      <w:sz w:val="28"/>
      <w:szCs w:val="28"/>
    </w:rPr>
  </w:style>
  <w:style w:type="character" w:customStyle="1" w:styleId="Nagwek3Znak">
    <w:name w:val="Nagłówek 3 Znak"/>
    <w:basedOn w:val="Domylnaczcionkaakapitu"/>
    <w:rPr>
      <w:rFonts w:ascii="Cambria" w:eastAsia="Times New Roman" w:hAnsi="Cambria" w:cs="Times New Roman"/>
      <w:b/>
      <w:bCs/>
      <w:color w:val="000000"/>
    </w:rPr>
  </w:style>
  <w:style w:type="character" w:customStyle="1" w:styleId="Nagwek4Znak">
    <w:name w:val="Nagłówek 4 Znak"/>
    <w:basedOn w:val="Domylnaczcionkaakapitu"/>
    <w:rPr>
      <w:rFonts w:ascii="Cambria" w:eastAsia="Times New Roman" w:hAnsi="Cambria" w:cs="Times New Roman"/>
      <w:b/>
      <w:bCs/>
      <w:i/>
      <w:iCs/>
      <w:color w:val="000000"/>
    </w:rPr>
  </w:style>
  <w:style w:type="character" w:customStyle="1" w:styleId="Nagwek5Znak">
    <w:name w:val="Nagłówek 5 Znak"/>
    <w:basedOn w:val="Domylnaczcionkaakapitu"/>
    <w:rPr>
      <w:rFonts w:ascii="Cambria" w:eastAsia="Times New Roman" w:hAnsi="Cambria" w:cs="Times New Roman"/>
      <w:color w:val="17365D"/>
    </w:rPr>
  </w:style>
  <w:style w:type="character" w:customStyle="1" w:styleId="Nagwek6Znak">
    <w:name w:val="Nagłówek 6 Znak"/>
    <w:basedOn w:val="Domylnaczcionkaakapitu"/>
    <w:rPr>
      <w:rFonts w:ascii="Cambria" w:eastAsia="Times New Roman" w:hAnsi="Cambria" w:cs="Times New Roman"/>
      <w:i/>
      <w:iCs/>
      <w:color w:val="17365D"/>
    </w:rPr>
  </w:style>
  <w:style w:type="character" w:customStyle="1" w:styleId="Nagwek7Znak">
    <w:name w:val="Nagłówek 7 Znak"/>
    <w:basedOn w:val="Domylnaczcionkaakapitu"/>
    <w:rPr>
      <w:rFonts w:ascii="Cambria" w:eastAsia="Times New Roman" w:hAnsi="Cambria" w:cs="Times New Roman"/>
      <w:i/>
      <w:iCs/>
      <w:color w:val="404040"/>
    </w:rPr>
  </w:style>
  <w:style w:type="character" w:customStyle="1" w:styleId="Nagwek8Znak">
    <w:name w:val="Nagłówek 8 Znak"/>
    <w:basedOn w:val="Domylnaczcionkaakapitu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gwek9Znak">
    <w:name w:val="Nagłówek 9 Znak"/>
    <w:basedOn w:val="Domylnaczcionkaakapitu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TOC11">
    <w:name w:val="TOC 11"/>
    <w:next w:val="Normalny"/>
    <w:pPr>
      <w:widowControl w:val="0"/>
      <w:autoSpaceDE w:val="0"/>
    </w:pPr>
    <w:rPr>
      <w:b/>
      <w:bCs/>
      <w:color w:val="000000"/>
      <w:sz w:val="28"/>
      <w:szCs w:val="28"/>
      <w:shd w:val="clear" w:color="auto" w:fill="FFFFFF"/>
      <w:lang w:val="en-AU"/>
    </w:rPr>
  </w:style>
  <w:style w:type="paragraph" w:customStyle="1" w:styleId="TOC21">
    <w:name w:val="TOC 21"/>
    <w:next w:val="Normalny"/>
    <w:pPr>
      <w:widowControl w:val="0"/>
      <w:autoSpaceDE w:val="0"/>
      <w:ind w:left="180"/>
    </w:pPr>
    <w:rPr>
      <w:b/>
      <w:bCs/>
      <w:color w:val="000000"/>
      <w:sz w:val="24"/>
      <w:szCs w:val="24"/>
      <w:shd w:val="clear" w:color="auto" w:fill="FFFFFF"/>
      <w:lang w:val="en-AU"/>
    </w:rPr>
  </w:style>
  <w:style w:type="paragraph" w:customStyle="1" w:styleId="TOC31">
    <w:name w:val="TOC 31"/>
    <w:next w:val="Normalny"/>
    <w:pPr>
      <w:widowControl w:val="0"/>
      <w:autoSpaceDE w:val="0"/>
      <w:ind w:left="360"/>
    </w:pPr>
    <w:rPr>
      <w:color w:val="000000"/>
      <w:sz w:val="24"/>
      <w:szCs w:val="24"/>
      <w:shd w:val="clear" w:color="auto" w:fill="FFFFFF"/>
      <w:lang w:val="en-AU"/>
    </w:rPr>
  </w:style>
  <w:style w:type="paragraph" w:customStyle="1" w:styleId="TOC41">
    <w:name w:val="TOC 41"/>
    <w:next w:val="Normalny"/>
    <w:pPr>
      <w:widowControl w:val="0"/>
      <w:autoSpaceDE w:val="0"/>
      <w:ind w:left="540"/>
    </w:pPr>
    <w:rPr>
      <w:color w:val="000000"/>
      <w:sz w:val="24"/>
      <w:szCs w:val="24"/>
      <w:shd w:val="clear" w:color="auto" w:fill="FFFFFF"/>
      <w:lang w:val="en-AU"/>
    </w:rPr>
  </w:style>
  <w:style w:type="paragraph" w:customStyle="1" w:styleId="TOC51">
    <w:name w:val="TOC 51"/>
    <w:next w:val="Normalny"/>
    <w:pPr>
      <w:widowControl w:val="0"/>
      <w:autoSpaceDE w:val="0"/>
      <w:ind w:left="720"/>
    </w:pPr>
    <w:rPr>
      <w:color w:val="000000"/>
      <w:sz w:val="24"/>
      <w:szCs w:val="24"/>
      <w:shd w:val="clear" w:color="auto" w:fill="FFFFFF"/>
      <w:lang w:val="en-AU"/>
    </w:rPr>
  </w:style>
  <w:style w:type="paragraph" w:customStyle="1" w:styleId="TOC61">
    <w:name w:val="TOC 61"/>
    <w:next w:val="Normalny"/>
    <w:pPr>
      <w:widowControl w:val="0"/>
      <w:autoSpaceDE w:val="0"/>
      <w:ind w:left="900"/>
    </w:pPr>
    <w:rPr>
      <w:color w:val="000000"/>
      <w:sz w:val="24"/>
      <w:szCs w:val="24"/>
      <w:shd w:val="clear" w:color="auto" w:fill="FFFFFF"/>
      <w:lang w:val="en-AU"/>
    </w:rPr>
  </w:style>
  <w:style w:type="paragraph" w:customStyle="1" w:styleId="TOC71">
    <w:name w:val="TOC 71"/>
    <w:next w:val="Normalny"/>
    <w:pPr>
      <w:widowControl w:val="0"/>
      <w:autoSpaceDE w:val="0"/>
      <w:ind w:left="1080"/>
    </w:pPr>
    <w:rPr>
      <w:color w:val="000000"/>
      <w:sz w:val="24"/>
      <w:szCs w:val="24"/>
      <w:shd w:val="clear" w:color="auto" w:fill="FFFFFF"/>
      <w:lang w:val="en-AU"/>
    </w:rPr>
  </w:style>
  <w:style w:type="paragraph" w:customStyle="1" w:styleId="TOC81">
    <w:name w:val="TOC 81"/>
    <w:next w:val="Normalny"/>
    <w:pPr>
      <w:widowControl w:val="0"/>
      <w:autoSpaceDE w:val="0"/>
      <w:ind w:left="1260"/>
    </w:pPr>
    <w:rPr>
      <w:color w:val="000000"/>
      <w:sz w:val="24"/>
      <w:szCs w:val="24"/>
      <w:shd w:val="clear" w:color="auto" w:fill="FFFFFF"/>
      <w:lang w:val="en-AU"/>
    </w:rPr>
  </w:style>
  <w:style w:type="paragraph" w:customStyle="1" w:styleId="TOC91">
    <w:name w:val="TOC 91"/>
    <w:next w:val="Normalny"/>
    <w:pPr>
      <w:widowControl w:val="0"/>
      <w:autoSpaceDE w:val="0"/>
      <w:ind w:left="1440"/>
    </w:pPr>
    <w:rPr>
      <w:color w:val="000000"/>
      <w:sz w:val="24"/>
      <w:szCs w:val="24"/>
      <w:shd w:val="clear" w:color="auto" w:fill="FFFFFF"/>
      <w:lang w:val="en-AU"/>
    </w:rPr>
  </w:style>
  <w:style w:type="paragraph" w:customStyle="1" w:styleId="Heading11">
    <w:name w:val="Heading 11"/>
    <w:next w:val="Normalny"/>
    <w:pPr>
      <w:widowControl w:val="0"/>
      <w:autoSpaceDE w:val="0"/>
      <w:spacing w:before="240" w:after="60"/>
    </w:pPr>
    <w:rPr>
      <w:rFonts w:ascii="Arial" w:hAnsi="Arial" w:cs="Arial"/>
      <w:b/>
      <w:bCs/>
      <w:color w:val="004080"/>
      <w:sz w:val="32"/>
      <w:szCs w:val="32"/>
      <w:shd w:val="clear" w:color="auto" w:fill="FFFFFF"/>
      <w:lang w:val="en-AU"/>
    </w:rPr>
  </w:style>
  <w:style w:type="paragraph" w:customStyle="1" w:styleId="Heading21">
    <w:name w:val="Heading 21"/>
    <w:next w:val="Normalny"/>
    <w:pPr>
      <w:widowControl w:val="0"/>
      <w:autoSpaceDE w:val="0"/>
      <w:spacing w:before="240" w:after="60"/>
      <w:outlineLvl w:val="1"/>
    </w:pPr>
    <w:rPr>
      <w:rFonts w:ascii="Arial" w:hAnsi="Arial" w:cs="Arial"/>
      <w:b/>
      <w:bCs/>
      <w:color w:val="0000B0"/>
      <w:sz w:val="30"/>
      <w:szCs w:val="30"/>
      <w:shd w:val="clear" w:color="auto" w:fill="FFFFFF"/>
      <w:lang w:val="en-AU"/>
    </w:rPr>
  </w:style>
  <w:style w:type="paragraph" w:customStyle="1" w:styleId="Heading31">
    <w:name w:val="Heading 31"/>
    <w:next w:val="Normalny"/>
    <w:pPr>
      <w:widowControl w:val="0"/>
      <w:autoSpaceDE w:val="0"/>
      <w:spacing w:before="240" w:after="60"/>
      <w:outlineLvl w:val="2"/>
    </w:pPr>
    <w:rPr>
      <w:rFonts w:ascii="Arial" w:hAnsi="Arial" w:cs="Arial"/>
      <w:b/>
      <w:bCs/>
      <w:color w:val="0000D2"/>
      <w:sz w:val="28"/>
      <w:szCs w:val="28"/>
      <w:shd w:val="clear" w:color="auto" w:fill="FFFFFF"/>
      <w:lang w:val="en-AU"/>
    </w:rPr>
  </w:style>
  <w:style w:type="paragraph" w:customStyle="1" w:styleId="Heading41">
    <w:name w:val="Heading 41"/>
    <w:next w:val="Normalny"/>
    <w:pPr>
      <w:widowControl w:val="0"/>
      <w:autoSpaceDE w:val="0"/>
      <w:spacing w:before="240" w:after="60"/>
      <w:outlineLvl w:val="3"/>
    </w:pPr>
    <w:rPr>
      <w:rFonts w:ascii="Arial" w:hAnsi="Arial" w:cs="Arial"/>
      <w:b/>
      <w:bCs/>
      <w:color w:val="004080"/>
      <w:sz w:val="24"/>
      <w:szCs w:val="24"/>
      <w:shd w:val="clear" w:color="auto" w:fill="FFFFFF"/>
      <w:lang w:val="en-AU"/>
    </w:rPr>
  </w:style>
  <w:style w:type="paragraph" w:customStyle="1" w:styleId="Heading51">
    <w:name w:val="Heading 51"/>
    <w:next w:val="Normalny"/>
    <w:pPr>
      <w:widowControl w:val="0"/>
      <w:autoSpaceDE w:val="0"/>
      <w:spacing w:before="240" w:after="60"/>
      <w:outlineLvl w:val="4"/>
    </w:pPr>
    <w:rPr>
      <w:rFonts w:ascii="Arial" w:hAnsi="Arial" w:cs="Arial"/>
      <w:b/>
      <w:bCs/>
      <w:i/>
      <w:iCs/>
      <w:color w:val="004080"/>
      <w:sz w:val="24"/>
      <w:szCs w:val="24"/>
      <w:shd w:val="clear" w:color="auto" w:fill="FFFFFF"/>
      <w:lang w:val="en-AU"/>
    </w:rPr>
  </w:style>
  <w:style w:type="paragraph" w:customStyle="1" w:styleId="Heading61">
    <w:name w:val="Heading 61"/>
    <w:next w:val="Normalny"/>
    <w:pPr>
      <w:widowControl w:val="0"/>
      <w:autoSpaceDE w:val="0"/>
      <w:spacing w:before="240" w:after="60"/>
      <w:outlineLvl w:val="5"/>
    </w:pPr>
    <w:rPr>
      <w:rFonts w:ascii="Arial" w:hAnsi="Arial" w:cs="Arial"/>
      <w:b/>
      <w:bCs/>
      <w:color w:val="004080"/>
      <w:shd w:val="clear" w:color="auto" w:fill="FFFFFF"/>
      <w:lang w:val="en-AU"/>
    </w:rPr>
  </w:style>
  <w:style w:type="paragraph" w:customStyle="1" w:styleId="Heading71">
    <w:name w:val="Heading 71"/>
    <w:next w:val="Normalny"/>
    <w:pPr>
      <w:widowControl w:val="0"/>
      <w:autoSpaceDE w:val="0"/>
      <w:spacing w:before="240" w:after="60"/>
      <w:outlineLvl w:val="6"/>
    </w:pPr>
    <w:rPr>
      <w:rFonts w:ascii="Arial" w:hAnsi="Arial" w:cs="Arial"/>
      <w:color w:val="004080"/>
      <w:u w:val="single"/>
      <w:shd w:val="clear" w:color="auto" w:fill="FFFFFF"/>
      <w:lang w:val="en-AU"/>
    </w:rPr>
  </w:style>
  <w:style w:type="paragraph" w:customStyle="1" w:styleId="Heading81">
    <w:name w:val="Heading 81"/>
    <w:next w:val="Normalny"/>
    <w:pPr>
      <w:widowControl w:val="0"/>
      <w:autoSpaceDE w:val="0"/>
      <w:spacing w:before="240" w:after="60"/>
      <w:outlineLvl w:val="7"/>
    </w:pPr>
    <w:rPr>
      <w:rFonts w:ascii="Arial" w:hAnsi="Arial" w:cs="Arial"/>
      <w:i/>
      <w:iCs/>
      <w:color w:val="000000"/>
      <w:u w:val="single"/>
      <w:shd w:val="clear" w:color="auto" w:fill="FFFFFF"/>
      <w:lang w:val="en-AU"/>
    </w:rPr>
  </w:style>
  <w:style w:type="paragraph" w:customStyle="1" w:styleId="Heading91">
    <w:name w:val="Heading 91"/>
    <w:next w:val="Normalny"/>
    <w:pPr>
      <w:widowControl w:val="0"/>
      <w:autoSpaceDE w:val="0"/>
      <w:spacing w:before="240" w:after="60"/>
      <w:outlineLvl w:val="8"/>
    </w:pPr>
    <w:rPr>
      <w:rFonts w:ascii="Arial" w:hAnsi="Arial" w:cs="Arial"/>
      <w:color w:val="004080"/>
      <w:shd w:val="clear" w:color="auto" w:fill="FFFFFF"/>
      <w:lang w:val="en-AU"/>
    </w:rPr>
  </w:style>
  <w:style w:type="paragraph" w:styleId="Tytu">
    <w:name w:val="Title"/>
    <w:basedOn w:val="Normalny"/>
    <w:next w:val="Normalny"/>
    <w:pPr>
      <w:spacing w:after="0" w:line="240" w:lineRule="auto"/>
    </w:pPr>
    <w:rPr>
      <w:rFonts w:ascii="Cambria" w:hAnsi="Cambria"/>
      <w:color w:val="000000"/>
      <w:sz w:val="56"/>
      <w:szCs w:val="56"/>
    </w:rPr>
  </w:style>
  <w:style w:type="character" w:customStyle="1" w:styleId="TytuZnak">
    <w:name w:val="Tytuł Znak"/>
    <w:basedOn w:val="Domylnaczcionkaakapitu"/>
    <w:rPr>
      <w:rFonts w:ascii="Cambria" w:eastAsia="Times New Roman" w:hAnsi="Cambria" w:cs="Times New Roman"/>
      <w:color w:val="000000"/>
      <w:sz w:val="56"/>
      <w:szCs w:val="56"/>
    </w:rPr>
  </w:style>
  <w:style w:type="paragraph" w:customStyle="1" w:styleId="NumberedList">
    <w:name w:val="Numbered List"/>
    <w:next w:val="Normalny"/>
    <w:pPr>
      <w:widowControl w:val="0"/>
      <w:autoSpaceDE w:val="0"/>
      <w:ind w:left="360" w:hanging="360"/>
    </w:pPr>
    <w:rPr>
      <w:color w:val="000000"/>
      <w:shd w:val="clear" w:color="auto" w:fill="FFFFFF"/>
      <w:lang w:val="en-AU"/>
    </w:rPr>
  </w:style>
  <w:style w:type="paragraph" w:customStyle="1" w:styleId="BulletedList">
    <w:name w:val="Bulleted List"/>
    <w:next w:val="Normalny"/>
    <w:pPr>
      <w:widowControl w:val="0"/>
      <w:autoSpaceDE w:val="0"/>
      <w:ind w:left="360" w:hanging="360"/>
    </w:pPr>
    <w:rPr>
      <w:color w:val="000000"/>
      <w:shd w:val="clear" w:color="auto" w:fill="FFFFFF"/>
      <w:lang w:val="en-AU"/>
    </w:rPr>
  </w:style>
  <w:style w:type="paragraph" w:styleId="Tekstpodstawowy">
    <w:name w:val="Body Text"/>
    <w:basedOn w:val="Normalny"/>
    <w:next w:val="Normalny"/>
    <w:pPr>
      <w:spacing w:after="120"/>
    </w:pPr>
    <w:rPr>
      <w:rFonts w:ascii="Times New Roman" w:hAnsi="Times New Roman"/>
    </w:rPr>
  </w:style>
  <w:style w:type="character" w:customStyle="1" w:styleId="TekstpodstawowyZnak">
    <w:name w:val="Tekst podstawowy Znak"/>
    <w:basedOn w:val="Domylnaczcionkaakapitu"/>
    <w:rPr>
      <w:rFonts w:ascii="Arial" w:hAnsi="Arial" w:cs="Times New Roman"/>
      <w:color w:val="000000"/>
      <w:sz w:val="20"/>
      <w:szCs w:val="20"/>
      <w:lang w:val="en-AU"/>
    </w:rPr>
  </w:style>
  <w:style w:type="paragraph" w:styleId="Tekstpodstawowy2">
    <w:name w:val="Body Text 2"/>
    <w:basedOn w:val="Normalny"/>
    <w:next w:val="Normalny"/>
    <w:pPr>
      <w:spacing w:after="120" w:line="480" w:lineRule="auto"/>
    </w:pPr>
    <w:rPr>
      <w:rFonts w:ascii="Times New Roman" w:hAnsi="Times New Roman"/>
      <w:sz w:val="18"/>
      <w:szCs w:val="18"/>
    </w:rPr>
  </w:style>
  <w:style w:type="character" w:customStyle="1" w:styleId="Tekstpodstawowy2Znak">
    <w:name w:val="Tekst podstawowy 2 Znak"/>
    <w:basedOn w:val="Domylnaczcionkaakapitu"/>
    <w:rPr>
      <w:rFonts w:ascii="Arial" w:hAnsi="Arial" w:cs="Times New Roman"/>
      <w:color w:val="000000"/>
      <w:sz w:val="20"/>
      <w:szCs w:val="20"/>
      <w:lang w:val="en-AU"/>
    </w:rPr>
  </w:style>
  <w:style w:type="paragraph" w:styleId="Tekstpodstawowy3">
    <w:name w:val="Body Text 3"/>
    <w:basedOn w:val="Normalny"/>
    <w:next w:val="Normalny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rPr>
      <w:rFonts w:ascii="Arial" w:hAnsi="Arial" w:cs="Times New Roman"/>
      <w:color w:val="000000"/>
      <w:sz w:val="16"/>
      <w:szCs w:val="16"/>
      <w:lang w:val="en-AU"/>
    </w:rPr>
  </w:style>
  <w:style w:type="paragraph" w:styleId="Nagweknotatki">
    <w:name w:val="Note Heading"/>
    <w:basedOn w:val="Normalny"/>
    <w:next w:val="Normalny"/>
    <w:rPr>
      <w:rFonts w:ascii="Times New Roman" w:hAnsi="Times New Roman"/>
    </w:rPr>
  </w:style>
  <w:style w:type="character" w:customStyle="1" w:styleId="NagweknotatkiZnak">
    <w:name w:val="Nagłówek notatki Znak"/>
    <w:basedOn w:val="Domylnaczcionkaakapitu"/>
    <w:rPr>
      <w:rFonts w:ascii="Arial" w:hAnsi="Arial" w:cs="Times New Roman"/>
      <w:color w:val="000000"/>
      <w:sz w:val="20"/>
      <w:szCs w:val="20"/>
      <w:lang w:val="en-AU"/>
    </w:rPr>
  </w:style>
  <w:style w:type="paragraph" w:styleId="Zwykytekst">
    <w:name w:val="Plain Text"/>
    <w:basedOn w:val="Normalny"/>
    <w:next w:val="Normalny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rPr>
      <w:rFonts w:ascii="Courier New" w:hAnsi="Courier New" w:cs="Courier New"/>
      <w:color w:val="000000"/>
      <w:sz w:val="20"/>
      <w:szCs w:val="20"/>
      <w:lang w:val="en-AU"/>
    </w:rPr>
  </w:style>
  <w:style w:type="character" w:styleId="Pogrubienie">
    <w:name w:val="Strong"/>
    <w:basedOn w:val="Domylnaczcionkaakapitu"/>
    <w:rPr>
      <w:b/>
      <w:bCs/>
      <w:color w:val="000000"/>
    </w:rPr>
  </w:style>
  <w:style w:type="character" w:styleId="Uwydatnienie">
    <w:name w:val="Emphasis"/>
    <w:basedOn w:val="Domylnaczcionkaakapitu"/>
    <w:rPr>
      <w:i/>
      <w:iCs/>
      <w:color w:val="auto"/>
    </w:rPr>
  </w:style>
  <w:style w:type="character" w:styleId="Hipercze">
    <w:name w:val="Hyperlink"/>
    <w:basedOn w:val="Domylnaczcionkaakapitu"/>
    <w:rPr>
      <w:rFonts w:ascii="Times New Roman" w:hAnsi="Times New Roman" w:cs="Times New Roman"/>
      <w:color w:val="0000FF"/>
      <w:sz w:val="20"/>
      <w:szCs w:val="20"/>
      <w:u w:val="single"/>
      <w:shd w:val="clear" w:color="auto" w:fill="FFFFFF"/>
    </w:rPr>
  </w:style>
  <w:style w:type="paragraph" w:customStyle="1" w:styleId="Footer1">
    <w:name w:val="Footer1"/>
    <w:next w:val="Normalny"/>
    <w:pPr>
      <w:widowControl w:val="0"/>
      <w:autoSpaceDE w:val="0"/>
    </w:pPr>
    <w:rPr>
      <w:color w:val="000000"/>
      <w:shd w:val="clear" w:color="auto" w:fill="FFFFFF"/>
      <w:lang w:val="en-AU"/>
    </w:rPr>
  </w:style>
  <w:style w:type="paragraph" w:customStyle="1" w:styleId="Header1">
    <w:name w:val="Header1"/>
    <w:next w:val="Normalny"/>
    <w:pPr>
      <w:widowControl w:val="0"/>
      <w:autoSpaceDE w:val="0"/>
    </w:pPr>
    <w:rPr>
      <w:color w:val="000000"/>
      <w:shd w:val="clear" w:color="auto" w:fill="FFFFFF"/>
      <w:lang w:val="en-AU"/>
    </w:rPr>
  </w:style>
  <w:style w:type="paragraph" w:customStyle="1" w:styleId="Code">
    <w:name w:val="Code"/>
    <w:next w:val="Normalny"/>
    <w:pPr>
      <w:widowControl w:val="0"/>
      <w:autoSpaceDE w:val="0"/>
    </w:pPr>
    <w:rPr>
      <w:rFonts w:ascii="Courier New" w:hAnsi="Courier New" w:cs="Courier New"/>
      <w:color w:val="000000"/>
      <w:sz w:val="18"/>
      <w:szCs w:val="18"/>
      <w:shd w:val="clear" w:color="auto" w:fill="FFFFFF"/>
      <w:lang w:val="en-AU"/>
    </w:rPr>
  </w:style>
  <w:style w:type="character" w:customStyle="1" w:styleId="FieldLabel">
    <w:name w:val="Field Label"/>
    <w:rPr>
      <w:rFonts w:ascii="Times New Roman" w:hAnsi="Times New Roman"/>
      <w:i/>
      <w:color w:val="004080"/>
      <w:sz w:val="20"/>
      <w:shd w:val="clear" w:color="auto" w:fill="FFFFFF"/>
    </w:rPr>
  </w:style>
  <w:style w:type="character" w:customStyle="1" w:styleId="TableHeading">
    <w:name w:val="Table Heading"/>
    <w:rPr>
      <w:rFonts w:ascii="Times New Roman" w:hAnsi="Times New Roman"/>
      <w:b/>
      <w:color w:val="000000"/>
      <w:sz w:val="22"/>
      <w:shd w:val="clear" w:color="auto" w:fill="FFFFFF"/>
    </w:rPr>
  </w:style>
  <w:style w:type="character" w:customStyle="1" w:styleId="SSBookmark">
    <w:name w:val="SSBookmark"/>
    <w:rPr>
      <w:rFonts w:ascii="Lucida Sans" w:hAnsi="Lucida Sans"/>
      <w:b/>
      <w:color w:val="000000"/>
      <w:sz w:val="16"/>
      <w:shd w:val="clear" w:color="auto" w:fill="FFFF80"/>
    </w:rPr>
  </w:style>
  <w:style w:type="character" w:customStyle="1" w:styleId="Objecttype">
    <w:name w:val="Object type"/>
    <w:rPr>
      <w:rFonts w:ascii="Times New Roman" w:hAnsi="Times New Roman"/>
      <w:b/>
      <w:color w:val="000000"/>
      <w:sz w:val="20"/>
      <w:u w:val="single"/>
      <w:shd w:val="clear" w:color="auto" w:fill="FFFFFF"/>
    </w:rPr>
  </w:style>
  <w:style w:type="paragraph" w:customStyle="1" w:styleId="ListHeader">
    <w:name w:val="List Header"/>
    <w:next w:val="Normalny"/>
    <w:pPr>
      <w:widowControl w:val="0"/>
      <w:autoSpaceDE w:val="0"/>
    </w:pPr>
    <w:rPr>
      <w:b/>
      <w:bCs/>
      <w:i/>
      <w:iCs/>
      <w:color w:val="0000A0"/>
      <w:shd w:val="clear" w:color="auto" w:fill="FFFFFF"/>
      <w:lang w:val="en-AU"/>
    </w:rPr>
  </w:style>
  <w:style w:type="paragraph" w:styleId="Spistreci1">
    <w:name w:val="toc 1"/>
    <w:basedOn w:val="Normalny"/>
    <w:next w:val="Normalny"/>
    <w:autoRedefine/>
    <w:pPr>
      <w:tabs>
        <w:tab w:val="left" w:pos="400"/>
        <w:tab w:val="right" w:leader="dot" w:pos="9912"/>
      </w:tabs>
      <w:spacing w:before="240" w:after="120"/>
    </w:pPr>
    <w:rPr>
      <w:b/>
      <w:bCs/>
    </w:rPr>
  </w:style>
  <w:style w:type="paragraph" w:styleId="Spistreci2">
    <w:name w:val="toc 2"/>
    <w:basedOn w:val="Normalny"/>
    <w:next w:val="Normalny"/>
    <w:autoRedefine/>
    <w:pPr>
      <w:spacing w:before="120"/>
      <w:ind w:left="200"/>
    </w:pPr>
    <w:rPr>
      <w:i/>
      <w:iCs/>
    </w:rPr>
  </w:style>
  <w:style w:type="paragraph" w:styleId="Spistreci3">
    <w:name w:val="toc 3"/>
    <w:basedOn w:val="Normalny"/>
    <w:next w:val="Normalny"/>
    <w:autoRedefine/>
    <w:pPr>
      <w:ind w:left="400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Pr>
      <w:rFonts w:ascii="Arial" w:hAnsi="Arial" w:cs="Times New Roman"/>
      <w:color w:val="000000"/>
      <w:sz w:val="20"/>
      <w:szCs w:val="20"/>
      <w:lang w:val="en-AU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Pr>
      <w:rFonts w:ascii="Arial" w:hAnsi="Arial" w:cs="Times New Roman"/>
      <w:color w:val="000000"/>
      <w:shd w:val="clear" w:color="auto" w:fill="FFFFFF"/>
      <w:lang w:val="en-AU" w:eastAsia="pl-PL" w:bidi="ar-SA"/>
    </w:rPr>
  </w:style>
  <w:style w:type="paragraph" w:styleId="Tekstprzypisukocowego">
    <w:name w:val="endnote text"/>
    <w:basedOn w:val="Normalny"/>
  </w:style>
  <w:style w:type="character" w:customStyle="1" w:styleId="TekstprzypisukocowegoZnak">
    <w:name w:val="Tekst przypisu końcowego Znak"/>
    <w:basedOn w:val="Domylnaczcionkaakapitu"/>
    <w:rPr>
      <w:rFonts w:ascii="Arial" w:hAnsi="Arial" w:cs="Times New Roman"/>
      <w:color w:val="000000"/>
      <w:sz w:val="20"/>
      <w:szCs w:val="20"/>
      <w:lang w:val="en-AU"/>
    </w:rPr>
  </w:style>
  <w:style w:type="character" w:styleId="Odwoanieprzypisukocowego">
    <w:name w:val="endnote reference"/>
    <w:basedOn w:val="Domylnaczcionkaakapitu"/>
    <w:rPr>
      <w:rFonts w:cs="Times New Roman"/>
      <w:position w:val="0"/>
      <w:vertAlign w:val="superscript"/>
    </w:rPr>
  </w:style>
  <w:style w:type="character" w:styleId="UyteHipercze">
    <w:name w:val="FollowedHyperlink"/>
    <w:basedOn w:val="Domylnaczcionkaakapitu"/>
    <w:rPr>
      <w:rFonts w:cs="Times New Roman"/>
      <w:color w:val="800080"/>
      <w:u w:val="single"/>
    </w:rPr>
  </w:style>
  <w:style w:type="character" w:customStyle="1" w:styleId="apple-style-span">
    <w:name w:val="apple-style-span"/>
    <w:basedOn w:val="Domylnaczcionkaakapitu"/>
    <w:rPr>
      <w:rFonts w:cs="Times New Roman"/>
    </w:rPr>
  </w:style>
  <w:style w:type="character" w:customStyle="1" w:styleId="apple-converted-space">
    <w:name w:val="apple-converted-space"/>
    <w:basedOn w:val="Domylnaczcionkaakapitu"/>
    <w:rPr>
      <w:rFonts w:cs="Times New Roman"/>
    </w:rPr>
  </w:style>
  <w:style w:type="character" w:customStyle="1" w:styleId="m1">
    <w:name w:val="m1"/>
    <w:basedOn w:val="Domylnaczcionkaakapitu"/>
    <w:rPr>
      <w:rFonts w:cs="Times New Roman"/>
      <w:color w:val="0000FF"/>
    </w:rPr>
  </w:style>
  <w:style w:type="character" w:customStyle="1" w:styleId="pi1">
    <w:name w:val="pi1"/>
    <w:basedOn w:val="Domylnaczcionkaakapitu"/>
    <w:rPr>
      <w:rFonts w:cs="Times New Roman"/>
      <w:color w:val="0000FF"/>
    </w:rPr>
  </w:style>
  <w:style w:type="character" w:customStyle="1" w:styleId="t1">
    <w:name w:val="t1"/>
    <w:basedOn w:val="Domylnaczcionkaakapitu"/>
    <w:rPr>
      <w:rFonts w:cs="Times New Roman"/>
      <w:color w:val="990000"/>
    </w:rPr>
  </w:style>
  <w:style w:type="character" w:customStyle="1" w:styleId="ns1">
    <w:name w:val="ns1"/>
    <w:basedOn w:val="Domylnaczcionkaakapitu"/>
    <w:rPr>
      <w:rFonts w:cs="Times New Roman"/>
      <w:color w:val="FF0000"/>
    </w:rPr>
  </w:style>
  <w:style w:type="character" w:customStyle="1" w:styleId="b1">
    <w:name w:val="b1"/>
    <w:basedOn w:val="Domylnaczcionkaakapitu"/>
    <w:rPr>
      <w:rFonts w:ascii="Courier New" w:hAnsi="Courier New" w:cs="Courier New"/>
      <w:b/>
      <w:bCs/>
      <w:color w:val="FF0000"/>
      <w:u w:val="none"/>
    </w:rPr>
  </w:style>
  <w:style w:type="character" w:customStyle="1" w:styleId="tx1">
    <w:name w:val="tx1"/>
    <w:basedOn w:val="Domylnaczcionkaakapitu"/>
    <w:rPr>
      <w:rFonts w:cs="Times New Roman"/>
      <w:b/>
      <w:bCs/>
    </w:rPr>
  </w:style>
  <w:style w:type="paragraph" w:customStyle="1" w:styleId="ListParagraph1">
    <w:name w:val="List Paragraph1"/>
    <w:basedOn w:val="Normalny"/>
    <w:pPr>
      <w:ind w:left="720"/>
    </w:pPr>
    <w:rPr>
      <w:szCs w:val="24"/>
    </w:rPr>
  </w:style>
  <w:style w:type="paragraph" w:styleId="NormalnyWeb">
    <w:name w:val="Normal (Web)"/>
    <w:basedOn w:val="Normalny"/>
    <w:pPr>
      <w:spacing w:before="100" w:after="100"/>
    </w:pPr>
    <w:rPr>
      <w:rFonts w:ascii="Times New Roman" w:eastAsia="Batang" w:hAnsi="Times New Roman"/>
      <w:sz w:val="24"/>
      <w:szCs w:val="24"/>
      <w:lang w:eastAsia="ko-KR"/>
    </w:rPr>
  </w:style>
  <w:style w:type="paragraph" w:styleId="Legenda">
    <w:name w:val="caption"/>
    <w:basedOn w:val="Normalny"/>
    <w:next w:val="Normalny"/>
    <w:pPr>
      <w:spacing w:after="200" w:line="240" w:lineRule="auto"/>
    </w:pPr>
    <w:rPr>
      <w:i/>
      <w:iCs/>
      <w:color w:val="1F497D"/>
      <w:sz w:val="18"/>
      <w:szCs w:val="18"/>
    </w:rPr>
  </w:style>
  <w:style w:type="paragraph" w:styleId="Spistreci4">
    <w:name w:val="toc 4"/>
    <w:basedOn w:val="Normalny"/>
    <w:next w:val="Normalny"/>
    <w:autoRedefine/>
    <w:pPr>
      <w:ind w:left="600"/>
    </w:pPr>
  </w:style>
  <w:style w:type="paragraph" w:styleId="Tekstprzypisudolnego">
    <w:name w:val="footnote text"/>
    <w:basedOn w:val="Normalny"/>
  </w:style>
  <w:style w:type="character" w:customStyle="1" w:styleId="TekstprzypisudolnegoZnak">
    <w:name w:val="Tekst przypisu dolnego Znak"/>
    <w:basedOn w:val="Domylnaczcionkaakapitu"/>
    <w:rPr>
      <w:rFonts w:ascii="Arial" w:hAnsi="Arial" w:cs="Times New Roman"/>
      <w:color w:val="000000"/>
      <w:sz w:val="20"/>
      <w:szCs w:val="20"/>
      <w:lang w:val="en-AU"/>
    </w:rPr>
  </w:style>
  <w:style w:type="character" w:styleId="Odwoanieprzypisudolnego">
    <w:name w:val="footnote reference"/>
    <w:basedOn w:val="Domylnaczcionkaakapitu"/>
    <w:rPr>
      <w:rFonts w:cs="Times New Roman"/>
      <w:position w:val="0"/>
      <w:vertAlign w:val="superscript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color w:val="000000"/>
      <w:sz w:val="16"/>
      <w:szCs w:val="16"/>
      <w:lang w:val="en-AU"/>
    </w:rPr>
  </w:style>
  <w:style w:type="paragraph" w:styleId="Mapadokumentu">
    <w:name w:val="Document Map"/>
    <w:basedOn w:val="Normalny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rPr>
      <w:rFonts w:ascii="Tahoma" w:hAnsi="Tahoma" w:cs="Tahoma"/>
      <w:color w:val="000000"/>
      <w:sz w:val="16"/>
      <w:szCs w:val="16"/>
      <w:lang w:val="en-AU"/>
    </w:rPr>
  </w:style>
  <w:style w:type="paragraph" w:styleId="Nagwekspisutreci">
    <w:name w:val="TOC Heading"/>
    <w:basedOn w:val="Nagwek1"/>
    <w:next w:val="Normalny"/>
    <w:pPr>
      <w:numPr>
        <w:numId w:val="9"/>
      </w:numPr>
    </w:pPr>
  </w:style>
  <w:style w:type="paragraph" w:styleId="Cytatintensywny">
    <w:name w:val="Intense Quote"/>
    <w:basedOn w:val="Normalny"/>
    <w:next w:val="Normalny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CytatintensywnyZnak">
    <w:name w:val="Cytat intensywny Znak"/>
    <w:basedOn w:val="Domylnaczcionkaakapitu"/>
    <w:rPr>
      <w:color w:val="000000"/>
      <w:shd w:val="clear" w:color="auto" w:fill="F2F2F2"/>
    </w:rPr>
  </w:style>
  <w:style w:type="paragraph" w:styleId="Spistreci5">
    <w:name w:val="toc 5"/>
    <w:basedOn w:val="Normalny"/>
    <w:next w:val="Normalny"/>
    <w:autoRedefine/>
    <w:pPr>
      <w:ind w:left="800"/>
    </w:pPr>
    <w:rPr>
      <w:rFonts w:ascii="Times New Roman" w:hAnsi="Times New Roman"/>
    </w:rPr>
  </w:style>
  <w:style w:type="paragraph" w:styleId="Spistreci6">
    <w:name w:val="toc 6"/>
    <w:basedOn w:val="Normalny"/>
    <w:next w:val="Normalny"/>
    <w:autoRedefine/>
    <w:pPr>
      <w:ind w:left="1000"/>
    </w:pPr>
    <w:rPr>
      <w:rFonts w:ascii="Times New Roman" w:hAnsi="Times New Roman"/>
    </w:rPr>
  </w:style>
  <w:style w:type="paragraph" w:styleId="Spistreci7">
    <w:name w:val="toc 7"/>
    <w:basedOn w:val="Normalny"/>
    <w:next w:val="Normalny"/>
    <w:autoRedefine/>
    <w:pPr>
      <w:ind w:left="1200"/>
    </w:pPr>
    <w:rPr>
      <w:rFonts w:ascii="Times New Roman" w:hAnsi="Times New Roman"/>
    </w:rPr>
  </w:style>
  <w:style w:type="paragraph" w:styleId="Spistreci8">
    <w:name w:val="toc 8"/>
    <w:basedOn w:val="Normalny"/>
    <w:next w:val="Normalny"/>
    <w:autoRedefine/>
    <w:pPr>
      <w:ind w:left="1400"/>
    </w:pPr>
    <w:rPr>
      <w:rFonts w:ascii="Times New Roman" w:hAnsi="Times New Roman"/>
    </w:rPr>
  </w:style>
  <w:style w:type="paragraph" w:styleId="Spistreci9">
    <w:name w:val="toc 9"/>
    <w:basedOn w:val="Normalny"/>
    <w:next w:val="Normalny"/>
    <w:autoRedefine/>
    <w:pPr>
      <w:ind w:left="1600"/>
    </w:pPr>
    <w:rPr>
      <w:rFonts w:ascii="Times New Roman" w:hAnsi="Times New Roman"/>
    </w:rPr>
  </w:style>
  <w:style w:type="character" w:styleId="Numerstrony">
    <w:name w:val="page number"/>
    <w:basedOn w:val="Domylnaczcionkaakapitu"/>
    <w:rPr>
      <w:rFonts w:cs="Times New Roman"/>
    </w:rPr>
  </w:style>
  <w:style w:type="paragraph" w:customStyle="1" w:styleId="Default">
    <w:name w:val="Default"/>
    <w:pPr>
      <w:autoSpaceDE w:val="0"/>
    </w:pPr>
    <w:rPr>
      <w:rFonts w:eastAsia="Batang" w:cs="Calibri"/>
      <w:color w:val="000000"/>
      <w:sz w:val="24"/>
      <w:szCs w:val="24"/>
    </w:rPr>
  </w:style>
  <w:style w:type="character" w:customStyle="1" w:styleId="st">
    <w:name w:val="st"/>
    <w:basedOn w:val="Domylnaczcionkaakapitu"/>
    <w:rPr>
      <w:rFonts w:cs="Times New Roman"/>
    </w:rPr>
  </w:style>
  <w:style w:type="character" w:customStyle="1" w:styleId="NormalnyWebZnak">
    <w:name w:val="Normalny (Web) Znak"/>
    <w:rPr>
      <w:rFonts w:eastAsia="Batang"/>
      <w:sz w:val="24"/>
      <w:szCs w:val="24"/>
      <w:lang w:eastAsia="ko-KR"/>
    </w:rPr>
  </w:style>
  <w:style w:type="character" w:customStyle="1" w:styleId="helptext">
    <w:name w:val="helptext"/>
    <w:basedOn w:val="Domylnaczcionkaakapitu"/>
  </w:style>
  <w:style w:type="paragraph" w:styleId="Akapitzlist">
    <w:name w:val="List Paragraph"/>
    <w:basedOn w:val="Normalny"/>
    <w:pPr>
      <w:ind w:left="720"/>
    </w:pPr>
  </w:style>
  <w:style w:type="paragraph" w:styleId="Tekstkomentarza">
    <w:name w:val="annotation text"/>
    <w:basedOn w:val="Normalny"/>
    <w:rPr>
      <w:rFonts w:ascii="Times New Roman" w:hAnsi="Times New Roman"/>
    </w:rPr>
  </w:style>
  <w:style w:type="character" w:customStyle="1" w:styleId="TekstkomentarzaZnak">
    <w:name w:val="Tekst komentarza Znak"/>
    <w:basedOn w:val="Domylnaczcionkaakapitu"/>
    <w:rPr>
      <w:rFonts w:ascii="Times New Roman" w:hAnsi="Times New Roma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pPr>
      <w:widowControl w:val="0"/>
      <w:numPr>
        <w:numId w:val="8"/>
      </w:numPr>
      <w:autoSpaceDE w:val="0"/>
      <w:jc w:val="both"/>
    </w:pPr>
    <w:rPr>
      <w:rFonts w:ascii="Arial" w:hAnsi="Arial"/>
      <w:b/>
      <w:bCs/>
      <w:color w:val="000000"/>
      <w:shd w:val="clear" w:color="auto" w:fill="FFFFFF"/>
      <w:lang w:val="en-AU"/>
    </w:rPr>
  </w:style>
  <w:style w:type="character" w:customStyle="1" w:styleId="TematkomentarzaZnak">
    <w:name w:val="Temat komentarza Znak"/>
    <w:basedOn w:val="TekstkomentarzaZnak"/>
    <w:rPr>
      <w:rFonts w:ascii="Arial" w:hAnsi="Arial"/>
      <w:b/>
      <w:bCs/>
      <w:color w:val="000000"/>
      <w:lang w:val="en-AU"/>
    </w:rPr>
  </w:style>
  <w:style w:type="paragraph" w:styleId="Poprawka">
    <w:name w:val="Revision"/>
    <w:rPr>
      <w:rFonts w:ascii="Arial" w:hAnsi="Arial"/>
      <w:color w:val="000000"/>
      <w:shd w:val="clear" w:color="auto" w:fill="FFFFFF"/>
      <w:lang w:val="en-AU"/>
    </w:rPr>
  </w:style>
  <w:style w:type="character" w:styleId="Wyrnieniedelikatne">
    <w:name w:val="Subtle Emphasis"/>
    <w:basedOn w:val="Domylnaczcionkaakapitu"/>
    <w:rPr>
      <w:i/>
      <w:iCs/>
      <w:color w:val="404040"/>
    </w:rPr>
  </w:style>
  <w:style w:type="paragraph" w:customStyle="1" w:styleId="Nagwek30">
    <w:name w:val="Nagłówek3"/>
    <w:basedOn w:val="Nagwek3"/>
    <w:pPr>
      <w:numPr>
        <w:ilvl w:val="0"/>
        <w:numId w:val="0"/>
      </w:numPr>
      <w:ind w:left="1146"/>
    </w:pPr>
    <w:rPr>
      <w:color w:val="auto"/>
    </w:rPr>
  </w:style>
  <w:style w:type="character" w:customStyle="1" w:styleId="Nagwek3Znak0">
    <w:name w:val="Nagłówek3 Znak"/>
    <w:rPr>
      <w:rFonts w:ascii="Cambria" w:eastAsia="Times New Roman" w:hAnsi="Cambria" w:cs="Times New Roman"/>
      <w:b/>
      <w:bCs/>
    </w:rPr>
  </w:style>
  <w:style w:type="character" w:customStyle="1" w:styleId="ac-hint">
    <w:name w:val="ac-hint"/>
    <w:basedOn w:val="Domylnaczcionkaakapitu"/>
  </w:style>
  <w:style w:type="paragraph" w:styleId="Podtytu">
    <w:name w:val="Subtitle"/>
    <w:basedOn w:val="Normalny"/>
    <w:next w:val="Normalny"/>
    <w:rPr>
      <w:color w:val="5A5A5A"/>
      <w:spacing w:val="10"/>
    </w:rPr>
  </w:style>
  <w:style w:type="character" w:customStyle="1" w:styleId="PodtytuZnak">
    <w:name w:val="Podtytuł Znak"/>
    <w:basedOn w:val="Domylnaczcionkaakapitu"/>
    <w:rPr>
      <w:color w:val="5A5A5A"/>
      <w:spacing w:val="10"/>
    </w:rPr>
  </w:style>
  <w:style w:type="paragraph" w:styleId="Bezodstpw">
    <w:name w:val="No Spacing"/>
    <w:pPr>
      <w:spacing w:after="0" w:line="240" w:lineRule="auto"/>
    </w:pPr>
  </w:style>
  <w:style w:type="paragraph" w:styleId="Cytat">
    <w:name w:val="Quote"/>
    <w:basedOn w:val="Normalny"/>
    <w:next w:val="Normalny"/>
    <w:pPr>
      <w:spacing w:before="160"/>
      <w:ind w:left="720" w:right="720"/>
    </w:pPr>
    <w:rPr>
      <w:i/>
      <w:iCs/>
      <w:color w:val="000000"/>
    </w:rPr>
  </w:style>
  <w:style w:type="character" w:customStyle="1" w:styleId="CytatZnak">
    <w:name w:val="Cytat Znak"/>
    <w:basedOn w:val="Domylnaczcionkaakapitu"/>
    <w:rPr>
      <w:i/>
      <w:iCs/>
      <w:color w:val="000000"/>
    </w:rPr>
  </w:style>
  <w:style w:type="character" w:styleId="Wyrnienieintensywne">
    <w:name w:val="Intense Emphasis"/>
    <w:basedOn w:val="Domylnaczcionkaakapitu"/>
    <w:rPr>
      <w:b/>
      <w:bCs/>
      <w:i/>
      <w:iCs/>
      <w:caps/>
    </w:rPr>
  </w:style>
  <w:style w:type="character" w:styleId="Odwoaniedelikatne">
    <w:name w:val="Subtle Reference"/>
    <w:basedOn w:val="Domylnaczcionkaakapitu"/>
    <w:rPr>
      <w:smallCaps/>
      <w:color w:val="404040"/>
      <w:u w:val="single" w:color="7F7F7F"/>
    </w:rPr>
  </w:style>
  <w:style w:type="character" w:styleId="Odwoanieintensywne">
    <w:name w:val="Intense Reference"/>
    <w:basedOn w:val="Domylnaczcionkaakapitu"/>
    <w:rPr>
      <w:b/>
      <w:bCs/>
      <w:smallCaps/>
      <w:u w:val="single"/>
    </w:rPr>
  </w:style>
  <w:style w:type="character" w:styleId="Tytuksiki">
    <w:name w:val="Book Title"/>
    <w:basedOn w:val="Domylnaczcionkaakapitu"/>
    <w:rPr>
      <w:b w:val="0"/>
      <w:bCs w:val="0"/>
      <w:smallCaps/>
      <w:spacing w:val="5"/>
    </w:rPr>
  </w:style>
  <w:style w:type="numbering" w:customStyle="1" w:styleId="WWOutlineListStyle5">
    <w:name w:val="WW_OutlineListStyle_5"/>
    <w:basedOn w:val="Bezlisty"/>
    <w:pPr>
      <w:numPr>
        <w:numId w:val="2"/>
      </w:numPr>
    </w:pPr>
  </w:style>
  <w:style w:type="numbering" w:customStyle="1" w:styleId="WWOutlineListStyle4">
    <w:name w:val="WW_OutlineListStyle_4"/>
    <w:basedOn w:val="Bezlisty"/>
    <w:pPr>
      <w:numPr>
        <w:numId w:val="3"/>
      </w:numPr>
    </w:pPr>
  </w:style>
  <w:style w:type="numbering" w:customStyle="1" w:styleId="WWOutlineListStyle3">
    <w:name w:val="WW_OutlineListStyle_3"/>
    <w:basedOn w:val="Bezlisty"/>
    <w:pPr>
      <w:numPr>
        <w:numId w:val="4"/>
      </w:numPr>
    </w:pPr>
  </w:style>
  <w:style w:type="numbering" w:customStyle="1" w:styleId="WWOutlineListStyle2">
    <w:name w:val="WW_OutlineListStyle_2"/>
    <w:basedOn w:val="Bezlisty"/>
    <w:pPr>
      <w:numPr>
        <w:numId w:val="5"/>
      </w:numPr>
    </w:pPr>
  </w:style>
  <w:style w:type="numbering" w:customStyle="1" w:styleId="WWOutlineListStyle1">
    <w:name w:val="WW_OutlineListStyle_1"/>
    <w:basedOn w:val="Bezlisty"/>
    <w:pPr>
      <w:numPr>
        <w:numId w:val="6"/>
      </w:numPr>
    </w:pPr>
  </w:style>
  <w:style w:type="numbering" w:customStyle="1" w:styleId="WWOutlineListStyle">
    <w:name w:val="WW_OutlineListStyle"/>
    <w:basedOn w:val="Bezlisty"/>
    <w:pPr>
      <w:numPr>
        <w:numId w:val="7"/>
      </w:numPr>
    </w:pPr>
  </w:style>
  <w:style w:type="numbering" w:customStyle="1" w:styleId="LFO1">
    <w:name w:val="LFO1"/>
    <w:basedOn w:val="Bezlisty"/>
    <w:pPr>
      <w:numPr>
        <w:numId w:val="8"/>
      </w:numPr>
    </w:pPr>
  </w:style>
  <w:style w:type="numbering" w:customStyle="1" w:styleId="LFO7">
    <w:name w:val="LFO7"/>
    <w:basedOn w:val="Bezlisty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.teleinfrastruktura.gov.pl/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theme" Target="theme/theme1.xml"/><Relationship Id="rId7" Type="http://schemas.openxmlformats.org/officeDocument/2006/relationships/hyperlink" Target="https://form.teleinfrastruktura.gov.pl/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hyperlink" Target="https://form.teleinfrastruktura.gov.pl/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hyperlink" Target="mailto:szybki-internet@mc.gov.pl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4194</Words>
  <Characters>25166</Characters>
  <Application>Microsoft Office Word</Application>
  <DocSecurity>0</DocSecurity>
  <Lines>209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 Magdalena</dc:creator>
  <cp:lastModifiedBy>Łukasiewicz Marcin</cp:lastModifiedBy>
  <cp:revision>2</cp:revision>
  <cp:lastPrinted>2018-06-29T09:46:00Z</cp:lastPrinted>
  <dcterms:created xsi:type="dcterms:W3CDTF">2020-10-20T13:47:00Z</dcterms:created>
  <dcterms:modified xsi:type="dcterms:W3CDTF">2020-10-20T13:47:00Z</dcterms:modified>
</cp:coreProperties>
</file>